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
    <w:p>
      <w:pPr>
        <w:wordWrap w:val="0"/>
        <w:jc w:val="right"/>
        <w:rPr>
          <w:rFonts w:eastAsia="黑体"/>
          <w:b/>
          <w:sz w:val="24"/>
        </w:rPr>
      </w:pPr>
      <w:r>
        <w:rPr>
          <w:rFonts w:eastAsia="黑体"/>
          <w:b/>
          <w:sz w:val="24"/>
        </w:rPr>
        <w:t xml:space="preserve">国环评证甲字第2606号  </w:t>
      </w:r>
    </w:p>
    <w:p>
      <w:pPr/>
    </w:p>
    <w:p>
      <w:pPr/>
    </w:p>
    <w:p>
      <w:pPr/>
    </w:p>
    <w:p>
      <w:pPr>
        <w:ind w:right="-288" w:rightChars="-137"/>
        <w:jc w:val="center"/>
        <w:rPr>
          <w:b/>
          <w:sz w:val="48"/>
          <w:szCs w:val="48"/>
          <w14:shadow w14:blurRad="50800" w14:dist="38100" w14:dir="2700000" w14:sx="100000" w14:sy="100000" w14:kx="0" w14:ky="0" w14:algn="tl">
            <w14:srgbClr w14:val="000000">
              <w14:alpha w14:val="60000"/>
            </w14:srgbClr>
          </w14:shadow>
        </w:rPr>
      </w:pPr>
      <w:r>
        <w:rPr>
          <w:rFonts w:hint="eastAsia"/>
          <w:b/>
          <w:sz w:val="48"/>
          <w:szCs w:val="48"/>
          <w14:shadow w14:blurRad="50800" w14:dist="38100" w14:dir="2700000" w14:sx="100000" w14:sy="100000" w14:kx="0" w14:ky="0" w14:algn="tl">
            <w14:srgbClr w14:val="000000">
              <w14:alpha w14:val="60000"/>
            </w14:srgbClr>
          </w14:shadow>
        </w:rPr>
        <w:t>世行</w:t>
      </w:r>
      <w:r>
        <w:rPr>
          <w:b/>
          <w:sz w:val="48"/>
          <w:szCs w:val="48"/>
          <w14:shadow w14:blurRad="50800" w14:dist="38100" w14:dir="2700000" w14:sx="100000" w14:sy="100000" w14:kx="0" w14:ky="0" w14:algn="tl">
            <w14:srgbClr w14:val="000000">
              <w14:alpha w14:val="60000"/>
            </w14:srgbClr>
          </w14:shadow>
        </w:rPr>
        <w:t>贷款</w:t>
      </w:r>
      <w:r>
        <w:rPr>
          <w:rFonts w:hint="eastAsia"/>
          <w:b/>
          <w:sz w:val="48"/>
          <w:szCs w:val="48"/>
          <w14:shadow w14:blurRad="50800" w14:dist="38100" w14:dir="2700000" w14:sx="100000" w14:sy="100000" w14:kx="0" w14:ky="0" w14:algn="tl">
            <w14:srgbClr w14:val="000000">
              <w14:alpha w14:val="60000"/>
            </w14:srgbClr>
          </w14:shadow>
        </w:rPr>
        <w:t>湖北宜昌市三峡现代物流中心基础设施项目</w:t>
      </w:r>
    </w:p>
    <w:p>
      <w:pPr>
        <w:ind w:right="-288" w:rightChars="-137"/>
        <w:jc w:val="center"/>
        <w:rPr>
          <w:b/>
          <w:sz w:val="48"/>
          <w:szCs w:val="48"/>
          <w14:shadow w14:blurRad="50800" w14:dist="38100" w14:dir="2700000" w14:sx="100000" w14:sy="100000" w14:kx="0" w14:ky="0" w14:algn="tl">
            <w14:srgbClr w14:val="000000">
              <w14:alpha w14:val="60000"/>
            </w14:srgbClr>
          </w14:shadow>
        </w:rPr>
      </w:pPr>
    </w:p>
    <w:p>
      <w:pPr/>
    </w:p>
    <w:p>
      <w:pPr>
        <w:jc w:val="center"/>
        <w:rPr>
          <w:rFonts w:eastAsia="黑体"/>
          <w:b/>
          <w:sz w:val="72"/>
          <w:szCs w:val="72"/>
          <w14:shadow w14:blurRad="50800" w14:dist="38100" w14:dir="2700000" w14:sx="100000" w14:sy="100000" w14:kx="0" w14:ky="0" w14:algn="tl">
            <w14:srgbClr w14:val="000000">
              <w14:alpha w14:val="60000"/>
            </w14:srgbClr>
          </w14:shadow>
        </w:rPr>
      </w:pPr>
      <w:r>
        <w:rPr>
          <w:rFonts w:eastAsia="黑体"/>
          <w:b/>
          <w:sz w:val="72"/>
          <w:szCs w:val="72"/>
          <w14:shadow w14:blurRad="50800" w14:dist="38100" w14:dir="2700000" w14:sx="100000" w14:sy="100000" w14:kx="0" w14:ky="0" w14:algn="tl">
            <w14:srgbClr w14:val="000000">
              <w14:alpha w14:val="60000"/>
            </w14:srgbClr>
          </w14:shadow>
        </w:rPr>
        <w:t>环 境 影 响 报 告 书</w:t>
      </w:r>
    </w:p>
    <w:p>
      <w:pPr>
        <w:jc w:val="center"/>
        <w:rPr>
          <w:sz w:val="36"/>
          <w:szCs w:val="36"/>
          <w14:shadow w14:blurRad="50800" w14:dist="38100" w14:dir="2700000" w14:sx="100000" w14:sy="100000" w14:kx="0" w14:ky="0" w14:algn="tl">
            <w14:srgbClr w14:val="000000">
              <w14:alpha w14:val="60000"/>
            </w14:srgbClr>
          </w14:shadow>
        </w:rPr>
      </w:pPr>
      <w:r>
        <w:rPr>
          <w:sz w:val="36"/>
          <w:szCs w:val="36"/>
          <w14:shadow w14:blurRad="50800" w14:dist="38100" w14:dir="2700000" w14:sx="100000" w14:sy="100000" w14:kx="0" w14:ky="0" w14:algn="tl">
            <w14:srgbClr w14:val="000000">
              <w14:alpha w14:val="60000"/>
            </w14:srgbClr>
          </w14:shadow>
        </w:rPr>
        <w:t>（</w:t>
      </w:r>
      <w:r>
        <w:rPr>
          <w:rFonts w:hint="eastAsia"/>
          <w:sz w:val="36"/>
          <w:szCs w:val="36"/>
          <w14:shadow w14:blurRad="50800" w14:dist="38100" w14:dir="2700000" w14:sx="100000" w14:sy="100000" w14:kx="0" w14:ky="0" w14:algn="tl">
            <w14:srgbClr w14:val="000000">
              <w14:alpha w14:val="60000"/>
            </w14:srgbClr>
          </w14:shadow>
        </w:rPr>
        <w:t>初</w:t>
      </w:r>
      <w:r>
        <w:rPr>
          <w:sz w:val="36"/>
          <w:szCs w:val="36"/>
          <w14:shadow w14:blurRad="50800" w14:dist="38100" w14:dir="2700000" w14:sx="100000" w14:sy="100000" w14:kx="0" w14:ky="0" w14:algn="tl">
            <w14:srgbClr w14:val="000000">
              <w14:alpha w14:val="60000"/>
            </w14:srgbClr>
          </w14:shadow>
        </w:rPr>
        <w:t>稿）</w:t>
      </w: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p>
    <w:p>
      <w:pPr>
        <w:jc w:val="center"/>
        <w:rPr>
          <w:b/>
          <w:sz w:val="44"/>
          <w:szCs w:val="44"/>
        </w:rPr>
      </w:pPr>
      <w:r>
        <w:rPr>
          <w:b/>
          <w:sz w:val="44"/>
          <w:szCs w:val="44"/>
        </w:rPr>
        <w:t>湖北省安全环境技术科学研究院</w:t>
      </w:r>
    </w:p>
    <w:p>
      <w:pPr>
        <w:jc w:val="center"/>
        <w:rPr>
          <w:b/>
          <w:sz w:val="44"/>
          <w:szCs w:val="44"/>
        </w:rPr>
      </w:pPr>
      <w:r>
        <w:rPr>
          <w:b/>
          <w:sz w:val="44"/>
          <w:szCs w:val="44"/>
        </w:rPr>
        <w:t>二</w:t>
      </w:r>
      <w:r>
        <w:rPr>
          <w:b/>
          <w:sz w:val="44"/>
          <w:szCs w:val="44"/>
        </w:rPr>
        <w:sym w:font="Wingdings 2" w:char="F081"/>
      </w:r>
      <w:r>
        <w:rPr>
          <w:b/>
          <w:sz w:val="44"/>
          <w:szCs w:val="44"/>
        </w:rPr>
        <w:t>一</w:t>
      </w:r>
      <w:r>
        <w:rPr>
          <w:rFonts w:hint="eastAsia"/>
          <w:b/>
          <w:sz w:val="44"/>
          <w:szCs w:val="44"/>
        </w:rPr>
        <w:t>六</w:t>
      </w:r>
      <w:r>
        <w:rPr>
          <w:b/>
          <w:sz w:val="44"/>
          <w:szCs w:val="44"/>
        </w:rPr>
        <w:t>年</w:t>
      </w:r>
      <w:r>
        <w:rPr>
          <w:rFonts w:hint="eastAsia"/>
          <w:b/>
          <w:sz w:val="44"/>
          <w:szCs w:val="44"/>
        </w:rPr>
        <w:t>二月</w:t>
      </w:r>
    </w:p>
    <w:p>
      <w:pPr>
        <w:sectPr>
          <w:headerReference r:id="rId4" w:type="default"/>
          <w:footerReference r:id="rId5" w:type="even"/>
          <w:pgSz w:w="11907" w:h="16840"/>
          <w:pgMar w:top="1418" w:right="1361" w:bottom="1418" w:left="1474" w:header="851" w:footer="992" w:gutter="0"/>
          <w:cols w:space="425" w:num="1"/>
          <w:docGrid w:linePitch="312" w:charSpace="0"/>
        </w:sectPr>
      </w:pPr>
    </w:p>
    <w:p>
      <w:pPr/>
    </w:p>
    <w:p>
      <w:pPr>
        <w:pStyle w:val="2"/>
        <w:tabs>
          <w:tab w:val="left" w:pos="2520"/>
          <w:tab w:val="clear" w:pos="6231"/>
        </w:tabs>
        <w:ind w:left="2880" w:hanging="2340"/>
      </w:pPr>
      <w:bookmarkStart w:id="0" w:name="_Toc428863951"/>
      <w:bookmarkStart w:id="1" w:name="_Toc69178603"/>
      <w:bookmarkStart w:id="2" w:name="_Toc442195650"/>
      <w:r>
        <w:rPr>
          <w:rFonts w:hint="eastAsia"/>
        </w:rPr>
        <w:t>.</w:t>
      </w:r>
      <w:r>
        <w:t>总 论</w:t>
      </w:r>
      <w:bookmarkEnd w:id="0"/>
      <w:bookmarkEnd w:id="1"/>
      <w:bookmarkEnd w:id="2"/>
    </w:p>
    <w:p>
      <w:pPr>
        <w:pStyle w:val="3"/>
        <w:tabs>
          <w:tab w:val="left" w:pos="426"/>
          <w:tab w:val="clear" w:pos="3695"/>
        </w:tabs>
        <w:spacing w:beforeLines="0" w:afterLines="0"/>
        <w:ind w:left="0" w:firstLine="0"/>
      </w:pPr>
      <w:bookmarkStart w:id="3" w:name="_Toc442195651"/>
      <w:bookmarkStart w:id="4" w:name="_Toc428863952"/>
      <w:r>
        <w:rPr>
          <w:rFonts w:hint="eastAsia"/>
        </w:rPr>
        <w:t>项目由来</w:t>
      </w:r>
      <w:bookmarkEnd w:id="3"/>
      <w:bookmarkEnd w:id="4"/>
    </w:p>
    <w:p>
      <w:pPr>
        <w:pStyle w:val="4"/>
        <w:spacing w:line="360" w:lineRule="auto"/>
        <w:ind w:firstLine="480"/>
        <w:rPr>
          <w:sz w:val="24"/>
        </w:rPr>
      </w:pPr>
      <w:r>
        <w:rPr>
          <w:rFonts w:hint="eastAsia"/>
          <w:sz w:val="24"/>
        </w:rPr>
        <w:t>宜昌市位于湖北省西南部、长江中游，总人口415万。其中建成区面积150平方公里，人口155万人。2014年，全市完成生产总值3132.2亿元，地方公共财政预算收入271.5亿元。作为长江经济带开发战略的重要城市，宜昌市立足三峡翻坝转运特色运输，构建三峡枢纽下游的临港、临公、临铁、临空物流中心，实</w:t>
      </w:r>
      <w:bookmarkStart w:id="293" w:name="_GoBack"/>
      <w:bookmarkEnd w:id="293"/>
      <w:r>
        <w:rPr>
          <w:rFonts w:hint="eastAsia"/>
          <w:sz w:val="24"/>
        </w:rPr>
        <w:t>现中国东西部最经济物流通道的便捷连接。</w:t>
      </w:r>
    </w:p>
    <w:p>
      <w:pPr>
        <w:pStyle w:val="4"/>
        <w:spacing w:line="360" w:lineRule="auto"/>
        <w:ind w:firstLine="480"/>
        <w:rPr>
          <w:sz w:val="24"/>
        </w:rPr>
      </w:pPr>
      <w:r>
        <w:rPr>
          <w:rFonts w:hint="eastAsia"/>
          <w:sz w:val="24"/>
        </w:rPr>
        <w:t>宜昌市委市政府申请的“世行贷款湖北宜昌市三峡现代物流中心基础设施项目”列入“世行贷款2015-2017财年备选项目规划”，申请世行贷款2亿美元，总投资估算约33.33亿元人民币，项目开发目标是为</w:t>
      </w:r>
      <w:r>
        <w:rPr>
          <w:sz w:val="24"/>
        </w:rPr>
        <w:t>提高</w:t>
      </w:r>
      <w:r>
        <w:rPr>
          <w:rFonts w:hint="eastAsia"/>
          <w:sz w:val="24"/>
        </w:rPr>
        <w:t>长江</w:t>
      </w:r>
      <w:r>
        <w:rPr>
          <w:sz w:val="24"/>
        </w:rPr>
        <w:t>宜昌城区内沿长江物流</w:t>
      </w:r>
      <w:r>
        <w:rPr>
          <w:rFonts w:hint="eastAsia"/>
          <w:sz w:val="24"/>
        </w:rPr>
        <w:t>服务和</w:t>
      </w:r>
      <w:r>
        <w:rPr>
          <w:sz w:val="24"/>
        </w:rPr>
        <w:t>多式联运服务</w:t>
      </w:r>
      <w:r>
        <w:rPr>
          <w:rFonts w:hint="eastAsia"/>
          <w:sz w:val="24"/>
        </w:rPr>
        <w:t>；主要建设内容包括白洋港作业区、白洋物流园、道路交通基础设施、信心中心和项目管理与机构能力建设等五个一级子项，17个二级子项。</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sz w:val="24"/>
        </w:rPr>
        <w:t>受宜昌市交通投资有限公司委托，湖北省安全与环境技术科学研究院承担“世行贷款宜昌三峡现代物流中心基础设施项目”环境影响评价工作。评价单位于</w:t>
      </w:r>
      <w:r>
        <w:rPr>
          <w:sz w:val="24"/>
        </w:rPr>
        <w:t>201</w:t>
      </w:r>
      <w:r>
        <w:rPr>
          <w:rFonts w:hint="eastAsia"/>
          <w:sz w:val="24"/>
        </w:rPr>
        <w:t>5年6月对项目选址进行了现场调查，了解工程区域自然环境状况、环境保护目标分布情况及该地区环境功能区划，收集工程所在区域社会环境现状资料及与本工程相关的规划等文件，同时委托中质监测进行了本工程区域地表水、环境空气、声环境质量现状监测及区域污染源现状调查。评价单位于2016年2月编制完成《世行贷款宜昌三峡现代物流中心基础设施项目环境影响报告书》初稿</w:t>
      </w:r>
      <w:r>
        <w:rPr>
          <w:rFonts w:hint="eastAsia" w:ascii="宋体" w:cs="宋体" w:hAnsiTheme="minorHAnsi"/>
          <w:kern w:val="0"/>
          <w:sz w:val="24"/>
        </w:rPr>
        <w:t>。</w:t>
      </w:r>
    </w:p>
    <w:p>
      <w:pPr>
        <w:pStyle w:val="3"/>
        <w:tabs>
          <w:tab w:val="left" w:pos="426"/>
          <w:tab w:val="left" w:pos="756"/>
          <w:tab w:val="clear" w:pos="3695"/>
        </w:tabs>
        <w:spacing w:beforeLines="0" w:afterLines="0"/>
        <w:ind w:left="0" w:firstLine="0"/>
      </w:pPr>
      <w:bookmarkStart w:id="5" w:name="_Toc432547754"/>
      <w:bookmarkStart w:id="6" w:name="_Toc442195652"/>
      <w:r>
        <w:rPr>
          <w:rFonts w:hint="eastAsia"/>
        </w:rPr>
        <w:t>编制依据</w:t>
      </w:r>
      <w:bookmarkEnd w:id="5"/>
      <w:bookmarkEnd w:id="6"/>
    </w:p>
    <w:p>
      <w:pPr>
        <w:pStyle w:val="5"/>
        <w:tabs>
          <w:tab w:val="left" w:pos="567"/>
        </w:tabs>
        <w:spacing w:before="62" w:beforeLines="20" w:afterLines="0" w:line="360" w:lineRule="auto"/>
        <w:ind w:left="0" w:firstLine="0"/>
        <w:rPr>
          <w:rFonts w:ascii="宋体" w:hAnsi="宋体" w:eastAsia="宋体"/>
          <w:b/>
          <w:sz w:val="28"/>
          <w:szCs w:val="28"/>
        </w:rPr>
      </w:pPr>
      <w:bookmarkStart w:id="7" w:name="_Toc432547755"/>
      <w:bookmarkStart w:id="8" w:name="_Toc442195653"/>
      <w:bookmarkStart w:id="9" w:name="_Toc431456155"/>
      <w:r>
        <w:rPr>
          <w:rFonts w:hint="eastAsia" w:ascii="宋体" w:hAnsi="宋体" w:eastAsia="宋体"/>
          <w:b/>
          <w:sz w:val="28"/>
          <w:szCs w:val="28"/>
        </w:rPr>
        <w:t>法律法规</w:t>
      </w:r>
      <w:bookmarkEnd w:id="7"/>
      <w:bookmarkEnd w:id="8"/>
      <w:bookmarkEnd w:id="9"/>
    </w:p>
    <w:p>
      <w:pPr>
        <w:pStyle w:val="17"/>
        <w:numPr>
          <w:ilvl w:val="0"/>
          <w:numId w:val="15"/>
        </w:numPr>
        <w:tabs>
          <w:tab w:val="left" w:pos="284"/>
        </w:tabs>
        <w:ind w:firstLineChars="0"/>
      </w:pPr>
      <w:r>
        <w:t>《中华人民共和国环境保护法》，</w:t>
      </w:r>
      <w:r>
        <w:rPr>
          <w:rFonts w:hint="eastAsia"/>
        </w:rPr>
        <w:t>2014年4月24日修正，2015</w:t>
      </w:r>
      <w:r>
        <w:t>年</w:t>
      </w:r>
      <w:r>
        <w:rPr>
          <w:rFonts w:hint="eastAsia"/>
        </w:rPr>
        <w:t>1</w:t>
      </w:r>
      <w:r>
        <w:t>月</w:t>
      </w:r>
      <w:r>
        <w:rPr>
          <w:rFonts w:hint="eastAsia"/>
        </w:rPr>
        <w:t>1日</w:t>
      </w:r>
      <w:r>
        <w:t>施</w:t>
      </w:r>
      <w:r>
        <w:rPr>
          <w:rFonts w:hint="eastAsia"/>
        </w:rPr>
        <w:t>行</w:t>
      </w:r>
      <w:r>
        <w:t>；</w:t>
      </w:r>
    </w:p>
    <w:p>
      <w:pPr>
        <w:pStyle w:val="17"/>
        <w:numPr>
          <w:ilvl w:val="0"/>
          <w:numId w:val="15"/>
        </w:numPr>
        <w:tabs>
          <w:tab w:val="left" w:pos="284"/>
        </w:tabs>
        <w:ind w:firstLineChars="0"/>
      </w:pPr>
      <w:r>
        <w:t>《中华人民共和国环境影响评价法》，2003年9月1日施行；</w:t>
      </w:r>
    </w:p>
    <w:p>
      <w:pPr>
        <w:pStyle w:val="17"/>
        <w:numPr>
          <w:ilvl w:val="0"/>
          <w:numId w:val="15"/>
        </w:numPr>
        <w:tabs>
          <w:tab w:val="left" w:pos="284"/>
        </w:tabs>
        <w:ind w:firstLineChars="0"/>
      </w:pPr>
      <w:r>
        <w:t>《中华人民共和国水污染防治法》，2008年2月28日修正，2008年6月1日起施行；</w:t>
      </w:r>
    </w:p>
    <w:p>
      <w:pPr>
        <w:pStyle w:val="17"/>
        <w:numPr>
          <w:ilvl w:val="0"/>
          <w:numId w:val="15"/>
        </w:numPr>
        <w:tabs>
          <w:tab w:val="left" w:pos="284"/>
        </w:tabs>
        <w:ind w:firstLineChars="0"/>
      </w:pPr>
      <w:r>
        <w:t>《中华人民共和国大气污染防治法》，2000年4月29日修订，2000年9月1日施行；</w:t>
      </w:r>
    </w:p>
    <w:p>
      <w:pPr>
        <w:pStyle w:val="17"/>
        <w:numPr>
          <w:ilvl w:val="0"/>
          <w:numId w:val="15"/>
        </w:numPr>
        <w:tabs>
          <w:tab w:val="left" w:pos="284"/>
        </w:tabs>
        <w:ind w:firstLineChars="0"/>
      </w:pPr>
      <w:r>
        <w:t>《中华人民共和国环境噪声污染防治法》，1996年10月29日颁布，1997年3月1日起施行；</w:t>
      </w:r>
    </w:p>
    <w:p>
      <w:pPr>
        <w:pStyle w:val="17"/>
        <w:numPr>
          <w:ilvl w:val="0"/>
          <w:numId w:val="15"/>
        </w:numPr>
        <w:tabs>
          <w:tab w:val="left" w:pos="284"/>
        </w:tabs>
        <w:ind w:firstLineChars="0"/>
      </w:pPr>
      <w:r>
        <w:t>《中华人民共和国固体废物污染环境防治法》，2004年12月29日修订，2005年4月1</w:t>
      </w:r>
      <w:r>
        <w:rPr>
          <w:rFonts w:hint="eastAsia"/>
        </w:rPr>
        <w:t>日</w:t>
      </w:r>
      <w:r>
        <w:t>施行；</w:t>
      </w:r>
    </w:p>
    <w:p>
      <w:pPr>
        <w:pStyle w:val="17"/>
        <w:numPr>
          <w:ilvl w:val="0"/>
          <w:numId w:val="15"/>
        </w:numPr>
        <w:tabs>
          <w:tab w:val="left" w:pos="284"/>
        </w:tabs>
        <w:ind w:firstLineChars="0"/>
      </w:pPr>
      <w:r>
        <w:rPr>
          <w:rFonts w:hint="eastAsia"/>
        </w:rPr>
        <w:t>《</w:t>
      </w:r>
      <w:r>
        <w:t>中华人民共和国</w:t>
      </w:r>
      <w:r>
        <w:rPr>
          <w:rFonts w:hint="eastAsia"/>
        </w:rPr>
        <w:t>水法》，2002年8月29日修订，2002年10月1日施行；</w:t>
      </w:r>
    </w:p>
    <w:p>
      <w:pPr>
        <w:pStyle w:val="17"/>
        <w:numPr>
          <w:ilvl w:val="0"/>
          <w:numId w:val="15"/>
        </w:numPr>
        <w:tabs>
          <w:tab w:val="left" w:pos="284"/>
        </w:tabs>
        <w:ind w:firstLineChars="0"/>
      </w:pPr>
      <w:r>
        <w:t>《中华人民共和国土地管理法》，2004年8月28日通过并施行；</w:t>
      </w:r>
    </w:p>
    <w:p>
      <w:pPr>
        <w:pStyle w:val="17"/>
        <w:numPr>
          <w:ilvl w:val="0"/>
          <w:numId w:val="15"/>
        </w:numPr>
        <w:tabs>
          <w:tab w:val="left" w:pos="284"/>
        </w:tabs>
        <w:ind w:firstLineChars="0"/>
      </w:pPr>
      <w:r>
        <w:t>《中华人民共和国水土保持法》，2011年3月1日起施行；</w:t>
      </w:r>
    </w:p>
    <w:p>
      <w:pPr>
        <w:pStyle w:val="17"/>
        <w:numPr>
          <w:ilvl w:val="0"/>
          <w:numId w:val="15"/>
        </w:numPr>
        <w:tabs>
          <w:tab w:val="left" w:pos="284"/>
        </w:tabs>
        <w:ind w:firstLineChars="0"/>
      </w:pPr>
      <w:r>
        <w:t>《中华人民共和野生动物保护法》，1989年3月1日起</w:t>
      </w:r>
      <w:r>
        <w:rPr>
          <w:rFonts w:hint="eastAsia"/>
        </w:rPr>
        <w:t>施行</w:t>
      </w:r>
      <w:r>
        <w:t>；</w:t>
      </w:r>
    </w:p>
    <w:p>
      <w:pPr>
        <w:pStyle w:val="17"/>
        <w:numPr>
          <w:ilvl w:val="0"/>
          <w:numId w:val="15"/>
        </w:numPr>
        <w:tabs>
          <w:tab w:val="left" w:pos="284"/>
        </w:tabs>
        <w:ind w:firstLineChars="0"/>
      </w:pPr>
      <w:r>
        <w:rPr>
          <w:rFonts w:hint="eastAsia"/>
        </w:rPr>
        <w:t>《</w:t>
      </w:r>
      <w:r>
        <w:t>中华人民共和国</w:t>
      </w:r>
      <w:r>
        <w:rPr>
          <w:rFonts w:hint="eastAsia"/>
        </w:rPr>
        <w:t>港口法》，2003年6月；</w:t>
      </w:r>
    </w:p>
    <w:p>
      <w:pPr>
        <w:pStyle w:val="17"/>
        <w:numPr>
          <w:ilvl w:val="0"/>
          <w:numId w:val="15"/>
        </w:numPr>
        <w:tabs>
          <w:tab w:val="left" w:pos="284"/>
        </w:tabs>
        <w:ind w:firstLineChars="0"/>
      </w:pPr>
      <w:r>
        <w:rPr>
          <w:rFonts w:hint="eastAsia"/>
        </w:rPr>
        <w:t>《</w:t>
      </w:r>
      <w:r>
        <w:t>中华人民共和国</w:t>
      </w:r>
      <w:r>
        <w:rPr>
          <w:rFonts w:hint="eastAsia"/>
        </w:rPr>
        <w:t>渔业法》，2000年10月；</w:t>
      </w:r>
    </w:p>
    <w:p>
      <w:pPr>
        <w:pStyle w:val="17"/>
        <w:numPr>
          <w:ilvl w:val="0"/>
          <w:numId w:val="15"/>
        </w:numPr>
        <w:tabs>
          <w:tab w:val="left" w:pos="284"/>
        </w:tabs>
        <w:ind w:firstLineChars="0"/>
      </w:pPr>
      <w:r>
        <w:rPr>
          <w:rFonts w:hint="eastAsia"/>
        </w:rPr>
        <w:t>《</w:t>
      </w:r>
      <w:r>
        <w:t>中华人民共和国</w:t>
      </w:r>
      <w:r>
        <w:rPr>
          <w:rFonts w:hint="eastAsia"/>
        </w:rPr>
        <w:t>防洪法》，1998年1月；</w:t>
      </w:r>
    </w:p>
    <w:p>
      <w:pPr>
        <w:pStyle w:val="17"/>
        <w:numPr>
          <w:ilvl w:val="0"/>
          <w:numId w:val="15"/>
        </w:numPr>
        <w:tabs>
          <w:tab w:val="left" w:pos="284"/>
        </w:tabs>
        <w:ind w:firstLineChars="0"/>
      </w:pPr>
      <w:r>
        <w:rPr>
          <w:rFonts w:hint="eastAsia"/>
        </w:rPr>
        <w:t>《</w:t>
      </w:r>
      <w:r>
        <w:t>建设项目环境保护管理条例</w:t>
      </w:r>
      <w:r>
        <w:rPr>
          <w:rFonts w:hint="eastAsia"/>
        </w:rPr>
        <w:t>》，</w:t>
      </w:r>
      <w:r>
        <w:t>1998年11月18日</w:t>
      </w:r>
      <w:r>
        <w:rPr>
          <w:rFonts w:hint="eastAsia"/>
        </w:rPr>
        <w:t>起施行；</w:t>
      </w:r>
    </w:p>
    <w:p>
      <w:pPr>
        <w:pStyle w:val="17"/>
        <w:numPr>
          <w:ilvl w:val="0"/>
          <w:numId w:val="15"/>
        </w:numPr>
        <w:tabs>
          <w:tab w:val="left" w:pos="284"/>
        </w:tabs>
        <w:ind w:firstLineChars="0"/>
      </w:pPr>
      <w:r>
        <w:rPr>
          <w:rFonts w:hint="eastAsia"/>
        </w:rPr>
        <w:t>《中国人民共和国大气污染防治法实施细则》，1991年7月1日起施行；</w:t>
      </w:r>
    </w:p>
    <w:p>
      <w:pPr>
        <w:pStyle w:val="17"/>
        <w:numPr>
          <w:ilvl w:val="0"/>
          <w:numId w:val="15"/>
        </w:numPr>
        <w:tabs>
          <w:tab w:val="left" w:pos="284"/>
        </w:tabs>
        <w:ind w:firstLineChars="0"/>
      </w:pPr>
      <w:r>
        <w:rPr>
          <w:rFonts w:hint="eastAsia"/>
        </w:rPr>
        <w:t>《</w:t>
      </w:r>
      <w:r>
        <w:t>中华人民共和国水污染防治法实施细则</w:t>
      </w:r>
      <w:r>
        <w:rPr>
          <w:rFonts w:hint="eastAsia"/>
        </w:rPr>
        <w:t>》，2000年3月20日起施行；</w:t>
      </w:r>
    </w:p>
    <w:p>
      <w:pPr>
        <w:pStyle w:val="17"/>
        <w:numPr>
          <w:ilvl w:val="0"/>
          <w:numId w:val="15"/>
        </w:numPr>
        <w:tabs>
          <w:tab w:val="left" w:pos="284"/>
        </w:tabs>
        <w:ind w:firstLineChars="0"/>
      </w:pPr>
      <w:r>
        <w:rPr>
          <w:rFonts w:hint="eastAsia"/>
        </w:rPr>
        <w:t>《</w:t>
      </w:r>
      <w:r>
        <w:t>中华人民共和国</w:t>
      </w:r>
      <w:r>
        <w:rPr>
          <w:rFonts w:hint="eastAsia"/>
        </w:rPr>
        <w:t>水土保持法实施条例》，1993年8月1日起施行；</w:t>
      </w:r>
    </w:p>
    <w:p>
      <w:pPr>
        <w:pStyle w:val="17"/>
        <w:numPr>
          <w:ilvl w:val="0"/>
          <w:numId w:val="15"/>
        </w:numPr>
        <w:tabs>
          <w:tab w:val="left" w:pos="284"/>
        </w:tabs>
        <w:ind w:firstLineChars="0"/>
      </w:pPr>
      <w:r>
        <w:rPr>
          <w:rFonts w:hint="eastAsia"/>
        </w:rPr>
        <w:t>《中华人民共和国土地管理法实施条例》，1999年1月1日起施行；</w:t>
      </w:r>
    </w:p>
    <w:p>
      <w:pPr>
        <w:pStyle w:val="17"/>
        <w:numPr>
          <w:ilvl w:val="0"/>
          <w:numId w:val="15"/>
        </w:numPr>
        <w:tabs>
          <w:tab w:val="left" w:pos="284"/>
        </w:tabs>
        <w:ind w:firstLineChars="0"/>
      </w:pPr>
      <w:r>
        <w:rPr>
          <w:rFonts w:hint="eastAsia"/>
        </w:rPr>
        <w:t>《</w:t>
      </w:r>
      <w:r>
        <w:rPr>
          <w:color w:val="000000"/>
        </w:rPr>
        <w:t>中华人民共和国自然保护区条例</w:t>
      </w:r>
      <w:r>
        <w:rPr>
          <w:rFonts w:hint="eastAsia"/>
        </w:rPr>
        <w:t>》，1994年12月1日起施行；</w:t>
      </w:r>
    </w:p>
    <w:p>
      <w:pPr>
        <w:pStyle w:val="17"/>
        <w:numPr>
          <w:ilvl w:val="0"/>
          <w:numId w:val="15"/>
        </w:numPr>
        <w:tabs>
          <w:tab w:val="left" w:pos="284"/>
        </w:tabs>
        <w:ind w:firstLineChars="0"/>
      </w:pPr>
      <w:r>
        <w:rPr>
          <w:rFonts w:hint="eastAsia"/>
        </w:rPr>
        <w:t>《</w:t>
      </w:r>
      <w:r>
        <w:rPr>
          <w:rFonts w:hint="eastAsia" w:ascii="宋体" w:hAnsi="宋体" w:cs="宋体"/>
          <w:color w:val="000000"/>
        </w:rPr>
        <w:t>中华人民共和国航道管理条例</w:t>
      </w:r>
      <w:r>
        <w:rPr>
          <w:rFonts w:hint="eastAsia"/>
        </w:rPr>
        <w:t>》，1988年6月3日起施行；</w:t>
      </w:r>
    </w:p>
    <w:p>
      <w:pPr>
        <w:pStyle w:val="17"/>
        <w:numPr>
          <w:ilvl w:val="0"/>
          <w:numId w:val="15"/>
        </w:numPr>
        <w:tabs>
          <w:tab w:val="left" w:pos="284"/>
        </w:tabs>
        <w:ind w:firstLineChars="0"/>
      </w:pPr>
      <w:r>
        <w:rPr>
          <w:rFonts w:hint="eastAsia"/>
        </w:rPr>
        <w:t>《</w:t>
      </w:r>
      <w:r>
        <w:rPr>
          <w:rFonts w:hint="eastAsia" w:ascii="宋体" w:hAnsi="宋体" w:cs="宋体"/>
          <w:color w:val="000000"/>
        </w:rPr>
        <w:t>中华人民共和国基本农田保护条例</w:t>
      </w:r>
      <w:r>
        <w:rPr>
          <w:rFonts w:hint="eastAsia"/>
        </w:rPr>
        <w:t>》，1998年12月27日起施行；</w:t>
      </w:r>
    </w:p>
    <w:p>
      <w:pPr>
        <w:pStyle w:val="17"/>
        <w:numPr>
          <w:ilvl w:val="0"/>
          <w:numId w:val="15"/>
        </w:numPr>
        <w:tabs>
          <w:tab w:val="left" w:pos="284"/>
        </w:tabs>
        <w:ind w:firstLineChars="0"/>
      </w:pPr>
      <w:r>
        <w:rPr>
          <w:rFonts w:hint="eastAsia"/>
        </w:rPr>
        <w:t>《公路安全保护条例》，2011年7月1日起施行；</w:t>
      </w:r>
    </w:p>
    <w:p>
      <w:pPr>
        <w:pStyle w:val="17"/>
        <w:numPr>
          <w:ilvl w:val="0"/>
          <w:numId w:val="15"/>
        </w:numPr>
        <w:tabs>
          <w:tab w:val="left" w:pos="284"/>
        </w:tabs>
        <w:ind w:firstLineChars="0"/>
      </w:pPr>
      <w:r>
        <w:t>《湖北省环境保护管理条例》，1994年12月2日实施；</w:t>
      </w:r>
    </w:p>
    <w:p>
      <w:pPr>
        <w:pStyle w:val="17"/>
        <w:numPr>
          <w:ilvl w:val="0"/>
          <w:numId w:val="15"/>
        </w:numPr>
        <w:tabs>
          <w:tab w:val="left" w:pos="284"/>
        </w:tabs>
        <w:ind w:firstLineChars="0"/>
      </w:pPr>
      <w:r>
        <w:rPr>
          <w:rFonts w:hint="eastAsia"/>
        </w:rPr>
        <w:t>《湖北省港口管理办法》，2006年7月；</w:t>
      </w:r>
    </w:p>
    <w:p>
      <w:pPr>
        <w:pStyle w:val="17"/>
        <w:numPr>
          <w:ilvl w:val="0"/>
          <w:numId w:val="15"/>
        </w:numPr>
        <w:tabs>
          <w:tab w:val="left" w:pos="284"/>
        </w:tabs>
        <w:ind w:firstLineChars="0"/>
      </w:pPr>
      <w:r>
        <w:t>《湖北省大气污染防治条例》（1997年12月3日湖北省第八届人民代表大会常务委员会第三十一次会议通过；2004年7月30日湖北省第十届人民代表大会常务委员会第十次会议修改）</w:t>
      </w:r>
      <w:r>
        <w:rPr>
          <w:rFonts w:hint="eastAsia"/>
        </w:rPr>
        <w:t>；</w:t>
      </w:r>
    </w:p>
    <w:p>
      <w:pPr>
        <w:pStyle w:val="17"/>
        <w:numPr>
          <w:ilvl w:val="0"/>
          <w:numId w:val="15"/>
        </w:numPr>
        <w:tabs>
          <w:tab w:val="left" w:pos="284"/>
        </w:tabs>
        <w:ind w:firstLineChars="0"/>
      </w:pPr>
      <w:r>
        <w:t>《</w:t>
      </w:r>
      <w:r>
        <w:rPr>
          <w:szCs w:val="21"/>
        </w:rPr>
        <w:t>湖北省水污染防治条例</w:t>
      </w:r>
      <w:r>
        <w:t>》（2014年1月22日湖北省第十二届人民代表大会常务委员会第二次会议通过）</w:t>
      </w:r>
      <w:r>
        <w:rPr>
          <w:rFonts w:hint="eastAsia"/>
        </w:rPr>
        <w:t>。</w:t>
      </w:r>
    </w:p>
    <w:p>
      <w:pPr>
        <w:pStyle w:val="5"/>
        <w:tabs>
          <w:tab w:val="left" w:pos="567"/>
        </w:tabs>
        <w:spacing w:before="62" w:beforeLines="20" w:afterLines="0" w:line="360" w:lineRule="auto"/>
        <w:ind w:left="0" w:firstLine="0"/>
        <w:rPr>
          <w:rFonts w:ascii="宋体" w:hAnsi="宋体" w:eastAsia="宋体"/>
          <w:b/>
          <w:sz w:val="28"/>
          <w:szCs w:val="28"/>
        </w:rPr>
      </w:pPr>
      <w:bookmarkStart w:id="10" w:name="_Toc442195654"/>
      <w:bookmarkStart w:id="11" w:name="_Toc432547756"/>
      <w:r>
        <w:rPr>
          <w:rFonts w:hint="eastAsia" w:ascii="宋体" w:hAnsi="宋体" w:eastAsia="宋体"/>
          <w:b/>
          <w:sz w:val="28"/>
          <w:szCs w:val="28"/>
        </w:rPr>
        <w:t>部门规章</w:t>
      </w:r>
      <w:bookmarkEnd w:id="10"/>
      <w:bookmarkEnd w:id="11"/>
    </w:p>
    <w:p>
      <w:pPr>
        <w:pStyle w:val="17"/>
        <w:numPr>
          <w:ilvl w:val="0"/>
          <w:numId w:val="16"/>
        </w:numPr>
        <w:tabs>
          <w:tab w:val="left" w:pos="284"/>
        </w:tabs>
        <w:ind w:firstLineChars="0"/>
      </w:pPr>
      <w:r>
        <w:t>中华人民共和国《产业结构调整指导目录（2011年本）》</w:t>
      </w:r>
      <w:r>
        <w:rPr>
          <w:rFonts w:hint="eastAsia"/>
        </w:rPr>
        <w:t>（</w:t>
      </w:r>
      <w:r>
        <w:t>国家发展和改革委员会令第9号</w:t>
      </w:r>
      <w:r>
        <w:rPr>
          <w:rFonts w:hint="eastAsia"/>
        </w:rPr>
        <w:t>）</w:t>
      </w:r>
      <w:r>
        <w:t>，2011年6月1日起施行；</w:t>
      </w:r>
    </w:p>
    <w:p>
      <w:pPr>
        <w:pStyle w:val="17"/>
        <w:numPr>
          <w:ilvl w:val="0"/>
          <w:numId w:val="16"/>
        </w:numPr>
        <w:tabs>
          <w:tab w:val="left" w:pos="284"/>
        </w:tabs>
        <w:ind w:firstLineChars="0"/>
      </w:pPr>
      <w:r>
        <w:t>《国家发展改革委关于修改&lt;产业结构调整指导目录（2011年本）&gt;有关条款的决定》</w:t>
      </w:r>
      <w:r>
        <w:rPr>
          <w:rFonts w:hint="eastAsia"/>
        </w:rPr>
        <w:t>（</w:t>
      </w:r>
      <w:r>
        <w:t>国家发展和改革委员会令第21号</w:t>
      </w:r>
      <w:r>
        <w:rPr>
          <w:rFonts w:hint="eastAsia"/>
        </w:rPr>
        <w:t>）</w:t>
      </w:r>
      <w:r>
        <w:t>，自2013年5月1日起施行；</w:t>
      </w:r>
    </w:p>
    <w:p>
      <w:pPr>
        <w:pStyle w:val="17"/>
        <w:numPr>
          <w:ilvl w:val="0"/>
          <w:numId w:val="16"/>
        </w:numPr>
        <w:tabs>
          <w:tab w:val="left" w:pos="284"/>
        </w:tabs>
        <w:ind w:firstLineChars="0"/>
      </w:pPr>
      <w:r>
        <w:rPr>
          <w:rFonts w:hint="eastAsia"/>
        </w:rPr>
        <w:t>《饮用水水源保护区污染防治管理规定》，</w:t>
      </w:r>
      <w:r>
        <w:t>环保部</w:t>
      </w:r>
      <w:r>
        <w:rPr>
          <w:rFonts w:hint="eastAsia"/>
        </w:rPr>
        <w:t xml:space="preserve">令第16号； </w:t>
      </w:r>
    </w:p>
    <w:p>
      <w:pPr>
        <w:pStyle w:val="17"/>
        <w:numPr>
          <w:ilvl w:val="0"/>
          <w:numId w:val="16"/>
        </w:numPr>
        <w:tabs>
          <w:tab w:val="left" w:pos="284"/>
        </w:tabs>
        <w:ind w:firstLineChars="0"/>
      </w:pPr>
      <w:r>
        <w:rPr>
          <w:rFonts w:hint="eastAsia"/>
        </w:rPr>
        <w:t>《突发环境事件信息报告办法》，</w:t>
      </w:r>
      <w:r>
        <w:t>环保部</w:t>
      </w:r>
      <w:r>
        <w:rPr>
          <w:rFonts w:hint="eastAsia"/>
        </w:rPr>
        <w:t>令第17号；2011年5月1日起施行；</w:t>
      </w:r>
    </w:p>
    <w:p>
      <w:pPr>
        <w:pStyle w:val="17"/>
        <w:numPr>
          <w:ilvl w:val="0"/>
          <w:numId w:val="16"/>
        </w:numPr>
        <w:tabs>
          <w:tab w:val="left" w:pos="284"/>
        </w:tabs>
        <w:ind w:firstLineChars="0"/>
      </w:pPr>
      <w:r>
        <w:rPr>
          <w:rFonts w:hint="eastAsia" w:ascii="宋体" w:hAnsi="宋体"/>
          <w:szCs w:val="24"/>
        </w:rPr>
        <w:t>《企业事业单位环境信息公开办法》，</w:t>
      </w:r>
      <w:r>
        <w:t>环保部</w:t>
      </w:r>
      <w:r>
        <w:rPr>
          <w:rFonts w:hint="eastAsia"/>
        </w:rPr>
        <w:t>令第31号，2015年1月1日起施行；</w:t>
      </w:r>
    </w:p>
    <w:p>
      <w:pPr>
        <w:pStyle w:val="17"/>
        <w:numPr>
          <w:ilvl w:val="0"/>
          <w:numId w:val="16"/>
        </w:numPr>
        <w:tabs>
          <w:tab w:val="left" w:pos="284"/>
        </w:tabs>
        <w:ind w:firstLineChars="0"/>
      </w:pPr>
      <w:r>
        <w:rPr>
          <w:rFonts w:hint="eastAsia"/>
        </w:rPr>
        <w:t>《突发环境事件调查处理办法》，</w:t>
      </w:r>
      <w:r>
        <w:t>环保部</w:t>
      </w:r>
      <w:r>
        <w:rPr>
          <w:rFonts w:hint="eastAsia"/>
        </w:rPr>
        <w:t>令第32号，2015年3月1日起施行；</w:t>
      </w:r>
    </w:p>
    <w:p>
      <w:pPr>
        <w:pStyle w:val="17"/>
        <w:numPr>
          <w:ilvl w:val="0"/>
          <w:numId w:val="16"/>
        </w:numPr>
        <w:tabs>
          <w:tab w:val="left" w:pos="284"/>
        </w:tabs>
        <w:ind w:firstLineChars="0"/>
      </w:pPr>
      <w:r>
        <w:rPr>
          <w:rFonts w:hint="eastAsia"/>
        </w:rPr>
        <w:t>《</w:t>
      </w:r>
      <w:r>
        <w:t>建设项目环境影响评价分类管理目录》</w:t>
      </w:r>
      <w:r>
        <w:rPr>
          <w:rFonts w:hint="eastAsia"/>
        </w:rPr>
        <w:t>，</w:t>
      </w:r>
      <w:r>
        <w:t>环保部</w:t>
      </w:r>
      <w:r>
        <w:rPr>
          <w:rFonts w:hint="eastAsia"/>
        </w:rPr>
        <w:t>令</w:t>
      </w:r>
      <w:r>
        <w:t>第</w:t>
      </w:r>
      <w:r>
        <w:rPr>
          <w:rFonts w:hint="eastAsia"/>
        </w:rPr>
        <w:t>33</w:t>
      </w:r>
      <w:r>
        <w:t>号，20</w:t>
      </w:r>
      <w:r>
        <w:rPr>
          <w:rFonts w:hint="eastAsia"/>
        </w:rPr>
        <w:t>15</w:t>
      </w:r>
      <w:r>
        <w:t>年</w:t>
      </w:r>
      <w:r>
        <w:rPr>
          <w:rFonts w:hint="eastAsia"/>
        </w:rPr>
        <w:t>6</w:t>
      </w:r>
      <w:r>
        <w:t>月1日</w:t>
      </w:r>
      <w:r>
        <w:rPr>
          <w:rFonts w:hint="eastAsia"/>
        </w:rPr>
        <w:t>起施行</w:t>
      </w:r>
      <w:r>
        <w:t>；</w:t>
      </w:r>
    </w:p>
    <w:p>
      <w:pPr>
        <w:pStyle w:val="17"/>
        <w:numPr>
          <w:ilvl w:val="0"/>
          <w:numId w:val="16"/>
        </w:numPr>
        <w:tabs>
          <w:tab w:val="left" w:pos="284"/>
        </w:tabs>
        <w:ind w:firstLineChars="0"/>
        <w:rPr>
          <w:rFonts w:cs="Arial"/>
        </w:rPr>
      </w:pPr>
      <w:r>
        <w:rPr>
          <w:rFonts w:hint="eastAsia" w:cs="Arial"/>
        </w:rPr>
        <w:t>《突发环境事件应急管理办法》，</w:t>
      </w:r>
      <w:r>
        <w:t>环保部</w:t>
      </w:r>
      <w:r>
        <w:rPr>
          <w:rFonts w:hint="eastAsia"/>
        </w:rPr>
        <w:t>令</w:t>
      </w:r>
      <w:r>
        <w:rPr>
          <w:rFonts w:hint="eastAsia" w:cs="Arial"/>
        </w:rPr>
        <w:t>第34号，2015年6月5日起施行；</w:t>
      </w:r>
    </w:p>
    <w:p>
      <w:pPr>
        <w:pStyle w:val="17"/>
        <w:numPr>
          <w:ilvl w:val="0"/>
          <w:numId w:val="16"/>
        </w:numPr>
        <w:tabs>
          <w:tab w:val="left" w:pos="284"/>
        </w:tabs>
        <w:ind w:firstLineChars="0"/>
        <w:rPr>
          <w:rFonts w:cs="Arial"/>
        </w:rPr>
      </w:pPr>
      <w:r>
        <w:rPr>
          <w:rFonts w:cs="Arial"/>
        </w:rPr>
        <w:t>《</w:t>
      </w:r>
      <w:r>
        <w:rPr>
          <w:rFonts w:hAnsi="宋体" w:cs="Arial"/>
          <w:color w:val="000000"/>
          <w:szCs w:val="24"/>
        </w:rPr>
        <w:t>环境保护公众参与办法</w:t>
      </w:r>
      <w:r>
        <w:rPr>
          <w:rFonts w:cs="Arial"/>
        </w:rPr>
        <w:t>》</w:t>
      </w:r>
      <w:r>
        <w:t>环保部</w:t>
      </w:r>
      <w:r>
        <w:rPr>
          <w:rFonts w:hint="eastAsia"/>
        </w:rPr>
        <w:t>令</w:t>
      </w:r>
      <w:r>
        <w:rPr>
          <w:rFonts w:hint="eastAsia" w:cs="Arial"/>
        </w:rPr>
        <w:t>第35号，</w:t>
      </w:r>
      <w:r>
        <w:rPr>
          <w:rFonts w:cs="Arial"/>
          <w:color w:val="000000"/>
          <w:szCs w:val="24"/>
        </w:rPr>
        <w:t>2015</w:t>
      </w:r>
      <w:r>
        <w:rPr>
          <w:rFonts w:hAnsi="宋体" w:cs="Arial"/>
          <w:color w:val="000000"/>
          <w:szCs w:val="24"/>
        </w:rPr>
        <w:t>年</w:t>
      </w:r>
      <w:r>
        <w:rPr>
          <w:rFonts w:cs="Arial"/>
          <w:color w:val="000000"/>
          <w:szCs w:val="24"/>
        </w:rPr>
        <w:t>9</w:t>
      </w:r>
      <w:r>
        <w:rPr>
          <w:rFonts w:hAnsi="宋体" w:cs="Arial"/>
          <w:color w:val="000000"/>
          <w:szCs w:val="24"/>
        </w:rPr>
        <w:t>月</w:t>
      </w:r>
      <w:r>
        <w:rPr>
          <w:rFonts w:cs="Arial"/>
          <w:color w:val="000000"/>
          <w:szCs w:val="24"/>
        </w:rPr>
        <w:t>1</w:t>
      </w:r>
      <w:r>
        <w:rPr>
          <w:rFonts w:hAnsi="宋体" w:cs="Arial"/>
          <w:color w:val="000000"/>
          <w:szCs w:val="24"/>
        </w:rPr>
        <w:t>日起施行</w:t>
      </w:r>
      <w:r>
        <w:rPr>
          <w:rFonts w:cs="Arial"/>
        </w:rPr>
        <w:t>；</w:t>
      </w:r>
    </w:p>
    <w:p>
      <w:pPr>
        <w:pStyle w:val="17"/>
        <w:numPr>
          <w:ilvl w:val="0"/>
          <w:numId w:val="16"/>
        </w:numPr>
        <w:tabs>
          <w:tab w:val="left" w:pos="284"/>
        </w:tabs>
        <w:ind w:firstLineChars="0"/>
      </w:pPr>
      <w:r>
        <w:rPr>
          <w:rFonts w:hint="eastAsia"/>
        </w:rPr>
        <w:t>《国务院关于落实科学发展观加强环境保护的决定》（国发[2005]39号）；</w:t>
      </w:r>
    </w:p>
    <w:p>
      <w:pPr>
        <w:pStyle w:val="17"/>
        <w:numPr>
          <w:ilvl w:val="0"/>
          <w:numId w:val="16"/>
        </w:numPr>
        <w:tabs>
          <w:tab w:val="left" w:pos="284"/>
        </w:tabs>
        <w:ind w:firstLineChars="0"/>
      </w:pPr>
      <w:r>
        <w:rPr>
          <w:rFonts w:hint="eastAsia"/>
        </w:rPr>
        <w:t>环保部</w:t>
      </w:r>
      <w:r>
        <w:t>《关于进一步加强环境影响评价管理防范环境风险的通知》</w:t>
      </w:r>
      <w:r>
        <w:rPr>
          <w:rFonts w:hint="eastAsia"/>
        </w:rPr>
        <w:t>（</w:t>
      </w:r>
      <w:r>
        <w:t>环保部[2012]77号</w:t>
      </w:r>
      <w:r>
        <w:rPr>
          <w:rFonts w:hint="eastAsia"/>
        </w:rPr>
        <w:t>）</w:t>
      </w:r>
      <w:r>
        <w:t>；</w:t>
      </w:r>
    </w:p>
    <w:p>
      <w:pPr>
        <w:pStyle w:val="17"/>
        <w:numPr>
          <w:ilvl w:val="0"/>
          <w:numId w:val="16"/>
        </w:numPr>
        <w:tabs>
          <w:tab w:val="left" w:pos="284"/>
        </w:tabs>
        <w:ind w:firstLineChars="0"/>
      </w:pPr>
      <w:r>
        <w:t>《国务院关于加强环境保护重点工作的意见》</w:t>
      </w:r>
      <w:r>
        <w:rPr>
          <w:rFonts w:hint="eastAsia"/>
        </w:rPr>
        <w:t>（</w:t>
      </w:r>
      <w:r>
        <w:t>国发[2011]35号</w:t>
      </w:r>
      <w:r>
        <w:rPr>
          <w:rFonts w:hint="eastAsia"/>
        </w:rPr>
        <w:t>）</w:t>
      </w:r>
      <w:r>
        <w:t>；</w:t>
      </w:r>
    </w:p>
    <w:p>
      <w:pPr>
        <w:pStyle w:val="17"/>
        <w:numPr>
          <w:ilvl w:val="0"/>
          <w:numId w:val="16"/>
        </w:numPr>
        <w:tabs>
          <w:tab w:val="left" w:pos="284"/>
        </w:tabs>
        <w:ind w:firstLineChars="0"/>
      </w:pPr>
      <w:r>
        <w:rPr>
          <w:rFonts w:hint="eastAsia"/>
        </w:rPr>
        <w:t>《国务院关于印发全国主体功能区规划的通知》（国发[2010]46号）；</w:t>
      </w:r>
    </w:p>
    <w:p>
      <w:pPr>
        <w:pStyle w:val="17"/>
        <w:numPr>
          <w:ilvl w:val="0"/>
          <w:numId w:val="16"/>
        </w:numPr>
        <w:tabs>
          <w:tab w:val="left" w:pos="284"/>
        </w:tabs>
        <w:ind w:firstLineChars="0"/>
      </w:pPr>
      <w:r>
        <w:t>《全国生态环境保护纲要》，2000年11月26日；</w:t>
      </w:r>
    </w:p>
    <w:p>
      <w:pPr>
        <w:pStyle w:val="17"/>
        <w:numPr>
          <w:ilvl w:val="0"/>
          <w:numId w:val="16"/>
        </w:numPr>
        <w:tabs>
          <w:tab w:val="left" w:pos="284"/>
        </w:tabs>
        <w:ind w:firstLineChars="0"/>
      </w:pPr>
      <w:r>
        <w:rPr>
          <w:rFonts w:hint="eastAsia"/>
        </w:rPr>
        <w:t>《关于加强化学危险品管理的通知》（环发[1999]296号）；</w:t>
      </w:r>
    </w:p>
    <w:p>
      <w:pPr>
        <w:pStyle w:val="17"/>
        <w:numPr>
          <w:ilvl w:val="0"/>
          <w:numId w:val="16"/>
        </w:numPr>
        <w:tabs>
          <w:tab w:val="left" w:pos="284"/>
        </w:tabs>
        <w:ind w:firstLineChars="0"/>
      </w:pPr>
      <w:r>
        <w:rPr>
          <w:rFonts w:hint="eastAsia"/>
        </w:rPr>
        <w:t>《关于进一步加强公路水路交通运输规划环境影响评价工作的通知》（环发[2012]49号）；</w:t>
      </w:r>
    </w:p>
    <w:p>
      <w:pPr>
        <w:pStyle w:val="17"/>
        <w:numPr>
          <w:ilvl w:val="0"/>
          <w:numId w:val="16"/>
        </w:numPr>
        <w:tabs>
          <w:tab w:val="left" w:pos="284"/>
        </w:tabs>
        <w:ind w:firstLineChars="0"/>
      </w:pPr>
      <w:r>
        <w:rPr>
          <w:rFonts w:hint="eastAsia"/>
        </w:rPr>
        <w:t>《关于开展环境污染强制责任保险试点工作的指导意见》（环发[2013]10号）；</w:t>
      </w:r>
    </w:p>
    <w:p>
      <w:pPr>
        <w:pStyle w:val="17"/>
        <w:numPr>
          <w:ilvl w:val="0"/>
          <w:numId w:val="16"/>
        </w:numPr>
        <w:tabs>
          <w:tab w:val="left" w:pos="284"/>
        </w:tabs>
        <w:ind w:firstLineChars="0"/>
      </w:pPr>
      <w:r>
        <w:rPr>
          <w:rFonts w:hint="eastAsia"/>
        </w:rPr>
        <w:t>《关于加强国家重点生态功能区环境保护和管理的意见》（环发</w:t>
      </w:r>
      <w:r>
        <w:t>[2013]16</w:t>
      </w:r>
      <w:r>
        <w:rPr>
          <w:rFonts w:hint="eastAsia"/>
        </w:rPr>
        <w:t>号）</w:t>
      </w:r>
    </w:p>
    <w:p>
      <w:pPr>
        <w:pStyle w:val="17"/>
        <w:numPr>
          <w:ilvl w:val="0"/>
          <w:numId w:val="16"/>
        </w:numPr>
        <w:tabs>
          <w:tab w:val="left" w:pos="284"/>
        </w:tabs>
        <w:ind w:firstLineChars="0"/>
      </w:pPr>
      <w:r>
        <w:rPr>
          <w:rFonts w:hint="eastAsia"/>
        </w:rPr>
        <w:t>《关于加强产业园区规划环境影响评价有关工作的通知》（环发[2011]14号）；</w:t>
      </w:r>
    </w:p>
    <w:p>
      <w:pPr>
        <w:pStyle w:val="17"/>
        <w:numPr>
          <w:ilvl w:val="0"/>
          <w:numId w:val="16"/>
        </w:numPr>
        <w:tabs>
          <w:tab w:val="left" w:pos="284"/>
        </w:tabs>
        <w:ind w:firstLineChars="0"/>
      </w:pPr>
      <w:r>
        <w:rPr>
          <w:rFonts w:hint="eastAsia"/>
        </w:rPr>
        <w:t>《环境保护部  农业部关于进一步加强水生生物资源保护严格环境影响评价管理的通知》（环发[2013]86号）；</w:t>
      </w:r>
    </w:p>
    <w:p>
      <w:pPr>
        <w:pStyle w:val="17"/>
        <w:numPr>
          <w:ilvl w:val="0"/>
          <w:numId w:val="16"/>
        </w:numPr>
        <w:tabs>
          <w:tab w:val="left" w:pos="284"/>
        </w:tabs>
        <w:ind w:firstLineChars="0"/>
      </w:pPr>
      <w:r>
        <w:t>《国务院关于印发国家环境保护</w:t>
      </w:r>
      <w:r>
        <w:rPr>
          <w:rFonts w:hint="eastAsia"/>
        </w:rPr>
        <w:t>“</w:t>
      </w:r>
      <w:r>
        <w:t>十二五</w:t>
      </w:r>
      <w:r>
        <w:rPr>
          <w:rFonts w:hint="eastAsia"/>
        </w:rPr>
        <w:t>”</w:t>
      </w:r>
      <w:r>
        <w:t>规划的通知》</w:t>
      </w:r>
      <w:r>
        <w:rPr>
          <w:rFonts w:hint="eastAsia"/>
        </w:rPr>
        <w:t>（</w:t>
      </w:r>
      <w:r>
        <w:t>国发[2011]42号</w:t>
      </w:r>
      <w:r>
        <w:rPr>
          <w:rFonts w:hint="eastAsia"/>
        </w:rPr>
        <w:t>）</w:t>
      </w:r>
      <w:r>
        <w:t>；</w:t>
      </w:r>
    </w:p>
    <w:p>
      <w:pPr>
        <w:pStyle w:val="17"/>
        <w:numPr>
          <w:ilvl w:val="0"/>
          <w:numId w:val="16"/>
        </w:numPr>
        <w:tabs>
          <w:tab w:val="left" w:pos="284"/>
        </w:tabs>
        <w:ind w:firstLineChars="0"/>
      </w:pPr>
      <w:r>
        <w:rPr>
          <w:rFonts w:hint="eastAsia"/>
        </w:rPr>
        <w:t>《关于推进环境保护公众参与的指导意见》（环办[2014]48号）；</w:t>
      </w:r>
    </w:p>
    <w:p>
      <w:pPr>
        <w:pStyle w:val="17"/>
        <w:numPr>
          <w:ilvl w:val="0"/>
          <w:numId w:val="16"/>
        </w:numPr>
        <w:tabs>
          <w:tab w:val="left" w:pos="284"/>
        </w:tabs>
        <w:ind w:firstLineChars="0"/>
      </w:pPr>
      <w:r>
        <w:t>关于发布《</w:t>
      </w:r>
      <w:r>
        <w:rPr>
          <w:rFonts w:hint="eastAsia"/>
        </w:rPr>
        <w:t>建设项目环境影响评价政府信息公开指南（试行）</w:t>
      </w:r>
      <w:r>
        <w:t>》的公告，</w:t>
      </w:r>
      <w:r>
        <w:rPr>
          <w:rFonts w:hint="eastAsia"/>
        </w:rPr>
        <w:t>环境保护办公厅，2013年11月14日</w:t>
      </w:r>
      <w:r>
        <w:t>；</w:t>
      </w:r>
    </w:p>
    <w:p>
      <w:pPr>
        <w:pStyle w:val="17"/>
        <w:numPr>
          <w:ilvl w:val="0"/>
          <w:numId w:val="16"/>
        </w:numPr>
        <w:tabs>
          <w:tab w:val="left" w:pos="284"/>
        </w:tabs>
        <w:ind w:firstLineChars="0"/>
      </w:pPr>
      <w:r>
        <w:t>原国家环境保护总局文件《关于印发环境影响评价公众参与暂行办法》的通知</w:t>
      </w:r>
      <w:r>
        <w:rPr>
          <w:rFonts w:hint="eastAsia"/>
        </w:rPr>
        <w:t>（</w:t>
      </w:r>
      <w:r>
        <w:t>环发[2006]28号</w:t>
      </w:r>
      <w:r>
        <w:rPr>
          <w:rFonts w:hint="eastAsia"/>
        </w:rPr>
        <w:t>）</w:t>
      </w:r>
      <w:r>
        <w:t>；</w:t>
      </w:r>
    </w:p>
    <w:p>
      <w:pPr>
        <w:pStyle w:val="17"/>
        <w:numPr>
          <w:ilvl w:val="0"/>
          <w:numId w:val="16"/>
        </w:numPr>
        <w:tabs>
          <w:tab w:val="left" w:pos="284"/>
        </w:tabs>
        <w:ind w:firstLineChars="0"/>
        <w:rPr>
          <w:rFonts w:cs="Arial"/>
          <w:color w:val="000000"/>
          <w:szCs w:val="24"/>
        </w:rPr>
      </w:pPr>
      <w:r>
        <w:rPr>
          <w:rFonts w:hAnsi="宋体" w:cs="Arial"/>
          <w:color w:val="000000"/>
          <w:szCs w:val="24"/>
        </w:rPr>
        <w:t>《关于印发</w:t>
      </w:r>
      <w:r>
        <w:rPr>
          <w:rFonts w:cs="Arial"/>
          <w:color w:val="000000"/>
          <w:szCs w:val="24"/>
        </w:rPr>
        <w:t>&lt;</w:t>
      </w:r>
      <w:r>
        <w:rPr>
          <w:rFonts w:hAnsi="宋体" w:cs="Arial"/>
          <w:color w:val="000000"/>
          <w:szCs w:val="24"/>
        </w:rPr>
        <w:t>企业事业单位突发环境事件应急预案备案管理办法（试行）</w:t>
      </w:r>
      <w:r>
        <w:rPr>
          <w:rFonts w:cs="Arial"/>
          <w:color w:val="000000"/>
          <w:szCs w:val="24"/>
        </w:rPr>
        <w:t>&gt;</w:t>
      </w:r>
      <w:r>
        <w:rPr>
          <w:rFonts w:hAnsi="宋体" w:cs="Arial"/>
          <w:color w:val="000000"/>
          <w:szCs w:val="24"/>
        </w:rPr>
        <w:t>的通知》</w:t>
      </w:r>
      <w:r>
        <w:rPr>
          <w:rFonts w:cs="Arial"/>
          <w:color w:val="000000"/>
          <w:szCs w:val="24"/>
        </w:rPr>
        <w:t>(</w:t>
      </w:r>
      <w:r>
        <w:rPr>
          <w:rFonts w:hAnsi="宋体" w:cs="Arial"/>
          <w:color w:val="000000"/>
          <w:szCs w:val="24"/>
        </w:rPr>
        <w:t>环发</w:t>
      </w:r>
      <w:r>
        <w:rPr>
          <w:rFonts w:cs="Arial"/>
          <w:color w:val="000000"/>
          <w:szCs w:val="24"/>
        </w:rPr>
        <w:t>[2015]4</w:t>
      </w:r>
      <w:r>
        <w:rPr>
          <w:rFonts w:hAnsi="宋体" w:cs="Arial"/>
          <w:color w:val="000000"/>
          <w:szCs w:val="24"/>
        </w:rPr>
        <w:t>号</w:t>
      </w:r>
      <w:r>
        <w:rPr>
          <w:rFonts w:cs="Arial"/>
          <w:color w:val="000000"/>
          <w:szCs w:val="24"/>
        </w:rPr>
        <w:t>)</w:t>
      </w:r>
      <w:r>
        <w:rPr>
          <w:rFonts w:hAnsi="宋体" w:cs="Arial"/>
          <w:color w:val="000000"/>
          <w:szCs w:val="24"/>
        </w:rPr>
        <w:t>；</w:t>
      </w:r>
    </w:p>
    <w:p>
      <w:pPr>
        <w:pStyle w:val="17"/>
        <w:numPr>
          <w:ilvl w:val="0"/>
          <w:numId w:val="16"/>
        </w:numPr>
        <w:tabs>
          <w:tab w:val="left" w:pos="284"/>
        </w:tabs>
        <w:ind w:firstLineChars="0"/>
        <w:rPr>
          <w:rFonts w:cs="Arial"/>
        </w:rPr>
      </w:pPr>
      <w:r>
        <w:rPr>
          <w:rFonts w:cs="Arial"/>
        </w:rPr>
        <w:t>环保部《关于切实加强风险防范严格环境影响评价管理的通知》（环发[2012]98号）；</w:t>
      </w:r>
    </w:p>
    <w:p>
      <w:pPr>
        <w:pStyle w:val="17"/>
        <w:numPr>
          <w:ilvl w:val="0"/>
          <w:numId w:val="16"/>
        </w:numPr>
        <w:tabs>
          <w:tab w:val="left" w:pos="284"/>
        </w:tabs>
        <w:ind w:firstLineChars="0"/>
        <w:rPr>
          <w:rFonts w:cs="Arial"/>
        </w:rPr>
      </w:pPr>
      <w:r>
        <w:rPr>
          <w:rFonts w:cs="Arial"/>
        </w:rPr>
        <w:t>环保部《关于进一步加强环境影响评价管理防范环境风险的通知》（环发[2012]77号）；</w:t>
      </w:r>
    </w:p>
    <w:p>
      <w:pPr>
        <w:pStyle w:val="17"/>
        <w:numPr>
          <w:ilvl w:val="0"/>
          <w:numId w:val="16"/>
        </w:numPr>
        <w:tabs>
          <w:tab w:val="left" w:pos="284"/>
        </w:tabs>
        <w:ind w:firstLineChars="0"/>
        <w:rPr>
          <w:rFonts w:cs="Arial"/>
        </w:rPr>
      </w:pPr>
      <w:r>
        <w:rPr>
          <w:rFonts w:hint="eastAsia" w:cs="Arial"/>
        </w:rPr>
        <w:t>环保部《</w:t>
      </w:r>
      <w:r>
        <w:rPr>
          <w:rFonts w:hint="eastAsia" w:cs="Arial"/>
          <w:bCs/>
        </w:rPr>
        <w:t>关于印发&lt;突发环境事件应急预案管理暂行办法&gt;的通知</w:t>
      </w:r>
      <w:r>
        <w:rPr>
          <w:rFonts w:hint="eastAsia" w:cs="Arial"/>
        </w:rPr>
        <w:t>》（</w:t>
      </w:r>
      <w:r>
        <w:rPr>
          <w:rFonts w:cs="Arial"/>
        </w:rPr>
        <w:t>环发[2010]113号</w:t>
      </w:r>
      <w:r>
        <w:rPr>
          <w:rFonts w:hint="eastAsia" w:cs="Arial"/>
        </w:rPr>
        <w:t>）；</w:t>
      </w:r>
    </w:p>
    <w:p>
      <w:pPr>
        <w:pStyle w:val="17"/>
        <w:numPr>
          <w:ilvl w:val="0"/>
          <w:numId w:val="16"/>
        </w:numPr>
        <w:tabs>
          <w:tab w:val="left" w:pos="284"/>
        </w:tabs>
        <w:ind w:firstLineChars="0"/>
        <w:rPr>
          <w:rFonts w:cs="Arial"/>
          <w:color w:val="000000"/>
          <w:szCs w:val="24"/>
        </w:rPr>
      </w:pPr>
      <w:r>
        <w:rPr>
          <w:rFonts w:hAnsi="宋体" w:cs="Arial"/>
          <w:color w:val="000000"/>
          <w:szCs w:val="24"/>
        </w:rPr>
        <w:t>《关于进一步加强环境影响评价违法项目责任追究的通知》（环办函</w:t>
      </w:r>
      <w:r>
        <w:rPr>
          <w:rFonts w:cs="Arial"/>
          <w:color w:val="000000"/>
          <w:szCs w:val="24"/>
        </w:rPr>
        <w:t>[2015]389</w:t>
      </w:r>
      <w:r>
        <w:rPr>
          <w:rFonts w:hAnsi="宋体" w:cs="Arial"/>
          <w:color w:val="000000"/>
          <w:szCs w:val="24"/>
        </w:rPr>
        <w:t>号）；</w:t>
      </w:r>
    </w:p>
    <w:p>
      <w:pPr>
        <w:pStyle w:val="17"/>
        <w:numPr>
          <w:ilvl w:val="0"/>
          <w:numId w:val="16"/>
        </w:numPr>
        <w:tabs>
          <w:tab w:val="left" w:pos="284"/>
        </w:tabs>
        <w:ind w:firstLineChars="0"/>
        <w:rPr>
          <w:rFonts w:cs="Arial"/>
          <w:color w:val="000000"/>
          <w:szCs w:val="24"/>
        </w:rPr>
      </w:pPr>
      <w:r>
        <w:rPr>
          <w:rFonts w:hAnsi="宋体" w:cs="Arial"/>
          <w:color w:val="000000"/>
          <w:szCs w:val="24"/>
        </w:rPr>
        <w:t>《环境保护部关于印发</w:t>
      </w:r>
      <w:r>
        <w:rPr>
          <w:rFonts w:cs="Arial"/>
          <w:color w:val="000000"/>
          <w:szCs w:val="24"/>
        </w:rPr>
        <w:t>&lt;</w:t>
      </w:r>
      <w:r>
        <w:rPr>
          <w:rFonts w:hAnsi="宋体" w:cs="Arial"/>
          <w:color w:val="000000"/>
          <w:szCs w:val="24"/>
        </w:rPr>
        <w:t>建设项目主要污染物排放总量指标审核及管理暂行办法</w:t>
      </w:r>
      <w:r>
        <w:rPr>
          <w:rFonts w:cs="Arial"/>
          <w:color w:val="000000"/>
          <w:szCs w:val="24"/>
        </w:rPr>
        <w:t>&gt;</w:t>
      </w:r>
      <w:r>
        <w:rPr>
          <w:rFonts w:hAnsi="宋体" w:cs="Arial"/>
          <w:color w:val="000000"/>
          <w:szCs w:val="24"/>
        </w:rPr>
        <w:t>的通知》（环发</w:t>
      </w:r>
      <w:r>
        <w:rPr>
          <w:rFonts w:cs="Arial"/>
          <w:color w:val="000000"/>
          <w:szCs w:val="24"/>
        </w:rPr>
        <w:t>[2014]197</w:t>
      </w:r>
      <w:r>
        <w:rPr>
          <w:rFonts w:hAnsi="宋体" w:cs="Arial"/>
          <w:color w:val="000000"/>
          <w:szCs w:val="24"/>
        </w:rPr>
        <w:t>号）；</w:t>
      </w:r>
    </w:p>
    <w:p>
      <w:pPr>
        <w:pStyle w:val="17"/>
        <w:numPr>
          <w:ilvl w:val="0"/>
          <w:numId w:val="16"/>
        </w:numPr>
        <w:tabs>
          <w:tab w:val="left" w:pos="284"/>
        </w:tabs>
        <w:ind w:firstLineChars="0"/>
        <w:rPr>
          <w:rFonts w:cs="Arial"/>
          <w:color w:val="000000"/>
          <w:szCs w:val="24"/>
        </w:rPr>
      </w:pPr>
      <w:r>
        <w:rPr>
          <w:rFonts w:hAnsi="宋体" w:cs="Arial"/>
          <w:color w:val="000000"/>
          <w:szCs w:val="24"/>
        </w:rPr>
        <w:t>原国家环境保护总局文件《关于发布中国第一批外来入侵物种名单的通知》（环发</w:t>
      </w:r>
      <w:r>
        <w:rPr>
          <w:rFonts w:cs="Arial"/>
          <w:color w:val="000000"/>
          <w:szCs w:val="24"/>
        </w:rPr>
        <w:t>[2003]11</w:t>
      </w:r>
      <w:r>
        <w:rPr>
          <w:rFonts w:hAnsi="宋体" w:cs="Arial"/>
          <w:color w:val="000000"/>
          <w:szCs w:val="24"/>
        </w:rPr>
        <w:t>号）；</w:t>
      </w:r>
    </w:p>
    <w:p>
      <w:pPr>
        <w:pStyle w:val="17"/>
        <w:numPr>
          <w:ilvl w:val="0"/>
          <w:numId w:val="16"/>
        </w:numPr>
        <w:tabs>
          <w:tab w:val="left" w:pos="284"/>
        </w:tabs>
        <w:ind w:firstLineChars="0"/>
        <w:rPr>
          <w:rFonts w:cs="Arial"/>
        </w:rPr>
      </w:pPr>
      <w:r>
        <w:rPr>
          <w:rFonts w:cs="Arial"/>
        </w:rPr>
        <w:t>环保部《关于发布中国第二批外来入侵物种名单的通知》（环发[2010]4号）；</w:t>
      </w:r>
    </w:p>
    <w:p>
      <w:pPr>
        <w:pStyle w:val="17"/>
        <w:numPr>
          <w:ilvl w:val="0"/>
          <w:numId w:val="16"/>
        </w:numPr>
        <w:tabs>
          <w:tab w:val="left" w:pos="284"/>
        </w:tabs>
        <w:ind w:firstLineChars="0"/>
        <w:rPr>
          <w:rFonts w:cs="Arial"/>
        </w:rPr>
      </w:pPr>
      <w:r>
        <w:rPr>
          <w:rFonts w:cs="Arial"/>
        </w:rPr>
        <w:t>商务部、公安部、建设部、交通部《关于限期禁止在城市城区现场搅拌混凝土的通知》（商改发[2003]341号）；</w:t>
      </w:r>
    </w:p>
    <w:p>
      <w:pPr>
        <w:pStyle w:val="17"/>
        <w:numPr>
          <w:ilvl w:val="0"/>
          <w:numId w:val="16"/>
        </w:numPr>
        <w:tabs>
          <w:tab w:val="left" w:pos="284"/>
        </w:tabs>
        <w:ind w:firstLineChars="0"/>
        <w:rPr>
          <w:rFonts w:cs="Arial"/>
        </w:rPr>
      </w:pPr>
      <w:r>
        <w:rPr>
          <w:rFonts w:cs="Arial"/>
        </w:rPr>
        <w:t>《湖北省人民政府关于加强湖泊保护与管理的实施意见》（鄂政发[2012]90号），湖北省人民政府办公厅2012年10月26日印发；</w:t>
      </w:r>
    </w:p>
    <w:p>
      <w:pPr>
        <w:pStyle w:val="17"/>
        <w:numPr>
          <w:ilvl w:val="0"/>
          <w:numId w:val="16"/>
        </w:numPr>
        <w:tabs>
          <w:tab w:val="left" w:pos="284"/>
        </w:tabs>
        <w:ind w:firstLineChars="0"/>
        <w:rPr>
          <w:rFonts w:cs="Arial"/>
        </w:rPr>
      </w:pPr>
      <w:r>
        <w:rPr>
          <w:rFonts w:cs="Arial"/>
        </w:rPr>
        <w:t>《湖北省人民政府办公厅关于印发&lt;湖北省建设项目环境影响评价文件分级审批办法&gt;的通知》（鄂政办发[2012]25号）；</w:t>
      </w:r>
    </w:p>
    <w:p>
      <w:pPr>
        <w:pStyle w:val="17"/>
        <w:numPr>
          <w:ilvl w:val="0"/>
          <w:numId w:val="16"/>
        </w:numPr>
        <w:tabs>
          <w:tab w:val="left" w:pos="284"/>
        </w:tabs>
        <w:ind w:firstLineChars="0"/>
        <w:rPr>
          <w:rFonts w:cs="Arial"/>
        </w:rPr>
      </w:pPr>
      <w:r>
        <w:rPr>
          <w:rFonts w:cs="Arial"/>
        </w:rPr>
        <w:t>《关于进一步调整建设项目环境影响评价分级审批权限的通知》（鄂环发[2015]11号），2015年6月30日印发；</w:t>
      </w:r>
    </w:p>
    <w:p>
      <w:pPr>
        <w:pStyle w:val="17"/>
        <w:numPr>
          <w:ilvl w:val="0"/>
          <w:numId w:val="16"/>
        </w:numPr>
        <w:tabs>
          <w:tab w:val="left" w:pos="284"/>
        </w:tabs>
        <w:ind w:firstLineChars="0"/>
        <w:rPr>
          <w:rFonts w:cs="Arial"/>
        </w:rPr>
      </w:pPr>
      <w:r>
        <w:rPr>
          <w:rFonts w:cs="Arial"/>
        </w:rPr>
        <w:t>《湖北省人民政府办公厅转发省环境保护局关于湖北省地表水环境功能类别的通知》（鄂政办发[2000]10号）；</w:t>
      </w:r>
    </w:p>
    <w:p>
      <w:pPr>
        <w:pStyle w:val="17"/>
        <w:numPr>
          <w:ilvl w:val="0"/>
          <w:numId w:val="16"/>
        </w:numPr>
        <w:tabs>
          <w:tab w:val="left" w:pos="284"/>
        </w:tabs>
        <w:ind w:firstLineChars="0"/>
        <w:rPr>
          <w:rFonts w:cs="Arial"/>
        </w:rPr>
      </w:pPr>
      <w:r>
        <w:rPr>
          <w:rFonts w:cs="Arial"/>
        </w:rPr>
        <w:t>《水土保持生态建设工程监理管理暂行办法》（水建管79号）</w:t>
      </w:r>
      <w:r>
        <w:rPr>
          <w:rFonts w:hint="eastAsia" w:cs="Arial"/>
        </w:rPr>
        <w:t>；</w:t>
      </w:r>
    </w:p>
    <w:p>
      <w:pPr>
        <w:pStyle w:val="17"/>
        <w:numPr>
          <w:ilvl w:val="0"/>
          <w:numId w:val="16"/>
        </w:numPr>
        <w:tabs>
          <w:tab w:val="left" w:pos="284"/>
        </w:tabs>
        <w:ind w:firstLineChars="0"/>
        <w:rPr>
          <w:rFonts w:cs="Arial"/>
        </w:rPr>
      </w:pPr>
      <w:r>
        <w:rPr>
          <w:rFonts w:hint="eastAsia" w:cs="Arial"/>
        </w:rPr>
        <w:t>《宜昌市城镇环境噪声污染防治管理实施细则》；</w:t>
      </w:r>
    </w:p>
    <w:p>
      <w:pPr>
        <w:pStyle w:val="17"/>
        <w:numPr>
          <w:ilvl w:val="0"/>
          <w:numId w:val="16"/>
        </w:numPr>
        <w:tabs>
          <w:tab w:val="left" w:pos="284"/>
        </w:tabs>
        <w:ind w:firstLineChars="0"/>
        <w:rPr>
          <w:rFonts w:cs="Arial"/>
        </w:rPr>
      </w:pPr>
      <w:r>
        <w:rPr>
          <w:rFonts w:hint="eastAsia" w:cs="Arial"/>
        </w:rPr>
        <w:t>《宜昌市烟尘控制区管理暂行办法》，1989年；</w:t>
      </w:r>
    </w:p>
    <w:p>
      <w:pPr>
        <w:pStyle w:val="17"/>
        <w:numPr>
          <w:ilvl w:val="0"/>
          <w:numId w:val="16"/>
        </w:numPr>
        <w:tabs>
          <w:tab w:val="left" w:pos="284"/>
        </w:tabs>
        <w:ind w:firstLineChars="0"/>
        <w:rPr>
          <w:rFonts w:cs="Arial"/>
        </w:rPr>
      </w:pPr>
      <w:r>
        <w:rPr>
          <w:rFonts w:hint="eastAsia"/>
        </w:rPr>
        <w:t>《宜昌市城区饮用水水源地保护区污染防治管理规定》，1995年。</w:t>
      </w:r>
    </w:p>
    <w:p>
      <w:pPr>
        <w:pStyle w:val="5"/>
        <w:tabs>
          <w:tab w:val="left" w:pos="567"/>
        </w:tabs>
        <w:spacing w:before="62" w:beforeLines="20" w:afterLines="0" w:line="360" w:lineRule="auto"/>
        <w:ind w:left="0" w:firstLine="0"/>
        <w:rPr>
          <w:rFonts w:ascii="宋体" w:hAnsi="宋体" w:eastAsia="宋体"/>
          <w:b/>
          <w:sz w:val="28"/>
          <w:szCs w:val="28"/>
        </w:rPr>
      </w:pPr>
      <w:bookmarkStart w:id="12" w:name="_Toc431456156"/>
      <w:bookmarkStart w:id="13" w:name="_Toc432547757"/>
      <w:bookmarkStart w:id="14" w:name="_Toc442195655"/>
      <w:r>
        <w:rPr>
          <w:rFonts w:hint="eastAsia" w:ascii="宋体" w:hAnsi="宋体" w:eastAsia="宋体"/>
          <w:b/>
          <w:sz w:val="28"/>
          <w:szCs w:val="28"/>
        </w:rPr>
        <w:t>技术</w:t>
      </w:r>
      <w:bookmarkEnd w:id="12"/>
      <w:r>
        <w:rPr>
          <w:rFonts w:hint="eastAsia" w:ascii="宋体" w:hAnsi="宋体" w:eastAsia="宋体"/>
          <w:b/>
          <w:sz w:val="28"/>
          <w:szCs w:val="28"/>
        </w:rPr>
        <w:t>规范</w:t>
      </w:r>
      <w:bookmarkEnd w:id="13"/>
      <w:bookmarkEnd w:id="14"/>
    </w:p>
    <w:p>
      <w:pPr>
        <w:pStyle w:val="17"/>
        <w:numPr>
          <w:ilvl w:val="1"/>
          <w:numId w:val="17"/>
        </w:numPr>
        <w:tabs>
          <w:tab w:val="left" w:pos="284"/>
        </w:tabs>
        <w:ind w:firstLineChars="0"/>
      </w:pPr>
      <w:r>
        <w:t>《环境影响评价技术导则－总纲》（HJ2.1-2011）</w:t>
      </w:r>
      <w:r>
        <w:rPr>
          <w:rFonts w:hint="eastAsia"/>
        </w:rPr>
        <w:t>；</w:t>
      </w:r>
    </w:p>
    <w:p>
      <w:pPr>
        <w:pStyle w:val="17"/>
        <w:numPr>
          <w:ilvl w:val="1"/>
          <w:numId w:val="17"/>
        </w:numPr>
        <w:tabs>
          <w:tab w:val="left" w:pos="284"/>
        </w:tabs>
        <w:ind w:firstLineChars="0"/>
      </w:pPr>
      <w:r>
        <w:t>《环境影响评价技术导则―大气环境》（HJT2.2-2008）</w:t>
      </w:r>
      <w:r>
        <w:rPr>
          <w:rFonts w:hint="eastAsia"/>
        </w:rPr>
        <w:t>；</w:t>
      </w:r>
    </w:p>
    <w:p>
      <w:pPr>
        <w:pStyle w:val="17"/>
        <w:numPr>
          <w:ilvl w:val="1"/>
          <w:numId w:val="17"/>
        </w:numPr>
        <w:tabs>
          <w:tab w:val="left" w:pos="284"/>
        </w:tabs>
        <w:ind w:firstLineChars="0"/>
      </w:pPr>
      <w:r>
        <w:t>《环境影响评价技术导则―地面水环境》（HJ/T2.3-93）</w:t>
      </w:r>
      <w:r>
        <w:rPr>
          <w:rFonts w:hint="eastAsia"/>
        </w:rPr>
        <w:t>；</w:t>
      </w:r>
    </w:p>
    <w:p>
      <w:pPr>
        <w:pStyle w:val="17"/>
        <w:numPr>
          <w:ilvl w:val="1"/>
          <w:numId w:val="17"/>
        </w:numPr>
        <w:tabs>
          <w:tab w:val="left" w:pos="284"/>
        </w:tabs>
        <w:ind w:firstLineChars="0"/>
      </w:pPr>
      <w:r>
        <w:t>《环境影响评价技术导则―地</w:t>
      </w:r>
      <w:r>
        <w:rPr>
          <w:rFonts w:hint="eastAsia"/>
        </w:rPr>
        <w:t>下</w:t>
      </w:r>
      <w:r>
        <w:t>水环境》</w:t>
      </w:r>
      <w:r>
        <w:rPr>
          <w:rFonts w:hint="eastAsia"/>
        </w:rPr>
        <w:t>（</w:t>
      </w:r>
      <w:r>
        <w:t>HJ</w:t>
      </w:r>
      <w:r>
        <w:rPr>
          <w:rFonts w:hint="eastAsia"/>
        </w:rPr>
        <w:t>610</w:t>
      </w:r>
      <w:r>
        <w:t>-</w:t>
      </w:r>
      <w:r>
        <w:rPr>
          <w:rFonts w:hint="eastAsia"/>
        </w:rPr>
        <w:t>2011）；</w:t>
      </w:r>
    </w:p>
    <w:p>
      <w:pPr>
        <w:pStyle w:val="17"/>
        <w:numPr>
          <w:ilvl w:val="1"/>
          <w:numId w:val="17"/>
        </w:numPr>
        <w:tabs>
          <w:tab w:val="left" w:pos="284"/>
        </w:tabs>
        <w:ind w:firstLineChars="0"/>
      </w:pPr>
      <w:r>
        <w:t>《环境影响评价技术导则－声环境》（HJ/T2.4-2009）</w:t>
      </w:r>
      <w:r>
        <w:rPr>
          <w:rFonts w:hint="eastAsia"/>
        </w:rPr>
        <w:t>；</w:t>
      </w:r>
    </w:p>
    <w:p>
      <w:pPr>
        <w:pStyle w:val="17"/>
        <w:numPr>
          <w:ilvl w:val="1"/>
          <w:numId w:val="17"/>
        </w:numPr>
        <w:tabs>
          <w:tab w:val="left" w:pos="284"/>
        </w:tabs>
        <w:ind w:firstLineChars="0"/>
        <w:rPr>
          <w:szCs w:val="26"/>
        </w:rPr>
      </w:pPr>
      <w:r>
        <w:t>《环境影响评价技术导则—生态影响》（HJ19—2011）</w:t>
      </w:r>
      <w:r>
        <w:rPr>
          <w:rFonts w:hint="eastAsia"/>
        </w:rPr>
        <w:t>；</w:t>
      </w:r>
    </w:p>
    <w:p>
      <w:pPr>
        <w:pStyle w:val="17"/>
        <w:numPr>
          <w:ilvl w:val="1"/>
          <w:numId w:val="17"/>
        </w:numPr>
        <w:tabs>
          <w:tab w:val="left" w:pos="284"/>
        </w:tabs>
        <w:ind w:firstLineChars="0"/>
        <w:rPr>
          <w:szCs w:val="26"/>
        </w:rPr>
      </w:pPr>
      <w:r>
        <w:rPr>
          <w:rFonts w:hint="eastAsia"/>
        </w:rPr>
        <w:t>《建设项目环境风险</w:t>
      </w:r>
      <w:r>
        <w:t>评价技术导则</w:t>
      </w:r>
      <w:r>
        <w:rPr>
          <w:rFonts w:hint="eastAsia"/>
        </w:rPr>
        <w:t>》（</w:t>
      </w:r>
      <w:r>
        <w:t>HJ/T</w:t>
      </w:r>
      <w:r>
        <w:rPr>
          <w:rFonts w:hint="eastAsia"/>
        </w:rPr>
        <w:t>169</w:t>
      </w:r>
      <w:r>
        <w:t>-200</w:t>
      </w:r>
      <w:r>
        <w:rPr>
          <w:rFonts w:hint="eastAsia"/>
        </w:rPr>
        <w:t>4）；</w:t>
      </w:r>
    </w:p>
    <w:p>
      <w:pPr>
        <w:pStyle w:val="17"/>
        <w:numPr>
          <w:ilvl w:val="1"/>
          <w:numId w:val="17"/>
        </w:numPr>
        <w:tabs>
          <w:tab w:val="left" w:pos="284"/>
        </w:tabs>
        <w:ind w:firstLineChars="0"/>
        <w:rPr>
          <w:szCs w:val="26"/>
        </w:rPr>
      </w:pPr>
      <w:r>
        <w:rPr>
          <w:rFonts w:hint="eastAsia"/>
        </w:rPr>
        <w:t>《内河航运建设项目环境影响评价规范》（JTJ227-2001）；</w:t>
      </w:r>
    </w:p>
    <w:p>
      <w:pPr>
        <w:pStyle w:val="17"/>
        <w:numPr>
          <w:ilvl w:val="1"/>
          <w:numId w:val="17"/>
        </w:numPr>
        <w:tabs>
          <w:tab w:val="left" w:pos="284"/>
        </w:tabs>
        <w:ind w:firstLineChars="0"/>
        <w:rPr>
          <w:szCs w:val="26"/>
        </w:rPr>
      </w:pPr>
      <w:r>
        <w:rPr>
          <w:rFonts w:hint="eastAsia"/>
        </w:rPr>
        <w:t>《港口建设项目环境影响评价规范》（JTS105-1-2001）；</w:t>
      </w:r>
    </w:p>
    <w:p>
      <w:pPr>
        <w:pStyle w:val="17"/>
        <w:numPr>
          <w:ilvl w:val="1"/>
          <w:numId w:val="17"/>
        </w:numPr>
        <w:tabs>
          <w:tab w:val="left" w:pos="284"/>
        </w:tabs>
        <w:ind w:firstLineChars="0"/>
        <w:rPr>
          <w:szCs w:val="26"/>
        </w:rPr>
      </w:pPr>
      <w:r>
        <w:rPr>
          <w:rFonts w:hint="eastAsia"/>
        </w:rPr>
        <w:t>《固体废弃物处理处置工程技术导则》（HJ2035-2013）；</w:t>
      </w:r>
    </w:p>
    <w:p>
      <w:pPr>
        <w:pStyle w:val="17"/>
        <w:numPr>
          <w:ilvl w:val="1"/>
          <w:numId w:val="17"/>
        </w:numPr>
        <w:tabs>
          <w:tab w:val="left" w:pos="284"/>
        </w:tabs>
        <w:ind w:firstLineChars="0"/>
        <w:rPr>
          <w:szCs w:val="26"/>
        </w:rPr>
      </w:pPr>
      <w:r>
        <w:rPr>
          <w:rFonts w:hint="eastAsia"/>
        </w:rPr>
        <w:t>《防治城市扬尘污染技术规范》（HJT393-2007）；</w:t>
      </w:r>
    </w:p>
    <w:p>
      <w:pPr>
        <w:pStyle w:val="17"/>
        <w:numPr>
          <w:ilvl w:val="1"/>
          <w:numId w:val="17"/>
        </w:numPr>
        <w:tabs>
          <w:tab w:val="left" w:pos="284"/>
        </w:tabs>
        <w:ind w:firstLineChars="0"/>
        <w:rPr>
          <w:szCs w:val="26"/>
        </w:rPr>
      </w:pPr>
      <w:r>
        <w:rPr>
          <w:rFonts w:hint="eastAsia"/>
        </w:rPr>
        <w:t>《生态环境状况评价技术规范》（HJT192-2006）；</w:t>
      </w:r>
    </w:p>
    <w:p>
      <w:pPr>
        <w:pStyle w:val="17"/>
        <w:numPr>
          <w:ilvl w:val="1"/>
          <w:numId w:val="17"/>
        </w:numPr>
        <w:tabs>
          <w:tab w:val="left" w:pos="284"/>
        </w:tabs>
        <w:ind w:firstLineChars="0"/>
      </w:pPr>
      <w:r>
        <w:rPr>
          <w:rFonts w:hint="eastAsia"/>
          <w:szCs w:val="26"/>
        </w:rPr>
        <w:t>《城市机动车排放空气污染物测算方法》（</w:t>
      </w:r>
      <w:r>
        <w:rPr>
          <w:szCs w:val="26"/>
        </w:rPr>
        <w:t>HJ/T180-2005</w:t>
      </w:r>
      <w:r>
        <w:rPr>
          <w:rFonts w:hint="eastAsia"/>
          <w:szCs w:val="26"/>
        </w:rPr>
        <w:t>）。</w:t>
      </w:r>
    </w:p>
    <w:p>
      <w:pPr>
        <w:pStyle w:val="5"/>
        <w:tabs>
          <w:tab w:val="left" w:pos="567"/>
        </w:tabs>
        <w:spacing w:before="62" w:beforeLines="20" w:afterLines="0" w:line="360" w:lineRule="auto"/>
        <w:ind w:left="0" w:firstLine="0"/>
        <w:rPr>
          <w:rFonts w:ascii="宋体" w:hAnsi="宋体" w:eastAsia="宋体"/>
          <w:b/>
          <w:sz w:val="28"/>
          <w:szCs w:val="28"/>
        </w:rPr>
      </w:pPr>
      <w:bookmarkStart w:id="15" w:name="_Toc432547758"/>
      <w:bookmarkStart w:id="16" w:name="_Toc442195656"/>
      <w:bookmarkStart w:id="17" w:name="_Toc431456157"/>
      <w:r>
        <w:rPr>
          <w:rFonts w:hint="eastAsia" w:ascii="宋体" w:hAnsi="宋体" w:eastAsia="宋体"/>
          <w:b/>
          <w:sz w:val="28"/>
          <w:szCs w:val="28"/>
        </w:rPr>
        <w:t>相关规划</w:t>
      </w:r>
      <w:bookmarkEnd w:id="15"/>
      <w:bookmarkEnd w:id="16"/>
      <w:bookmarkEnd w:id="17"/>
    </w:p>
    <w:p>
      <w:pPr>
        <w:pStyle w:val="17"/>
        <w:numPr>
          <w:ilvl w:val="1"/>
          <w:numId w:val="18"/>
        </w:numPr>
        <w:tabs>
          <w:tab w:val="left" w:pos="284"/>
        </w:tabs>
        <w:ind w:firstLineChars="0"/>
        <w:rPr>
          <w:rFonts w:ascii="Times New Roman" w:hAnsi="Times New Roman"/>
        </w:rPr>
      </w:pPr>
      <w:r>
        <w:rPr>
          <w:rFonts w:hint="eastAsia" w:ascii="Times New Roman" w:hAnsi="Times New Roman"/>
        </w:rPr>
        <w:t>《湖北省国民经济和社会发展“十二五”规划》；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《湖北省公路水路交通运输发展“十二五”规划》；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《湖北省现代物流业发展“十二五”规划》；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《湖北省“十二五”综合交通发展规划》；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《宜昌市国民经济和社会发展第十二个五年规划纲要》；</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《宜昌市水运发展“十二五”规划》；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《宜昌市综合交通发展“十二五”规划》；</w:t>
      </w:r>
    </w:p>
    <w:p>
      <w:pPr>
        <w:pStyle w:val="17"/>
        <w:numPr>
          <w:ilvl w:val="1"/>
          <w:numId w:val="18"/>
        </w:numPr>
        <w:tabs>
          <w:tab w:val="left" w:pos="284"/>
        </w:tabs>
        <w:ind w:firstLineChars="0"/>
        <w:rPr>
          <w:rFonts w:ascii="Times New Roman" w:hAnsi="Times New Roman"/>
        </w:rPr>
      </w:pPr>
      <w:r>
        <w:rPr>
          <w:rFonts w:hint="eastAsia"/>
        </w:rPr>
        <w:t>《湖北省现代物流业发展“十二五”规划（2011-2015）》；</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《宜昌市城市总体规划（2011-2030年）》；</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《宜昌市土地利用总体规划（2006-2020》；</w:t>
      </w:r>
    </w:p>
    <w:p>
      <w:pPr>
        <w:pStyle w:val="17"/>
        <w:numPr>
          <w:ilvl w:val="1"/>
          <w:numId w:val="18"/>
        </w:numPr>
        <w:tabs>
          <w:tab w:val="left" w:pos="284"/>
        </w:tabs>
        <w:ind w:firstLineChars="0"/>
        <w:rPr>
          <w:rFonts w:ascii="Times New Roman" w:hAnsi="Times New Roman"/>
        </w:rPr>
      </w:pPr>
      <w:r>
        <w:rPr>
          <w:rFonts w:hint="eastAsia" w:ascii="Times New Roman" w:hAnsi="Times New Roman"/>
        </w:rPr>
        <w:t>《三峡枢纽港发展规划》</w:t>
      </w:r>
      <w:r>
        <w:rPr>
          <w:rFonts w:hint="eastAsia"/>
        </w:rPr>
        <w:t>（2013-2020）</w:t>
      </w:r>
      <w:r>
        <w:rPr>
          <w:rFonts w:hint="eastAsia" w:ascii="Times New Roman" w:hAnsi="Times New Roman"/>
        </w:rPr>
        <w:t>；</w:t>
      </w:r>
    </w:p>
    <w:p>
      <w:pPr>
        <w:pStyle w:val="17"/>
        <w:numPr>
          <w:ilvl w:val="1"/>
          <w:numId w:val="18"/>
        </w:numPr>
        <w:tabs>
          <w:tab w:val="left" w:pos="284"/>
        </w:tabs>
        <w:ind w:firstLineChars="0"/>
        <w:rPr>
          <w:rFonts w:ascii="Times New Roman" w:hAnsi="Times New Roman"/>
        </w:rPr>
      </w:pPr>
      <w:r>
        <w:rPr>
          <w:rFonts w:hint="eastAsia" w:ascii="Times New Roman" w:hAnsi="Times New Roman"/>
        </w:rPr>
        <w:t>《三峡现代物流中心发展规划（2010—2020年）》；</w:t>
      </w:r>
    </w:p>
    <w:p>
      <w:pPr>
        <w:pStyle w:val="17"/>
        <w:numPr>
          <w:ilvl w:val="1"/>
          <w:numId w:val="18"/>
        </w:numPr>
        <w:tabs>
          <w:tab w:val="left" w:pos="284"/>
        </w:tabs>
        <w:ind w:firstLineChars="0"/>
        <w:rPr>
          <w:rFonts w:ascii="Times New Roman" w:hAnsi="Times New Roman"/>
        </w:rPr>
      </w:pPr>
      <w:r>
        <w:rPr>
          <w:rFonts w:hint="eastAsia" w:ascii="Times New Roman" w:hAnsi="Times New Roman"/>
        </w:rPr>
        <w:t>《长江经济带综合立体交通走廊规划（2014—2020年）》；</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《宜昌港总体规划》，2007年9月；</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《宜昌港主城港区调整专项规划》；</w:t>
      </w:r>
    </w:p>
    <w:p>
      <w:pPr>
        <w:pStyle w:val="17"/>
        <w:numPr>
          <w:ilvl w:val="1"/>
          <w:numId w:val="18"/>
        </w:numPr>
        <w:tabs>
          <w:tab w:val="left" w:pos="284"/>
        </w:tabs>
        <w:ind w:firstLineChars="0"/>
        <w:rPr>
          <w:rFonts w:ascii="Times New Roman" w:hAnsi="Times New Roman"/>
        </w:rPr>
      </w:pPr>
      <w:r>
        <w:rPr>
          <w:rFonts w:hint="eastAsia" w:ascii="Times New Roman" w:hAnsi="Times New Roman"/>
        </w:rPr>
        <w:t>《宜昌市白洋工业园总体规划》；</w:t>
      </w:r>
    </w:p>
    <w:p>
      <w:pPr>
        <w:pStyle w:val="17"/>
        <w:numPr>
          <w:ilvl w:val="1"/>
          <w:numId w:val="18"/>
        </w:numPr>
        <w:tabs>
          <w:tab w:val="left" w:pos="284"/>
        </w:tabs>
        <w:ind w:firstLineChars="0"/>
        <w:rPr>
          <w:rFonts w:ascii="Times New Roman" w:hAnsi="Times New Roman"/>
        </w:rPr>
      </w:pPr>
      <w:r>
        <w:rPr>
          <w:rFonts w:hint="eastAsia"/>
        </w:rPr>
        <w:t>《宜昌港主城港区调整专项规划（2010-2020）》；</w:t>
      </w:r>
    </w:p>
    <w:p>
      <w:pPr>
        <w:pStyle w:val="17"/>
        <w:numPr>
          <w:ilvl w:val="1"/>
          <w:numId w:val="18"/>
        </w:numPr>
        <w:tabs>
          <w:tab w:val="left" w:pos="284"/>
        </w:tabs>
        <w:ind w:firstLineChars="0"/>
        <w:rPr>
          <w:rFonts w:ascii="Times New Roman" w:hAnsi="Times New Roman"/>
        </w:rPr>
      </w:pPr>
      <w:r>
        <w:rPr>
          <w:rFonts w:hint="eastAsia"/>
        </w:rPr>
        <w:t>《白洋工业园总体规划（2010-2020）》</w:t>
      </w:r>
      <w:r>
        <w:rPr>
          <w:rFonts w:hint="eastAsia" w:ascii="Times New Roman" w:hAnsi="Times New Roman"/>
        </w:rPr>
        <w:t>。</w:t>
      </w:r>
    </w:p>
    <w:p>
      <w:pPr>
        <w:pStyle w:val="5"/>
        <w:tabs>
          <w:tab w:val="left" w:pos="567"/>
        </w:tabs>
        <w:spacing w:before="62" w:beforeLines="20" w:afterLines="0" w:line="360" w:lineRule="auto"/>
        <w:ind w:left="0" w:firstLine="0"/>
        <w:rPr>
          <w:rFonts w:ascii="宋体" w:hAnsi="宋体" w:eastAsia="宋体"/>
          <w:b/>
          <w:sz w:val="28"/>
          <w:szCs w:val="28"/>
        </w:rPr>
      </w:pPr>
      <w:bookmarkStart w:id="18" w:name="_Toc431456158"/>
      <w:bookmarkStart w:id="19" w:name="_Toc432547759"/>
      <w:bookmarkStart w:id="20" w:name="_Toc442195657"/>
      <w:r>
        <w:rPr>
          <w:rFonts w:hint="eastAsia" w:ascii="宋体" w:hAnsi="宋体" w:eastAsia="宋体"/>
          <w:b/>
          <w:sz w:val="28"/>
          <w:szCs w:val="28"/>
        </w:rPr>
        <w:t>项目文件</w:t>
      </w:r>
      <w:bookmarkEnd w:id="18"/>
      <w:bookmarkEnd w:id="19"/>
      <w:bookmarkEnd w:id="20"/>
    </w:p>
    <w:p>
      <w:pPr>
        <w:pStyle w:val="17"/>
        <w:numPr>
          <w:ilvl w:val="0"/>
          <w:numId w:val="19"/>
        </w:numPr>
        <w:tabs>
          <w:tab w:val="left" w:pos="284"/>
        </w:tabs>
        <w:spacing w:line="360" w:lineRule="auto"/>
        <w:ind w:firstLine="480"/>
        <w:rPr>
          <w:szCs w:val="28"/>
        </w:rPr>
      </w:pPr>
      <w:r>
        <w:rPr>
          <w:rFonts w:hint="eastAsia"/>
          <w:szCs w:val="28"/>
        </w:rPr>
        <w:t>《</w:t>
      </w:r>
      <w:r>
        <w:rPr>
          <w:szCs w:val="28"/>
        </w:rPr>
        <w:t>宜昌交通建设投资有限公司</w:t>
      </w:r>
      <w:r>
        <w:rPr>
          <w:rFonts w:hint="eastAsia"/>
          <w:szCs w:val="28"/>
        </w:rPr>
        <w:t>关于“世行贷款</w:t>
      </w:r>
      <w:r>
        <w:rPr>
          <w:rFonts w:hint="eastAsia" w:ascii="宋体" w:hAnsi="宋体"/>
          <w:spacing w:val="6"/>
          <w:szCs w:val="24"/>
        </w:rPr>
        <w:t>湖北宜昌市三峡现代物流中心基础设施项目</w:t>
      </w:r>
      <w:r>
        <w:rPr>
          <w:szCs w:val="28"/>
        </w:rPr>
        <w:t>”进行环境影响评价工作</w:t>
      </w:r>
      <w:r>
        <w:rPr>
          <w:rFonts w:hint="eastAsia"/>
          <w:szCs w:val="28"/>
        </w:rPr>
        <w:t>的委托函》，2015年11月；</w:t>
      </w:r>
    </w:p>
    <w:p>
      <w:pPr>
        <w:pStyle w:val="17"/>
        <w:numPr>
          <w:ilvl w:val="0"/>
          <w:numId w:val="19"/>
        </w:numPr>
        <w:tabs>
          <w:tab w:val="left" w:pos="284"/>
        </w:tabs>
        <w:spacing w:line="360" w:lineRule="auto"/>
        <w:ind w:firstLine="480"/>
        <w:rPr>
          <w:szCs w:val="28"/>
        </w:rPr>
      </w:pPr>
      <w:r>
        <w:rPr>
          <w:rFonts w:hint="eastAsia"/>
        </w:rPr>
        <w:t>《</w:t>
      </w:r>
      <w:r>
        <w:rPr>
          <w:rFonts w:hint="eastAsia"/>
          <w:szCs w:val="28"/>
        </w:rPr>
        <w:t>世行贷款</w:t>
      </w:r>
      <w:r>
        <w:rPr>
          <w:rFonts w:hint="eastAsia" w:ascii="宋体" w:hAnsi="宋体"/>
          <w:spacing w:val="6"/>
          <w:szCs w:val="24"/>
        </w:rPr>
        <w:t>湖北宜昌市三峡现代物流中心基础设施项目</w:t>
      </w:r>
      <w:r>
        <w:rPr>
          <w:rFonts w:hint="eastAsia"/>
        </w:rPr>
        <w:t>建议书》，林同棪国际工程咨询有限公司，2015年9月；</w:t>
      </w:r>
    </w:p>
    <w:p>
      <w:pPr>
        <w:pStyle w:val="17"/>
        <w:numPr>
          <w:ilvl w:val="0"/>
          <w:numId w:val="19"/>
        </w:numPr>
        <w:tabs>
          <w:tab w:val="left" w:pos="284"/>
        </w:tabs>
        <w:spacing w:line="360" w:lineRule="auto"/>
        <w:ind w:firstLine="480"/>
        <w:rPr>
          <w:szCs w:val="28"/>
        </w:rPr>
      </w:pPr>
      <w:r>
        <w:rPr>
          <w:rFonts w:hint="eastAsia"/>
        </w:rPr>
        <w:t>《宜昌市发展改革委关于世行贷款湖北宜昌三峡现代物流中心基础设施项目建议书的批复》（宜发改审批[2015]320号），2015年9月13日；</w:t>
      </w:r>
    </w:p>
    <w:p>
      <w:pPr>
        <w:pStyle w:val="17"/>
        <w:numPr>
          <w:ilvl w:val="0"/>
          <w:numId w:val="19"/>
        </w:numPr>
        <w:tabs>
          <w:tab w:val="left" w:pos="284"/>
        </w:tabs>
        <w:spacing w:line="360" w:lineRule="auto"/>
        <w:ind w:firstLine="480"/>
        <w:rPr>
          <w:szCs w:val="28"/>
        </w:rPr>
      </w:pPr>
      <w:r>
        <w:rPr>
          <w:rFonts w:hint="eastAsia" w:ascii="Times New Roman" w:hAnsi="Times New Roman"/>
        </w:rPr>
        <w:t>《宜昌港环境影响报告书》，交通规划研究院，2008年12月；</w:t>
      </w:r>
    </w:p>
    <w:p>
      <w:pPr>
        <w:pStyle w:val="17"/>
        <w:numPr>
          <w:ilvl w:val="0"/>
          <w:numId w:val="19"/>
        </w:numPr>
        <w:tabs>
          <w:tab w:val="left" w:pos="284"/>
        </w:tabs>
        <w:spacing w:line="360" w:lineRule="auto"/>
        <w:ind w:firstLine="480"/>
        <w:rPr>
          <w:szCs w:val="28"/>
        </w:rPr>
      </w:pPr>
      <w:r>
        <w:rPr>
          <w:rFonts w:hint="eastAsia"/>
        </w:rPr>
        <w:t>《</w:t>
      </w:r>
      <w:r>
        <w:rPr>
          <w:rFonts w:hint="eastAsia"/>
          <w:szCs w:val="28"/>
        </w:rPr>
        <w:t>世行贷款</w:t>
      </w:r>
      <w:r>
        <w:rPr>
          <w:rFonts w:hint="eastAsia" w:ascii="宋体" w:hAnsi="宋体"/>
          <w:spacing w:val="6"/>
          <w:szCs w:val="24"/>
        </w:rPr>
        <w:t>湖北宜昌市三峡现代物流中心基础设施项目</w:t>
      </w:r>
      <w:r>
        <w:rPr>
          <w:rFonts w:hint="eastAsia"/>
        </w:rPr>
        <w:t>可行性研究报告》（初稿），林同棪国际工程咨询有限公司，2015年10月。</w:t>
      </w:r>
    </w:p>
    <w:p>
      <w:pPr>
        <w:pStyle w:val="5"/>
        <w:tabs>
          <w:tab w:val="left" w:pos="567"/>
        </w:tabs>
        <w:spacing w:before="62" w:beforeLines="20" w:afterLines="0" w:line="360" w:lineRule="auto"/>
        <w:ind w:left="0" w:firstLine="0"/>
        <w:rPr>
          <w:rFonts w:ascii="宋体" w:hAnsi="宋体" w:eastAsia="宋体"/>
          <w:b/>
          <w:sz w:val="28"/>
          <w:szCs w:val="28"/>
        </w:rPr>
      </w:pPr>
      <w:bookmarkStart w:id="21" w:name="_Toc432547760"/>
      <w:bookmarkStart w:id="22" w:name="_Toc442195658"/>
      <w:r>
        <w:rPr>
          <w:rFonts w:hint="eastAsia" w:ascii="宋体" w:hAnsi="宋体" w:eastAsia="宋体"/>
          <w:b/>
          <w:sz w:val="28"/>
          <w:szCs w:val="28"/>
        </w:rPr>
        <w:t>世行安保政策</w:t>
      </w:r>
      <w:bookmarkEnd w:id="21"/>
      <w:bookmarkEnd w:id="22"/>
    </w:p>
    <w:p>
      <w:pPr>
        <w:pStyle w:val="4"/>
        <w:spacing w:line="360" w:lineRule="auto"/>
        <w:ind w:firstLine="480"/>
        <w:rPr>
          <w:sz w:val="24"/>
        </w:rPr>
      </w:pPr>
      <w:r>
        <w:rPr>
          <w:rFonts w:hint="eastAsia"/>
          <w:sz w:val="24"/>
        </w:rPr>
        <w:t>项目适用的世行安保政策，见表1.2-1。</w:t>
      </w:r>
    </w:p>
    <w:p>
      <w:pPr>
        <w:pStyle w:val="4"/>
        <w:ind w:firstLine="422"/>
        <w:jc w:val="center"/>
        <w:rPr>
          <w:b/>
        </w:rPr>
      </w:pPr>
      <w:r>
        <w:rPr>
          <w:rFonts w:hint="eastAsia"/>
          <w:b/>
        </w:rPr>
        <w:t>表1.2-1世行安保政策</w:t>
      </w:r>
    </w:p>
    <w:tbl>
      <w:tblPr>
        <w:tblStyle w:val="104"/>
        <w:tblW w:w="8842" w:type="dxa"/>
        <w:jc w:val="center"/>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571"/>
        <w:gridCol w:w="3119"/>
        <w:gridCol w:w="1134"/>
        <w:gridCol w:w="401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blHeader/>
          <w:jc w:val="center"/>
        </w:trPr>
        <w:tc>
          <w:tcPr>
            <w:tcW w:w="571" w:type="dxa"/>
            <w:vAlign w:val="center"/>
          </w:tcPr>
          <w:p>
            <w:pPr>
              <w:tabs>
                <w:tab w:val="left" w:pos="464"/>
              </w:tabs>
              <w:ind w:leftChars="-49" w:hanging="103" w:hangingChars="49"/>
            </w:pPr>
            <w:r>
              <w:t>序号</w:t>
            </w:r>
          </w:p>
        </w:tc>
        <w:tc>
          <w:tcPr>
            <w:tcW w:w="3119" w:type="dxa"/>
            <w:vAlign w:val="center"/>
          </w:tcPr>
          <w:p>
            <w:pPr/>
            <w:r>
              <w:t>世行安保政策</w:t>
            </w:r>
          </w:p>
        </w:tc>
        <w:tc>
          <w:tcPr>
            <w:tcW w:w="1134" w:type="dxa"/>
            <w:vAlign w:val="center"/>
          </w:tcPr>
          <w:p>
            <w:pPr/>
            <w:r>
              <w:t>是否触及</w:t>
            </w:r>
          </w:p>
        </w:tc>
        <w:tc>
          <w:tcPr>
            <w:tcW w:w="4018" w:type="dxa"/>
            <w:vAlign w:val="center"/>
          </w:tcPr>
          <w:p>
            <w:pPr/>
            <w:r>
              <w:t>备注</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
              <w:t>OP4.01环境评价</w:t>
            </w:r>
          </w:p>
        </w:tc>
        <w:tc>
          <w:tcPr>
            <w:tcW w:w="1134" w:type="dxa"/>
            <w:vAlign w:val="center"/>
          </w:tcPr>
          <w:p>
            <w:pPr/>
            <w:r>
              <w:t>是</w:t>
            </w:r>
          </w:p>
        </w:tc>
        <w:tc>
          <w:tcPr>
            <w:tcW w:w="4018" w:type="dxa"/>
            <w:vAlign w:val="center"/>
          </w:tcPr>
          <w:p>
            <w:pPr/>
            <w:r>
              <w:t>本项目将全面适用该政策</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
              <w:t>OP4.04自然栖息地</w:t>
            </w:r>
          </w:p>
        </w:tc>
        <w:tc>
          <w:tcPr>
            <w:tcW w:w="1134" w:type="dxa"/>
            <w:vAlign w:val="center"/>
          </w:tcPr>
          <w:p>
            <w:pPr/>
            <w:r>
              <w:t>是</w:t>
            </w:r>
          </w:p>
        </w:tc>
        <w:tc>
          <w:tcPr>
            <w:tcW w:w="4018" w:type="dxa"/>
            <w:vAlign w:val="center"/>
          </w:tcPr>
          <w:p>
            <w:pPr/>
            <w:r>
              <w:rPr>
                <w:rFonts w:hint="eastAsia"/>
              </w:rPr>
              <w:t>是</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Pr>
                <w:color w:val="000000" w:themeColor="text1"/>
                <w14:textFill>
                  <w14:solidFill>
                    <w14:schemeClr w14:val="tx1"/>
                  </w14:solidFill>
                </w14:textFill>
              </w:rPr>
            </w:pPr>
            <w:r>
              <w:rPr>
                <w:color w:val="000000" w:themeColor="text1"/>
                <w14:textFill>
                  <w14:solidFill>
                    <w14:schemeClr w14:val="tx1"/>
                  </w14:solidFill>
                </w14:textFill>
              </w:rPr>
              <w:t>OP4.11物</w:t>
            </w:r>
            <w:r>
              <w:rPr>
                <w:rFonts w:hint="eastAsia"/>
                <w:color w:val="000000" w:themeColor="text1"/>
                <w14:textFill>
                  <w14:solidFill>
                    <w14:schemeClr w14:val="tx1"/>
                  </w14:solidFill>
                </w14:textFill>
              </w:rPr>
              <w:t>物质文化资源</w:t>
            </w:r>
          </w:p>
        </w:tc>
        <w:tc>
          <w:tcPr>
            <w:tcW w:w="1134" w:type="dxa"/>
            <w:vAlign w:val="center"/>
          </w:tcPr>
          <w:p>
            <w:pPr>
              <w:rPr>
                <w:color w:val="000000" w:themeColor="text1"/>
                <w14:textFill>
                  <w14:solidFill>
                    <w14:schemeClr w14:val="tx1"/>
                  </w14:solidFill>
                </w14:textFill>
              </w:rPr>
            </w:pPr>
            <w:r>
              <w:rPr>
                <w:color w:val="000000" w:themeColor="text1"/>
                <w14:textFill>
                  <w14:solidFill>
                    <w14:schemeClr w14:val="tx1"/>
                  </w14:solidFill>
                </w14:textFill>
              </w:rPr>
              <w:t>是</w:t>
            </w:r>
          </w:p>
        </w:tc>
        <w:tc>
          <w:tcPr>
            <w:tcW w:w="4018" w:type="dxa"/>
            <w:vAlign w:val="center"/>
          </w:tcPr>
          <w:p>
            <w:pPr>
              <w:rPr>
                <w:color w:val="000000" w:themeColor="text1"/>
                <w14:textFill>
                  <w14:solidFill>
                    <w14:schemeClr w14:val="tx1"/>
                  </w14:solidFill>
                </w14:textFill>
              </w:rPr>
            </w:pPr>
            <w:r>
              <w:rPr>
                <w:rFonts w:hint="eastAsia"/>
                <w:color w:val="000000" w:themeColor="text1"/>
                <w14:textFill>
                  <w14:solidFill>
                    <w14:schemeClr w14:val="tx1"/>
                  </w14:solidFill>
                </w14:textFill>
              </w:rPr>
              <w:t>根据文物部门意见</w:t>
            </w:r>
            <w:r>
              <w:rPr>
                <w:color w:val="000000" w:themeColor="text1"/>
                <w14:textFill>
                  <w14:solidFill>
                    <w14:schemeClr w14:val="tx1"/>
                  </w14:solidFill>
                </w14:textFill>
              </w:rPr>
              <w:t>，进一步复核</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
              <w:t>OP4.10少数民族</w:t>
            </w:r>
          </w:p>
        </w:tc>
        <w:tc>
          <w:tcPr>
            <w:tcW w:w="1134" w:type="dxa"/>
            <w:vAlign w:val="center"/>
          </w:tcPr>
          <w:p>
            <w:pPr/>
            <w:r>
              <w:t>是</w:t>
            </w:r>
          </w:p>
        </w:tc>
        <w:tc>
          <w:tcPr>
            <w:tcW w:w="4018" w:type="dxa"/>
            <w:vAlign w:val="center"/>
          </w:tcPr>
          <w:p>
            <w:pPr/>
            <w:r>
              <w:t>待项目准备推进，进一步复核</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
              <w:t>OP4.12非自愿移民</w:t>
            </w:r>
          </w:p>
        </w:tc>
        <w:tc>
          <w:tcPr>
            <w:tcW w:w="1134" w:type="dxa"/>
            <w:vAlign w:val="center"/>
          </w:tcPr>
          <w:p>
            <w:pPr/>
            <w:r>
              <w:t>是</w:t>
            </w:r>
          </w:p>
        </w:tc>
        <w:tc>
          <w:tcPr>
            <w:tcW w:w="4018" w:type="dxa"/>
            <w:vAlign w:val="center"/>
          </w:tcPr>
          <w:p>
            <w:pPr/>
            <w:r>
              <w:t>本项目将全面适用该政策，具体内容将反映在《移民安置行动计划》和《社会评价报告》中。</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pStyle w:val="4"/>
              <w:spacing w:before="48"/>
              <w:ind w:leftChars="-46" w:hanging="97" w:hangingChars="46"/>
            </w:pPr>
            <w:r>
              <w:rPr>
                <w:rFonts w:hint="eastAsia"/>
              </w:rPr>
              <w:t>世行环境健康与安全指南（通用）</w:t>
            </w:r>
          </w:p>
        </w:tc>
        <w:tc>
          <w:tcPr>
            <w:tcW w:w="1134" w:type="dxa"/>
            <w:vAlign w:val="center"/>
          </w:tcPr>
          <w:p>
            <w:pPr/>
            <w:r>
              <w:t>是</w:t>
            </w:r>
          </w:p>
        </w:tc>
        <w:tc>
          <w:tcPr>
            <w:tcW w:w="4018" w:type="dxa"/>
            <w:vAlign w:val="center"/>
          </w:tcPr>
          <w:p>
            <w:pPr/>
            <w:r>
              <w:t>本项目将全面适用该政策</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pStyle w:val="4"/>
              <w:spacing w:before="48"/>
              <w:ind w:leftChars="-46" w:hanging="97" w:hangingChars="46"/>
            </w:pPr>
            <w:r>
              <w:rPr>
                <w:rFonts w:hint="eastAsia"/>
              </w:rPr>
              <w:t>世行环境健康与安全指南（港口）</w:t>
            </w:r>
          </w:p>
        </w:tc>
        <w:tc>
          <w:tcPr>
            <w:tcW w:w="1134" w:type="dxa"/>
            <w:vAlign w:val="center"/>
          </w:tcPr>
          <w:p>
            <w:pPr/>
            <w:r>
              <w:t>是</w:t>
            </w:r>
          </w:p>
        </w:tc>
        <w:tc>
          <w:tcPr>
            <w:tcW w:w="4018" w:type="dxa"/>
            <w:vAlign w:val="center"/>
          </w:tcPr>
          <w:p>
            <w:pPr/>
            <w:r>
              <w:t>本项目将全面适用该政策</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pStyle w:val="4"/>
              <w:spacing w:before="48"/>
              <w:ind w:leftChars="-46" w:hanging="97" w:hangingChars="46"/>
            </w:pPr>
            <w:r>
              <w:rPr>
                <w:rFonts w:hint="eastAsia"/>
              </w:rPr>
              <w:t>世行环境健康与安全指南</w:t>
            </w:r>
          </w:p>
        </w:tc>
        <w:tc>
          <w:tcPr>
            <w:tcW w:w="1134" w:type="dxa"/>
            <w:vAlign w:val="center"/>
          </w:tcPr>
          <w:p>
            <w:pPr/>
            <w:r>
              <w:t>是</w:t>
            </w:r>
          </w:p>
        </w:tc>
        <w:tc>
          <w:tcPr>
            <w:tcW w:w="4018" w:type="dxa"/>
            <w:vAlign w:val="center"/>
          </w:tcPr>
          <w:p>
            <w:pPr/>
            <w:r>
              <w:t>本项目将全面适用该政策</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jc w:val="center"/>
        </w:trPr>
        <w:tc>
          <w:tcPr>
            <w:tcW w:w="571" w:type="dxa"/>
            <w:vAlign w:val="center"/>
          </w:tcPr>
          <w:p>
            <w:pPr>
              <w:pStyle w:val="162"/>
              <w:numPr>
                <w:ilvl w:val="0"/>
                <w:numId w:val="20"/>
              </w:numPr>
              <w:ind w:firstLineChars="0"/>
            </w:pPr>
          </w:p>
        </w:tc>
        <w:tc>
          <w:tcPr>
            <w:tcW w:w="3119" w:type="dxa"/>
            <w:vAlign w:val="center"/>
          </w:tcPr>
          <w:p>
            <w:pPr/>
            <w:r>
              <w:t>BP17.50 信息公开</w:t>
            </w:r>
          </w:p>
        </w:tc>
        <w:tc>
          <w:tcPr>
            <w:tcW w:w="1134" w:type="dxa"/>
            <w:vAlign w:val="center"/>
          </w:tcPr>
          <w:p>
            <w:pPr/>
            <w:r>
              <w:t>是</w:t>
            </w:r>
          </w:p>
        </w:tc>
        <w:tc>
          <w:tcPr>
            <w:tcW w:w="4018" w:type="dxa"/>
            <w:vAlign w:val="center"/>
          </w:tcPr>
          <w:p>
            <w:pPr/>
            <w:r>
              <w:t>本项目将适用该政策，开展至少2轮的信息公开和公众参与工作。</w:t>
            </w:r>
          </w:p>
        </w:tc>
      </w:tr>
    </w:tbl>
    <w:p>
      <w:pPr>
        <w:pStyle w:val="3"/>
        <w:tabs>
          <w:tab w:val="left" w:pos="426"/>
        </w:tabs>
        <w:spacing w:beforeLines="0" w:afterLines="0"/>
        <w:ind w:left="0" w:firstLine="0"/>
      </w:pPr>
      <w:r>
        <w:t xml:space="preserve"> </w:t>
      </w:r>
      <w:bookmarkStart w:id="23" w:name="_Toc442195659"/>
      <w:r>
        <w:rPr>
          <w:rFonts w:hint="eastAsia"/>
        </w:rPr>
        <w:t>功能区划和评价标准</w:t>
      </w:r>
      <w:bookmarkEnd w:id="23"/>
    </w:p>
    <w:p>
      <w:pPr>
        <w:pStyle w:val="163"/>
      </w:pPr>
      <w:r>
        <w:rPr>
          <w:rFonts w:hint="eastAsia"/>
        </w:rPr>
        <w:t>根据拟建项目经过主要区域环境状况初步调查，结合工程建设规模、特点及公路沿线主要环境功能区划要求、《声环境质量标准》（GB3096-2008）、《城市区域环境噪声适用区划分技术规范》（GB/T15190-94）以及国家环境保护总局环发[2003]94文《关于公路、铁路（含轻轨）等建设项目环境影响评价中环境噪声有关问题的通知》，评价单位评价标准标准如下：</w:t>
      </w:r>
    </w:p>
    <w:p>
      <w:pPr>
        <w:pStyle w:val="5"/>
        <w:tabs>
          <w:tab w:val="left" w:pos="567"/>
        </w:tabs>
        <w:spacing w:before="62" w:beforeLines="20" w:afterLines="0" w:line="360" w:lineRule="auto"/>
        <w:ind w:left="0" w:firstLine="0"/>
        <w:rPr>
          <w:rFonts w:ascii="宋体" w:hAnsi="宋体" w:eastAsia="宋体"/>
          <w:b/>
          <w:sz w:val="28"/>
          <w:szCs w:val="28"/>
        </w:rPr>
      </w:pPr>
      <w:bookmarkStart w:id="24" w:name="_Toc268246210"/>
      <w:bookmarkStart w:id="25" w:name="_Toc337742394"/>
      <w:bookmarkStart w:id="26" w:name="_Toc442195660"/>
      <w:bookmarkStart w:id="27" w:name="_Toc382903916"/>
      <w:r>
        <w:rPr>
          <w:rFonts w:ascii="宋体" w:hAnsi="宋体" w:eastAsia="宋体"/>
          <w:b/>
          <w:sz w:val="28"/>
          <w:szCs w:val="28"/>
        </w:rPr>
        <w:t>环境空气</w:t>
      </w:r>
      <w:bookmarkEnd w:id="24"/>
      <w:bookmarkEnd w:id="25"/>
      <w:bookmarkEnd w:id="26"/>
      <w:bookmarkEnd w:id="27"/>
    </w:p>
    <w:p>
      <w:pPr>
        <w:pStyle w:val="166"/>
        <w:spacing w:line="360" w:lineRule="auto"/>
        <w:ind w:firstLine="482"/>
        <w:rPr>
          <w:rFonts w:ascii="Times New Roman" w:hAnsi="Times New Roman"/>
        </w:rPr>
      </w:pPr>
      <w:r>
        <w:rPr>
          <w:rFonts w:ascii="Times New Roman" w:hAnsi="Times New Roman"/>
        </w:rPr>
        <w:t>（1）质量标准</w:t>
      </w:r>
    </w:p>
    <w:p>
      <w:pPr>
        <w:pStyle w:val="78"/>
        <w:spacing w:line="360" w:lineRule="auto"/>
        <w:ind w:firstLine="480"/>
        <w:rPr>
          <w:rFonts w:ascii="Times New Roman" w:hAnsi="Times New Roman"/>
        </w:rPr>
      </w:pPr>
      <w:r>
        <w:rPr>
          <w:rFonts w:ascii="Times New Roman" w:hAnsi="Times New Roman"/>
        </w:rPr>
        <w:t>环境空气质量区划为</w:t>
      </w:r>
      <w:r>
        <w:rPr>
          <w:rFonts w:hint="eastAsia" w:ascii="Times New Roman" w:hAnsi="Times New Roman"/>
        </w:rPr>
        <w:t>二类区，</w:t>
      </w:r>
      <w:r>
        <w:rPr>
          <w:rFonts w:ascii="Times New Roman" w:hAnsi="Times New Roman"/>
        </w:rPr>
        <w:t>应执行GB3095-</w:t>
      </w:r>
      <w:r>
        <w:rPr>
          <w:rFonts w:hint="eastAsia" w:ascii="Times New Roman" w:hAnsi="Times New Roman"/>
        </w:rPr>
        <w:t>2012</w:t>
      </w:r>
      <w:r>
        <w:rPr>
          <w:rFonts w:ascii="Times New Roman" w:hAnsi="Times New Roman"/>
        </w:rPr>
        <w:t>《环境空气质量标准》中</w:t>
      </w:r>
      <w:r>
        <w:rPr>
          <w:rFonts w:hint="eastAsia" w:ascii="Times New Roman" w:hAnsi="Times New Roman"/>
        </w:rPr>
        <w:t>二级</w:t>
      </w:r>
      <w:r>
        <w:rPr>
          <w:rFonts w:ascii="Times New Roman" w:hAnsi="Times New Roman"/>
        </w:rPr>
        <w:t>标准。（见表1.</w:t>
      </w:r>
      <w:r>
        <w:rPr>
          <w:rFonts w:hint="eastAsia" w:ascii="Times New Roman" w:hAnsi="Times New Roman"/>
        </w:rPr>
        <w:t>3</w:t>
      </w:r>
      <w:r>
        <w:rPr>
          <w:rFonts w:ascii="Times New Roman" w:hAnsi="Times New Roman"/>
        </w:rPr>
        <w:t>-1）。</w:t>
      </w:r>
    </w:p>
    <w:p>
      <w:pPr>
        <w:pStyle w:val="167"/>
        <w:rPr>
          <w:sz w:val="21"/>
          <w:lang w:eastAsia="zh-CN"/>
        </w:rPr>
      </w:pPr>
    </w:p>
    <w:p>
      <w:pPr>
        <w:pStyle w:val="167"/>
        <w:rPr>
          <w:sz w:val="21"/>
          <w:lang w:eastAsia="zh-CN"/>
        </w:rPr>
      </w:pPr>
    </w:p>
    <w:p>
      <w:pPr>
        <w:pStyle w:val="167"/>
        <w:rPr>
          <w:sz w:val="21"/>
          <w:lang w:eastAsia="zh-CN"/>
        </w:rPr>
      </w:pPr>
    </w:p>
    <w:p>
      <w:pPr>
        <w:pStyle w:val="167"/>
        <w:rPr>
          <w:sz w:val="21"/>
          <w:lang w:eastAsia="zh-CN"/>
        </w:rPr>
      </w:pPr>
    </w:p>
    <w:p>
      <w:pPr>
        <w:pStyle w:val="167"/>
        <w:rPr>
          <w:sz w:val="21"/>
          <w:lang w:eastAsia="zh-CN"/>
        </w:rPr>
      </w:pPr>
    </w:p>
    <w:p>
      <w:pPr>
        <w:pStyle w:val="167"/>
        <w:rPr>
          <w:sz w:val="21"/>
        </w:rPr>
      </w:pPr>
      <w:r>
        <w:rPr>
          <w:sz w:val="21"/>
        </w:rPr>
        <w:t>表1.</w:t>
      </w:r>
      <w:r>
        <w:rPr>
          <w:rFonts w:hint="eastAsia"/>
          <w:sz w:val="21"/>
          <w:lang w:eastAsia="zh-CN"/>
        </w:rPr>
        <w:t>3</w:t>
      </w:r>
      <w:r>
        <w:rPr>
          <w:sz w:val="21"/>
        </w:rPr>
        <w:t>-1  《环境空气质量标准》（GB3095-</w:t>
      </w:r>
      <w:r>
        <w:rPr>
          <w:rFonts w:hint="eastAsia"/>
          <w:sz w:val="21"/>
          <w:lang w:eastAsia="zh-CN"/>
        </w:rPr>
        <w:t>2012</w:t>
      </w:r>
      <w:r>
        <w:rPr>
          <w:sz w:val="21"/>
        </w:rPr>
        <w:t>）</w:t>
      </w:r>
    </w:p>
    <w:tbl>
      <w:tblPr>
        <w:tblStyle w:val="104"/>
        <w:tblW w:w="904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85"/>
        <w:gridCol w:w="1927"/>
        <w:gridCol w:w="54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9" w:hRule="atLeast"/>
        </w:trPr>
        <w:tc>
          <w:tcPr>
            <w:tcW w:w="1685" w:type="dxa"/>
            <w:vAlign w:val="center"/>
          </w:tcPr>
          <w:p>
            <w:pPr>
              <w:spacing w:line="360" w:lineRule="exact"/>
              <w:jc w:val="center"/>
              <w:rPr>
                <w:kern w:val="0"/>
                <w:szCs w:val="21"/>
              </w:rPr>
            </w:pPr>
            <w:r>
              <w:rPr>
                <w:kern w:val="0"/>
                <w:szCs w:val="21"/>
              </w:rPr>
              <w:t>污染物名称</w:t>
            </w:r>
          </w:p>
        </w:tc>
        <w:tc>
          <w:tcPr>
            <w:tcW w:w="1927" w:type="dxa"/>
            <w:vAlign w:val="center"/>
          </w:tcPr>
          <w:p>
            <w:pPr>
              <w:spacing w:line="360" w:lineRule="exact"/>
              <w:jc w:val="center"/>
              <w:rPr>
                <w:kern w:val="0"/>
                <w:szCs w:val="21"/>
              </w:rPr>
            </w:pPr>
            <w:r>
              <w:rPr>
                <w:kern w:val="0"/>
                <w:szCs w:val="21"/>
              </w:rPr>
              <w:t>取样时间</w:t>
            </w:r>
          </w:p>
        </w:tc>
        <w:tc>
          <w:tcPr>
            <w:tcW w:w="5436" w:type="dxa"/>
            <w:vAlign w:val="center"/>
          </w:tcPr>
          <w:p>
            <w:pPr>
              <w:spacing w:line="360" w:lineRule="exact"/>
              <w:jc w:val="center"/>
              <w:rPr>
                <w:kern w:val="0"/>
                <w:szCs w:val="21"/>
              </w:rPr>
            </w:pPr>
            <w:r>
              <w:rPr>
                <w:rFonts w:hint="eastAsia"/>
                <w:kern w:val="0"/>
                <w:szCs w:val="21"/>
              </w:rPr>
              <w:t>二</w:t>
            </w:r>
            <w:r>
              <w:rPr>
                <w:kern w:val="0"/>
                <w:szCs w:val="21"/>
              </w:rPr>
              <w:t>级标准值（</w:t>
            </w:r>
            <w:r>
              <w:rPr>
                <w:kern w:val="0"/>
              </w:rPr>
              <w:t>mg/Nm</w:t>
            </w:r>
            <w:r>
              <w:rPr>
                <w:kern w:val="0"/>
                <w:vertAlign w:val="superscript"/>
              </w:rPr>
              <w:t>3</w:t>
            </w:r>
            <w:r>
              <w:rPr>
                <w:kern w:val="0"/>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685" w:type="dxa"/>
            <w:vMerge w:val="restart"/>
            <w:vAlign w:val="center"/>
          </w:tcPr>
          <w:p>
            <w:pPr>
              <w:spacing w:line="360" w:lineRule="exact"/>
              <w:jc w:val="center"/>
              <w:rPr>
                <w:kern w:val="0"/>
                <w:szCs w:val="21"/>
              </w:rPr>
            </w:pPr>
            <w:r>
              <w:rPr>
                <w:kern w:val="0"/>
                <w:szCs w:val="21"/>
              </w:rPr>
              <w:t>NO</w:t>
            </w:r>
            <w:r>
              <w:rPr>
                <w:kern w:val="0"/>
                <w:szCs w:val="21"/>
                <w:vertAlign w:val="subscript"/>
              </w:rPr>
              <w:t>2</w:t>
            </w:r>
          </w:p>
        </w:tc>
        <w:tc>
          <w:tcPr>
            <w:tcW w:w="1927" w:type="dxa"/>
            <w:vAlign w:val="center"/>
          </w:tcPr>
          <w:p>
            <w:pPr>
              <w:spacing w:line="360" w:lineRule="exact"/>
              <w:jc w:val="center"/>
              <w:rPr>
                <w:kern w:val="0"/>
                <w:szCs w:val="21"/>
              </w:rPr>
            </w:pPr>
            <w:r>
              <w:rPr>
                <w:kern w:val="0"/>
                <w:szCs w:val="21"/>
              </w:rPr>
              <w:t>日平均</w:t>
            </w:r>
          </w:p>
        </w:tc>
        <w:tc>
          <w:tcPr>
            <w:tcW w:w="5436" w:type="dxa"/>
            <w:vAlign w:val="center"/>
          </w:tcPr>
          <w:p>
            <w:pPr>
              <w:spacing w:line="360" w:lineRule="exact"/>
              <w:jc w:val="center"/>
              <w:rPr>
                <w:kern w:val="0"/>
                <w:szCs w:val="21"/>
              </w:rPr>
            </w:pPr>
            <w:r>
              <w:rPr>
                <w:kern w:val="0"/>
                <w:szCs w:val="21"/>
              </w:rPr>
              <w:t>0.</w:t>
            </w:r>
            <w:r>
              <w:rPr>
                <w:rFonts w:hint="eastAsia"/>
                <w:kern w:val="0"/>
                <w:szCs w:val="21"/>
              </w:rPr>
              <w:t>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685" w:type="dxa"/>
            <w:vMerge w:val="continue"/>
            <w:tcBorders>
              <w:bottom w:val="single" w:color="auto" w:sz="4" w:space="0"/>
            </w:tcBorders>
            <w:vAlign w:val="center"/>
          </w:tcPr>
          <w:p>
            <w:pPr>
              <w:spacing w:line="360" w:lineRule="exact"/>
              <w:jc w:val="center"/>
              <w:rPr>
                <w:kern w:val="0"/>
                <w:szCs w:val="21"/>
              </w:rPr>
            </w:pPr>
          </w:p>
        </w:tc>
        <w:tc>
          <w:tcPr>
            <w:tcW w:w="1927" w:type="dxa"/>
            <w:tcBorders>
              <w:bottom w:val="single" w:color="auto" w:sz="4" w:space="0"/>
            </w:tcBorders>
            <w:vAlign w:val="center"/>
          </w:tcPr>
          <w:p>
            <w:pPr>
              <w:spacing w:line="360" w:lineRule="exact"/>
              <w:jc w:val="center"/>
              <w:rPr>
                <w:kern w:val="0"/>
                <w:szCs w:val="21"/>
              </w:rPr>
            </w:pPr>
            <w:r>
              <w:rPr>
                <w:kern w:val="0"/>
                <w:szCs w:val="21"/>
              </w:rPr>
              <w:t>小时平均</w:t>
            </w:r>
          </w:p>
        </w:tc>
        <w:tc>
          <w:tcPr>
            <w:tcW w:w="5436" w:type="dxa"/>
            <w:vAlign w:val="center"/>
          </w:tcPr>
          <w:p>
            <w:pPr>
              <w:spacing w:line="360" w:lineRule="exact"/>
              <w:jc w:val="center"/>
              <w:rPr>
                <w:kern w:val="0"/>
                <w:szCs w:val="21"/>
              </w:rPr>
            </w:pPr>
            <w:r>
              <w:rPr>
                <w:kern w:val="0"/>
                <w:szCs w:val="21"/>
              </w:rPr>
              <w:t>0.</w:t>
            </w:r>
            <w:r>
              <w:rPr>
                <w:rFonts w:hint="eastAsia"/>
                <w:kern w:val="0"/>
                <w:szCs w:val="21"/>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685" w:type="dxa"/>
            <w:vMerge w:val="restart"/>
            <w:tcBorders>
              <w:top w:val="single" w:color="auto" w:sz="4" w:space="0"/>
            </w:tcBorders>
            <w:vAlign w:val="center"/>
          </w:tcPr>
          <w:p>
            <w:pPr>
              <w:spacing w:line="360" w:lineRule="exact"/>
              <w:jc w:val="center"/>
              <w:rPr>
                <w:kern w:val="0"/>
                <w:szCs w:val="21"/>
              </w:rPr>
            </w:pPr>
            <w:r>
              <w:rPr>
                <w:rFonts w:hint="eastAsia"/>
                <w:kern w:val="0"/>
                <w:szCs w:val="21"/>
              </w:rPr>
              <w:t>S</w:t>
            </w:r>
            <w:r>
              <w:rPr>
                <w:kern w:val="0"/>
                <w:szCs w:val="21"/>
              </w:rPr>
              <w:t>O</w:t>
            </w:r>
            <w:r>
              <w:rPr>
                <w:kern w:val="0"/>
                <w:szCs w:val="21"/>
                <w:vertAlign w:val="subscript"/>
              </w:rPr>
              <w:t>2</w:t>
            </w:r>
          </w:p>
        </w:tc>
        <w:tc>
          <w:tcPr>
            <w:tcW w:w="1927" w:type="dxa"/>
            <w:tcBorders>
              <w:top w:val="single" w:color="auto" w:sz="4" w:space="0"/>
            </w:tcBorders>
            <w:vAlign w:val="center"/>
          </w:tcPr>
          <w:p>
            <w:pPr>
              <w:spacing w:line="360" w:lineRule="exact"/>
              <w:jc w:val="center"/>
              <w:rPr>
                <w:kern w:val="0"/>
                <w:szCs w:val="21"/>
              </w:rPr>
            </w:pPr>
            <w:r>
              <w:rPr>
                <w:kern w:val="0"/>
                <w:szCs w:val="21"/>
              </w:rPr>
              <w:t>日平均</w:t>
            </w:r>
          </w:p>
        </w:tc>
        <w:tc>
          <w:tcPr>
            <w:tcW w:w="5436" w:type="dxa"/>
            <w:vAlign w:val="center"/>
          </w:tcPr>
          <w:p>
            <w:pPr>
              <w:spacing w:line="360" w:lineRule="exact"/>
              <w:jc w:val="center"/>
              <w:rPr>
                <w:kern w:val="0"/>
                <w:szCs w:val="21"/>
              </w:rPr>
            </w:pPr>
            <w:r>
              <w:rPr>
                <w:rFonts w:hint="eastAsia"/>
                <w:kern w:val="0"/>
                <w:szCs w:val="21"/>
              </w:rPr>
              <w:t>0.15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60" w:hRule="atLeast"/>
        </w:trPr>
        <w:tc>
          <w:tcPr>
            <w:tcW w:w="1685" w:type="dxa"/>
            <w:vMerge w:val="continue"/>
            <w:vAlign w:val="center"/>
          </w:tcPr>
          <w:p>
            <w:pPr>
              <w:spacing w:line="360" w:lineRule="exact"/>
              <w:jc w:val="center"/>
              <w:rPr>
                <w:kern w:val="0"/>
                <w:szCs w:val="21"/>
              </w:rPr>
            </w:pPr>
          </w:p>
        </w:tc>
        <w:tc>
          <w:tcPr>
            <w:tcW w:w="1927" w:type="dxa"/>
            <w:vAlign w:val="center"/>
          </w:tcPr>
          <w:p>
            <w:pPr>
              <w:spacing w:line="360" w:lineRule="exact"/>
              <w:jc w:val="center"/>
              <w:rPr>
                <w:kern w:val="0"/>
                <w:szCs w:val="21"/>
              </w:rPr>
            </w:pPr>
            <w:r>
              <w:rPr>
                <w:kern w:val="0"/>
                <w:szCs w:val="21"/>
              </w:rPr>
              <w:t>小时平均</w:t>
            </w:r>
          </w:p>
        </w:tc>
        <w:tc>
          <w:tcPr>
            <w:tcW w:w="5436" w:type="dxa"/>
            <w:vAlign w:val="center"/>
          </w:tcPr>
          <w:p>
            <w:pPr>
              <w:spacing w:line="360" w:lineRule="exact"/>
              <w:jc w:val="center"/>
              <w:rPr>
                <w:kern w:val="0"/>
                <w:szCs w:val="21"/>
              </w:rPr>
            </w:pPr>
            <w:r>
              <w:rPr>
                <w:rFonts w:hint="eastAsia"/>
                <w:kern w:val="0"/>
                <w:szCs w:val="21"/>
              </w:rPr>
              <w:t>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685" w:type="dxa"/>
            <w:vAlign w:val="center"/>
          </w:tcPr>
          <w:p>
            <w:pPr>
              <w:spacing w:line="360" w:lineRule="exact"/>
              <w:jc w:val="center"/>
              <w:rPr>
                <w:kern w:val="0"/>
                <w:szCs w:val="21"/>
              </w:rPr>
            </w:pPr>
            <w:r>
              <w:rPr>
                <w:kern w:val="0"/>
                <w:szCs w:val="21"/>
              </w:rPr>
              <w:t>TSP</w:t>
            </w:r>
          </w:p>
        </w:tc>
        <w:tc>
          <w:tcPr>
            <w:tcW w:w="1927" w:type="dxa"/>
            <w:vAlign w:val="center"/>
          </w:tcPr>
          <w:p>
            <w:pPr>
              <w:spacing w:line="360" w:lineRule="exact"/>
              <w:jc w:val="center"/>
              <w:rPr>
                <w:kern w:val="0"/>
                <w:szCs w:val="21"/>
              </w:rPr>
            </w:pPr>
            <w:r>
              <w:rPr>
                <w:kern w:val="0"/>
                <w:szCs w:val="21"/>
              </w:rPr>
              <w:t>日平均</w:t>
            </w:r>
          </w:p>
        </w:tc>
        <w:tc>
          <w:tcPr>
            <w:tcW w:w="5436" w:type="dxa"/>
            <w:vAlign w:val="center"/>
          </w:tcPr>
          <w:p>
            <w:pPr>
              <w:spacing w:line="360" w:lineRule="exact"/>
              <w:jc w:val="center"/>
              <w:rPr>
                <w:kern w:val="0"/>
                <w:szCs w:val="21"/>
              </w:rPr>
            </w:pPr>
            <w:r>
              <w:rPr>
                <w:kern w:val="0"/>
                <w:szCs w:val="21"/>
              </w:rPr>
              <w:t>0.</w:t>
            </w:r>
            <w:r>
              <w:rPr>
                <w:rFonts w:hint="eastAsia"/>
                <w:kern w:val="0"/>
                <w:szCs w:val="21"/>
              </w:rPr>
              <w:t>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685" w:type="dxa"/>
            <w:vAlign w:val="center"/>
          </w:tcPr>
          <w:p>
            <w:pPr>
              <w:spacing w:line="360" w:lineRule="exact"/>
              <w:jc w:val="center"/>
              <w:rPr>
                <w:kern w:val="0"/>
                <w:szCs w:val="21"/>
              </w:rPr>
            </w:pPr>
            <w:r>
              <w:rPr>
                <w:bCs/>
              </w:rPr>
              <w:t>PM</w:t>
            </w:r>
            <w:r>
              <w:rPr>
                <w:bCs/>
                <w:szCs w:val="21"/>
                <w:vertAlign w:val="subscript"/>
              </w:rPr>
              <w:t>10</w:t>
            </w:r>
          </w:p>
        </w:tc>
        <w:tc>
          <w:tcPr>
            <w:tcW w:w="1927" w:type="dxa"/>
            <w:vAlign w:val="center"/>
          </w:tcPr>
          <w:p>
            <w:pPr>
              <w:spacing w:line="360" w:lineRule="exact"/>
              <w:jc w:val="center"/>
              <w:rPr>
                <w:kern w:val="0"/>
                <w:szCs w:val="21"/>
              </w:rPr>
            </w:pPr>
            <w:r>
              <w:rPr>
                <w:kern w:val="0"/>
                <w:szCs w:val="21"/>
              </w:rPr>
              <w:t>日平均</w:t>
            </w:r>
          </w:p>
        </w:tc>
        <w:tc>
          <w:tcPr>
            <w:tcW w:w="5436" w:type="dxa"/>
            <w:vAlign w:val="center"/>
          </w:tcPr>
          <w:p>
            <w:pPr>
              <w:spacing w:line="360" w:lineRule="exact"/>
              <w:jc w:val="center"/>
              <w:rPr>
                <w:kern w:val="0"/>
                <w:szCs w:val="21"/>
              </w:rPr>
            </w:pPr>
            <w:r>
              <w:rPr>
                <w:rFonts w:hint="eastAsia"/>
                <w:kern w:val="0"/>
                <w:szCs w:val="21"/>
              </w:rPr>
              <w:t>0.15</w:t>
            </w:r>
          </w:p>
        </w:tc>
      </w:tr>
    </w:tbl>
    <w:p>
      <w:pPr>
        <w:pStyle w:val="166"/>
        <w:spacing w:line="360" w:lineRule="auto"/>
        <w:ind w:firstLine="482"/>
        <w:rPr>
          <w:rFonts w:ascii="Times New Roman" w:hAnsi="Times New Roman"/>
        </w:rPr>
      </w:pPr>
      <w:r>
        <w:rPr>
          <w:rFonts w:ascii="Times New Roman" w:hAnsi="Times New Roman"/>
        </w:rPr>
        <w:t>（2）排放标准</w:t>
      </w:r>
    </w:p>
    <w:p>
      <w:pPr>
        <w:pStyle w:val="78"/>
        <w:spacing w:line="360" w:lineRule="auto"/>
        <w:ind w:firstLine="480"/>
        <w:rPr>
          <w:rFonts w:ascii="Times New Roman" w:hAnsi="Times New Roman"/>
        </w:rPr>
      </w:pPr>
      <w:r>
        <w:rPr>
          <w:rFonts w:ascii="Times New Roman" w:hAnsi="Times New Roman"/>
        </w:rPr>
        <w:t>《大气污染物综合排放标准》（GB16297-1996）中的</w:t>
      </w:r>
      <w:r>
        <w:rPr>
          <w:rFonts w:hint="eastAsia" w:ascii="Times New Roman" w:hAnsi="Times New Roman"/>
        </w:rPr>
        <w:t>二</w:t>
      </w:r>
      <w:r>
        <w:rPr>
          <w:rFonts w:ascii="Times New Roman" w:hAnsi="Times New Roman"/>
        </w:rPr>
        <w:t>级标准</w:t>
      </w:r>
      <w:r>
        <w:rPr>
          <w:rFonts w:hint="eastAsia" w:ascii="Times New Roman" w:hAnsi="Times New Roman"/>
        </w:rPr>
        <w:t>，</w:t>
      </w:r>
      <w:r>
        <w:rPr>
          <w:rFonts w:ascii="Times New Roman" w:hAnsi="Times New Roman"/>
        </w:rPr>
        <w:t>（见表1.</w:t>
      </w:r>
      <w:r>
        <w:rPr>
          <w:rFonts w:hint="eastAsia" w:ascii="Times New Roman" w:hAnsi="Times New Roman"/>
        </w:rPr>
        <w:t>3</w:t>
      </w:r>
      <w:r>
        <w:rPr>
          <w:rFonts w:ascii="Times New Roman" w:hAnsi="Times New Roman"/>
        </w:rPr>
        <w:t>-2）。</w:t>
      </w:r>
    </w:p>
    <w:p>
      <w:pPr>
        <w:pStyle w:val="167"/>
        <w:rPr>
          <w:sz w:val="21"/>
        </w:rPr>
      </w:pPr>
      <w:r>
        <w:rPr>
          <w:sz w:val="21"/>
        </w:rPr>
        <w:t>表</w:t>
      </w:r>
      <w:r>
        <w:rPr>
          <w:rFonts w:hint="eastAsia"/>
          <w:sz w:val="21"/>
        </w:rPr>
        <w:t>1.</w:t>
      </w:r>
      <w:r>
        <w:rPr>
          <w:rFonts w:hint="eastAsia"/>
          <w:sz w:val="21"/>
          <w:lang w:eastAsia="zh-CN"/>
        </w:rPr>
        <w:t>3</w:t>
      </w:r>
      <w:r>
        <w:rPr>
          <w:rFonts w:hint="eastAsia"/>
          <w:sz w:val="21"/>
        </w:rPr>
        <w:t>-2</w:t>
      </w:r>
      <w:r>
        <w:rPr>
          <w:sz w:val="21"/>
        </w:rPr>
        <w:t xml:space="preserve">         《大气污染物排放标准》</w:t>
      </w:r>
      <w:r>
        <w:rPr>
          <w:rFonts w:hint="eastAsia"/>
          <w:sz w:val="21"/>
        </w:rPr>
        <w:t>(GB16297-1996)</w:t>
      </w:r>
    </w:p>
    <w:tbl>
      <w:tblPr>
        <w:tblStyle w:val="104"/>
        <w:tblW w:w="9072"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13"/>
        <w:gridCol w:w="1960"/>
        <w:gridCol w:w="1968"/>
        <w:gridCol w:w="891"/>
        <w:gridCol w:w="31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113" w:type="dxa"/>
            <w:vMerge w:val="restart"/>
            <w:vAlign w:val="center"/>
          </w:tcPr>
          <w:p>
            <w:pPr/>
            <w:r>
              <w:t>污染物</w:t>
            </w:r>
          </w:p>
        </w:tc>
        <w:tc>
          <w:tcPr>
            <w:tcW w:w="1960" w:type="dxa"/>
            <w:vMerge w:val="restart"/>
            <w:vAlign w:val="center"/>
          </w:tcPr>
          <w:p>
            <w:pPr/>
            <w:r>
              <w:t>最高允许排放浓度(mg/m3)</w:t>
            </w:r>
          </w:p>
        </w:tc>
        <w:tc>
          <w:tcPr>
            <w:tcW w:w="2859" w:type="dxa"/>
            <w:gridSpan w:val="2"/>
            <w:vAlign w:val="center"/>
          </w:tcPr>
          <w:p>
            <w:pPr/>
            <w:r>
              <w:t>最高允许排放速率(kg/h)</w:t>
            </w:r>
          </w:p>
        </w:tc>
        <w:tc>
          <w:tcPr>
            <w:tcW w:w="3140" w:type="dxa"/>
            <w:vMerge w:val="restart"/>
            <w:vAlign w:val="center"/>
          </w:tcPr>
          <w:p>
            <w:pPr/>
            <w:r>
              <w:t>无组织排放监控浓度限值点(mg/m3)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3" w:hRule="atLeast"/>
          <w:jc w:val="center"/>
        </w:trPr>
        <w:tc>
          <w:tcPr>
            <w:tcW w:w="1113" w:type="dxa"/>
            <w:vMerge w:val="continue"/>
            <w:vAlign w:val="center"/>
          </w:tcPr>
          <w:p>
            <w:pPr/>
          </w:p>
        </w:tc>
        <w:tc>
          <w:tcPr>
            <w:tcW w:w="1960" w:type="dxa"/>
            <w:vMerge w:val="continue"/>
            <w:vAlign w:val="center"/>
          </w:tcPr>
          <w:p>
            <w:pPr/>
          </w:p>
        </w:tc>
        <w:tc>
          <w:tcPr>
            <w:tcW w:w="1968" w:type="dxa"/>
            <w:vAlign w:val="center"/>
          </w:tcPr>
          <w:p>
            <w:pPr/>
            <w:r>
              <w:t>排气筒高度(m)</w:t>
            </w:r>
          </w:p>
        </w:tc>
        <w:tc>
          <w:tcPr>
            <w:tcW w:w="891" w:type="dxa"/>
            <w:vAlign w:val="center"/>
          </w:tcPr>
          <w:p>
            <w:pPr/>
            <w:r>
              <w:t>二级</w:t>
            </w:r>
          </w:p>
        </w:tc>
        <w:tc>
          <w:tcPr>
            <w:tcW w:w="3140" w:type="dxa"/>
            <w:vMerge w:val="continue"/>
            <w:vAlign w:val="center"/>
          </w:tcPr>
          <w:p>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3" w:hRule="atLeast"/>
          <w:jc w:val="center"/>
        </w:trPr>
        <w:tc>
          <w:tcPr>
            <w:tcW w:w="1113" w:type="dxa"/>
            <w:vMerge w:val="restart"/>
            <w:vAlign w:val="center"/>
          </w:tcPr>
          <w:p>
            <w:pPr/>
            <w:r>
              <w:t>颗粒物</w:t>
            </w:r>
          </w:p>
        </w:tc>
        <w:tc>
          <w:tcPr>
            <w:tcW w:w="1960" w:type="dxa"/>
            <w:vMerge w:val="restart"/>
            <w:vAlign w:val="center"/>
          </w:tcPr>
          <w:p>
            <w:pPr/>
            <w:r>
              <w:t>120</w:t>
            </w:r>
          </w:p>
        </w:tc>
        <w:tc>
          <w:tcPr>
            <w:tcW w:w="1968" w:type="dxa"/>
            <w:vAlign w:val="center"/>
          </w:tcPr>
          <w:p>
            <w:pPr/>
            <w:r>
              <w:t>15</w:t>
            </w:r>
          </w:p>
        </w:tc>
        <w:tc>
          <w:tcPr>
            <w:tcW w:w="891" w:type="dxa"/>
            <w:vAlign w:val="center"/>
          </w:tcPr>
          <w:p>
            <w:pPr/>
            <w:r>
              <w:t>3.5</w:t>
            </w:r>
          </w:p>
        </w:tc>
        <w:tc>
          <w:tcPr>
            <w:tcW w:w="3140" w:type="dxa"/>
            <w:vMerge w:val="restart"/>
            <w:vAlign w:val="center"/>
          </w:tcPr>
          <w:p>
            <w:pPr/>
            <w:r>
              <w:t>周界外浓度最高点1.0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113" w:type="dxa"/>
            <w:vMerge w:val="continue"/>
            <w:vAlign w:val="center"/>
          </w:tcPr>
          <w:p>
            <w:pPr/>
          </w:p>
        </w:tc>
        <w:tc>
          <w:tcPr>
            <w:tcW w:w="1960" w:type="dxa"/>
            <w:vMerge w:val="continue"/>
            <w:vAlign w:val="center"/>
          </w:tcPr>
          <w:p>
            <w:pPr/>
          </w:p>
        </w:tc>
        <w:tc>
          <w:tcPr>
            <w:tcW w:w="1968" w:type="dxa"/>
            <w:vAlign w:val="center"/>
          </w:tcPr>
          <w:p>
            <w:pPr/>
            <w:r>
              <w:t>20</w:t>
            </w:r>
          </w:p>
        </w:tc>
        <w:tc>
          <w:tcPr>
            <w:tcW w:w="891" w:type="dxa"/>
            <w:vAlign w:val="center"/>
          </w:tcPr>
          <w:p>
            <w:pPr/>
            <w:r>
              <w:t>5.9</w:t>
            </w:r>
          </w:p>
        </w:tc>
        <w:tc>
          <w:tcPr>
            <w:tcW w:w="3140" w:type="dxa"/>
            <w:vMerge w:val="continue"/>
            <w:vAlign w:val="center"/>
          </w:tcPr>
          <w:p>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1" w:hRule="atLeast"/>
          <w:jc w:val="center"/>
        </w:trPr>
        <w:tc>
          <w:tcPr>
            <w:tcW w:w="1113" w:type="dxa"/>
            <w:vMerge w:val="continue"/>
            <w:vAlign w:val="center"/>
          </w:tcPr>
          <w:p>
            <w:pPr/>
          </w:p>
        </w:tc>
        <w:tc>
          <w:tcPr>
            <w:tcW w:w="1960" w:type="dxa"/>
            <w:vMerge w:val="continue"/>
            <w:vAlign w:val="center"/>
          </w:tcPr>
          <w:p>
            <w:pPr/>
          </w:p>
        </w:tc>
        <w:tc>
          <w:tcPr>
            <w:tcW w:w="1968" w:type="dxa"/>
            <w:vAlign w:val="center"/>
          </w:tcPr>
          <w:p>
            <w:pPr/>
            <w:r>
              <w:t>30</w:t>
            </w:r>
          </w:p>
        </w:tc>
        <w:tc>
          <w:tcPr>
            <w:tcW w:w="891" w:type="dxa"/>
            <w:vAlign w:val="center"/>
          </w:tcPr>
          <w:p>
            <w:pPr/>
            <w:r>
              <w:t>23</w:t>
            </w:r>
          </w:p>
        </w:tc>
        <w:tc>
          <w:tcPr>
            <w:tcW w:w="3140" w:type="dxa"/>
            <w:vMerge w:val="continue"/>
            <w:vAlign w:val="center"/>
          </w:tcPr>
          <w:p>
            <w:pPr/>
          </w:p>
        </w:tc>
      </w:tr>
    </w:tbl>
    <w:p>
      <w:pPr>
        <w:pStyle w:val="5"/>
        <w:tabs>
          <w:tab w:val="left" w:pos="567"/>
        </w:tabs>
        <w:spacing w:before="62" w:beforeLines="20" w:afterLines="0" w:line="360" w:lineRule="auto"/>
        <w:ind w:left="0" w:firstLine="0"/>
      </w:pPr>
      <w:bookmarkStart w:id="28" w:name="_Toc382903917"/>
      <w:bookmarkStart w:id="29" w:name="_Toc442195661"/>
      <w:bookmarkStart w:id="30" w:name="_Toc337742395"/>
      <w:bookmarkStart w:id="31" w:name="_Toc268246211"/>
      <w:bookmarkStart w:id="32" w:name="_Toc229480637"/>
      <w:r>
        <w:t>声环境</w:t>
      </w:r>
      <w:bookmarkEnd w:id="28"/>
      <w:bookmarkEnd w:id="29"/>
      <w:bookmarkEnd w:id="30"/>
      <w:bookmarkEnd w:id="31"/>
      <w:bookmarkEnd w:id="32"/>
    </w:p>
    <w:p>
      <w:pPr>
        <w:spacing w:line="360" w:lineRule="auto"/>
        <w:ind w:firstLine="480" w:firstLineChars="200"/>
        <w:rPr>
          <w:sz w:val="24"/>
        </w:rPr>
      </w:pPr>
      <w:r>
        <w:rPr>
          <w:rFonts w:hint="eastAsia"/>
          <w:sz w:val="24"/>
        </w:rPr>
        <w:t>① 现状评价</w:t>
      </w:r>
    </w:p>
    <w:p>
      <w:pPr>
        <w:spacing w:line="360" w:lineRule="auto"/>
        <w:ind w:firstLine="480" w:firstLineChars="200"/>
        <w:rPr>
          <w:sz w:val="24"/>
        </w:rPr>
      </w:pPr>
      <w:r>
        <w:rPr>
          <w:rFonts w:hint="eastAsia"/>
          <w:sz w:val="24"/>
        </w:rPr>
        <w:t>新建路段沿线乡村居住区域执行《声环境质量标准》（GB3096-2008）1类标准；现有国道等道路两侧40m范围内的居住区域执行4a类标准，40m以外居民区域执行2类标准。</w:t>
      </w:r>
    </w:p>
    <w:p>
      <w:pPr>
        <w:spacing w:line="360" w:lineRule="auto"/>
        <w:ind w:firstLine="480" w:firstLineChars="200"/>
        <w:rPr>
          <w:sz w:val="24"/>
        </w:rPr>
      </w:pPr>
      <w:r>
        <w:rPr>
          <w:rFonts w:hint="eastAsia"/>
          <w:sz w:val="24"/>
        </w:rPr>
        <w:t xml:space="preserve">② </w:t>
      </w:r>
      <w:r>
        <w:rPr>
          <w:sz w:val="24"/>
        </w:rPr>
        <w:t>影响评价</w:t>
      </w:r>
    </w:p>
    <w:p>
      <w:pPr>
        <w:spacing w:line="360" w:lineRule="auto"/>
        <w:ind w:firstLine="480" w:firstLineChars="200"/>
        <w:rPr>
          <w:sz w:val="24"/>
        </w:rPr>
      </w:pPr>
      <w:r>
        <w:rPr>
          <w:rFonts w:hint="eastAsia"/>
          <w:sz w:val="24"/>
        </w:rPr>
        <w:t>临长江执行4a类标准；临318国道侧40m范围内的居住区域执行4a类标准，40m以外区域执行2类标准；长江岸线航道一定范围内执行4a类标准；物流园区其余边界执行《工业企业厂界环境噪声排放标准》（GB12348-2008）3类标准，边界外敏感点执行2类标准。</w:t>
      </w:r>
    </w:p>
    <w:p>
      <w:pPr>
        <w:pStyle w:val="163"/>
      </w:pPr>
      <w:r>
        <w:rPr>
          <w:rFonts w:hint="eastAsia"/>
        </w:rPr>
        <w:t>各类标准值</w:t>
      </w:r>
      <w:r>
        <w:t>见表</w:t>
      </w:r>
      <w:r>
        <w:rPr>
          <w:rFonts w:hint="eastAsia"/>
        </w:rPr>
        <w:t>1.3-3。</w:t>
      </w:r>
    </w:p>
    <w:p>
      <w:pPr>
        <w:pStyle w:val="167"/>
        <w:rPr>
          <w:sz w:val="21"/>
        </w:rPr>
      </w:pPr>
      <w:r>
        <w:rPr>
          <w:sz w:val="21"/>
        </w:rPr>
        <w:t>表1</w:t>
      </w:r>
      <w:r>
        <w:rPr>
          <w:rFonts w:hint="eastAsia"/>
          <w:sz w:val="21"/>
        </w:rPr>
        <w:t>.</w:t>
      </w:r>
      <w:r>
        <w:rPr>
          <w:rFonts w:hint="eastAsia"/>
          <w:sz w:val="21"/>
          <w:lang w:eastAsia="zh-CN"/>
        </w:rPr>
        <w:t>3</w:t>
      </w:r>
      <w:r>
        <w:rPr>
          <w:rFonts w:hint="eastAsia"/>
          <w:sz w:val="21"/>
        </w:rPr>
        <w:t>-</w:t>
      </w:r>
      <w:r>
        <w:rPr>
          <w:rFonts w:hint="eastAsia"/>
          <w:sz w:val="21"/>
          <w:lang w:eastAsia="zh-CN"/>
        </w:rPr>
        <w:t>3</w:t>
      </w:r>
      <w:r>
        <w:rPr>
          <w:sz w:val="21"/>
        </w:rPr>
        <w:t xml:space="preserve">     </w:t>
      </w:r>
      <w:r>
        <w:rPr>
          <w:rFonts w:hint="eastAsia"/>
          <w:sz w:val="21"/>
        </w:rPr>
        <w:t xml:space="preserve">  </w:t>
      </w:r>
      <w:r>
        <w:rPr>
          <w:sz w:val="21"/>
        </w:rPr>
        <w:t xml:space="preserve"> 《</w:t>
      </w:r>
      <w:r>
        <w:rPr>
          <w:rFonts w:hint="eastAsia"/>
          <w:sz w:val="21"/>
        </w:rPr>
        <w:t>声环境质量标准</w:t>
      </w:r>
      <w:r>
        <w:rPr>
          <w:sz w:val="21"/>
        </w:rPr>
        <w:t>》(GB3096-</w:t>
      </w:r>
      <w:r>
        <w:rPr>
          <w:rFonts w:hint="eastAsia"/>
          <w:sz w:val="21"/>
        </w:rPr>
        <w:t>2008</w:t>
      </w:r>
      <w:r>
        <w:rPr>
          <w:sz w:val="21"/>
        </w:rPr>
        <w:t>)</w:t>
      </w:r>
    </w:p>
    <w:tbl>
      <w:tblPr>
        <w:tblStyle w:val="104"/>
        <w:tblW w:w="907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384"/>
        <w:gridCol w:w="1985"/>
        <w:gridCol w:w="1984"/>
        <w:gridCol w:w="371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69" w:hRule="atLeast"/>
        </w:trPr>
        <w:tc>
          <w:tcPr>
            <w:tcW w:w="1384" w:type="dxa"/>
            <w:vAlign w:val="center"/>
          </w:tcPr>
          <w:p>
            <w:pPr>
              <w:pStyle w:val="46"/>
              <w:adjustRightInd w:val="0"/>
              <w:snapToGrid w:val="0"/>
              <w:jc w:val="center"/>
              <w:rPr>
                <w:rFonts w:ascii="Times New Roman" w:hAnsi="Times New Roman"/>
              </w:rPr>
            </w:pPr>
            <w:r>
              <w:rPr>
                <w:rFonts w:ascii="Times New Roman" w:hAnsi="Times New Roman"/>
              </w:rPr>
              <w:t>类   别</w:t>
            </w:r>
          </w:p>
        </w:tc>
        <w:tc>
          <w:tcPr>
            <w:tcW w:w="1985" w:type="dxa"/>
            <w:vAlign w:val="center"/>
          </w:tcPr>
          <w:p>
            <w:pPr>
              <w:pStyle w:val="46"/>
              <w:adjustRightInd w:val="0"/>
              <w:snapToGrid w:val="0"/>
              <w:jc w:val="center"/>
              <w:rPr>
                <w:rFonts w:ascii="Times New Roman" w:hAnsi="Times New Roman"/>
              </w:rPr>
            </w:pPr>
            <w:r>
              <w:rPr>
                <w:rFonts w:ascii="Times New Roman" w:hAnsi="Times New Roman"/>
              </w:rPr>
              <w:t>昼   间(dB(A))</w:t>
            </w:r>
          </w:p>
        </w:tc>
        <w:tc>
          <w:tcPr>
            <w:tcW w:w="1984" w:type="dxa"/>
            <w:tcBorders>
              <w:right w:val="single" w:color="auto" w:sz="4" w:space="0"/>
            </w:tcBorders>
            <w:vAlign w:val="center"/>
          </w:tcPr>
          <w:p>
            <w:pPr>
              <w:pStyle w:val="46"/>
              <w:adjustRightInd w:val="0"/>
              <w:snapToGrid w:val="0"/>
              <w:jc w:val="center"/>
              <w:rPr>
                <w:rFonts w:ascii="Times New Roman" w:hAnsi="Times New Roman"/>
              </w:rPr>
            </w:pPr>
            <w:r>
              <w:rPr>
                <w:rFonts w:ascii="Times New Roman" w:hAnsi="Times New Roman"/>
              </w:rPr>
              <w:t>夜   间(dB(A))</w:t>
            </w:r>
          </w:p>
        </w:tc>
        <w:tc>
          <w:tcPr>
            <w:tcW w:w="3719" w:type="dxa"/>
            <w:tcBorders>
              <w:left w:val="single" w:color="auto" w:sz="4" w:space="0"/>
            </w:tcBorders>
            <w:vAlign w:val="center"/>
          </w:tcPr>
          <w:p>
            <w:pPr>
              <w:pStyle w:val="46"/>
              <w:adjustRightInd w:val="0"/>
              <w:snapToGrid w:val="0"/>
              <w:jc w:val="center"/>
              <w:rPr>
                <w:rFonts w:ascii="Times New Roman" w:hAnsi="Times New Roman"/>
              </w:rPr>
            </w:pPr>
            <w:r>
              <w:rPr>
                <w:rFonts w:hint="eastAsia" w:ascii="Times New Roman" w:hAnsi="Times New Roman"/>
              </w:rPr>
              <w:t>适用范围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69" w:hRule="atLeast"/>
        </w:trPr>
        <w:tc>
          <w:tcPr>
            <w:tcW w:w="1384" w:type="dxa"/>
            <w:vAlign w:val="center"/>
          </w:tcPr>
          <w:p>
            <w:pPr>
              <w:pStyle w:val="46"/>
              <w:adjustRightInd w:val="0"/>
              <w:snapToGrid w:val="0"/>
              <w:jc w:val="center"/>
              <w:rPr>
                <w:rFonts w:ascii="Times New Roman" w:hAnsi="Times New Roman"/>
              </w:rPr>
            </w:pPr>
            <w:r>
              <w:rPr>
                <w:rFonts w:ascii="Times New Roman" w:hAnsi="Times New Roman"/>
              </w:rPr>
              <w:t>2</w:t>
            </w:r>
          </w:p>
        </w:tc>
        <w:tc>
          <w:tcPr>
            <w:tcW w:w="1985" w:type="dxa"/>
            <w:vAlign w:val="center"/>
          </w:tcPr>
          <w:p>
            <w:pPr>
              <w:pStyle w:val="46"/>
              <w:adjustRightInd w:val="0"/>
              <w:snapToGrid w:val="0"/>
              <w:jc w:val="center"/>
              <w:rPr>
                <w:rFonts w:ascii="Times New Roman" w:hAnsi="Times New Roman"/>
              </w:rPr>
            </w:pPr>
            <w:r>
              <w:rPr>
                <w:rFonts w:ascii="Times New Roman" w:hAnsi="Times New Roman"/>
              </w:rPr>
              <w:t>60</w:t>
            </w:r>
          </w:p>
        </w:tc>
        <w:tc>
          <w:tcPr>
            <w:tcW w:w="1984" w:type="dxa"/>
            <w:tcBorders>
              <w:right w:val="single" w:color="auto" w:sz="4" w:space="0"/>
            </w:tcBorders>
            <w:vAlign w:val="center"/>
          </w:tcPr>
          <w:p>
            <w:pPr>
              <w:pStyle w:val="46"/>
              <w:adjustRightInd w:val="0"/>
              <w:snapToGrid w:val="0"/>
              <w:jc w:val="center"/>
              <w:rPr>
                <w:rFonts w:ascii="Times New Roman" w:hAnsi="Times New Roman"/>
              </w:rPr>
            </w:pPr>
            <w:r>
              <w:rPr>
                <w:rFonts w:ascii="Times New Roman" w:hAnsi="Times New Roman"/>
              </w:rPr>
              <w:t>50</w:t>
            </w:r>
          </w:p>
        </w:tc>
        <w:tc>
          <w:tcPr>
            <w:tcW w:w="3719" w:type="dxa"/>
            <w:tcBorders>
              <w:left w:val="single" w:color="auto" w:sz="4" w:space="0"/>
            </w:tcBorders>
            <w:vAlign w:val="center"/>
          </w:tcPr>
          <w:p>
            <w:pPr>
              <w:pStyle w:val="46"/>
              <w:adjustRightInd w:val="0"/>
              <w:snapToGrid w:val="0"/>
              <w:jc w:val="center"/>
              <w:rPr>
                <w:rFonts w:ascii="Times New Roman" w:hAnsi="Times New Roman"/>
              </w:rPr>
            </w:pPr>
            <w:r>
              <w:rPr>
                <w:rFonts w:hint="eastAsia" w:ascii="Times New Roman" w:hAnsi="Times New Roman"/>
              </w:rPr>
              <w:t>居民区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69" w:hRule="atLeast"/>
        </w:trPr>
        <w:tc>
          <w:tcPr>
            <w:tcW w:w="1384" w:type="dxa"/>
            <w:vAlign w:val="center"/>
          </w:tcPr>
          <w:p>
            <w:pPr>
              <w:pStyle w:val="46"/>
              <w:adjustRightInd w:val="0"/>
              <w:snapToGrid w:val="0"/>
              <w:jc w:val="center"/>
              <w:rPr>
                <w:rFonts w:ascii="Times New Roman" w:hAnsi="Times New Roman"/>
              </w:rPr>
            </w:pPr>
            <w:r>
              <w:rPr>
                <w:rFonts w:hint="eastAsia" w:ascii="Times New Roman" w:hAnsi="Times New Roman"/>
              </w:rPr>
              <w:t>3</w:t>
            </w:r>
          </w:p>
        </w:tc>
        <w:tc>
          <w:tcPr>
            <w:tcW w:w="1985" w:type="dxa"/>
            <w:vAlign w:val="center"/>
          </w:tcPr>
          <w:p>
            <w:pPr>
              <w:pStyle w:val="46"/>
              <w:adjustRightInd w:val="0"/>
              <w:snapToGrid w:val="0"/>
              <w:jc w:val="center"/>
              <w:rPr>
                <w:rFonts w:ascii="Times New Roman" w:hAnsi="Times New Roman"/>
              </w:rPr>
            </w:pPr>
            <w:r>
              <w:rPr>
                <w:rFonts w:hint="eastAsia" w:ascii="Times New Roman" w:hAnsi="Times New Roman"/>
              </w:rPr>
              <w:t>65</w:t>
            </w:r>
          </w:p>
        </w:tc>
        <w:tc>
          <w:tcPr>
            <w:tcW w:w="1984" w:type="dxa"/>
            <w:tcBorders>
              <w:right w:val="single" w:color="auto" w:sz="4" w:space="0"/>
            </w:tcBorders>
            <w:vAlign w:val="center"/>
          </w:tcPr>
          <w:p>
            <w:pPr>
              <w:pStyle w:val="46"/>
              <w:adjustRightInd w:val="0"/>
              <w:snapToGrid w:val="0"/>
              <w:jc w:val="center"/>
              <w:rPr>
                <w:rFonts w:ascii="Times New Roman" w:hAnsi="Times New Roman"/>
              </w:rPr>
            </w:pPr>
            <w:r>
              <w:rPr>
                <w:rFonts w:hint="eastAsia" w:ascii="Times New Roman" w:hAnsi="Times New Roman"/>
              </w:rPr>
              <w:t>55</w:t>
            </w:r>
          </w:p>
        </w:tc>
        <w:tc>
          <w:tcPr>
            <w:tcW w:w="3719" w:type="dxa"/>
            <w:tcBorders>
              <w:left w:val="single" w:color="auto" w:sz="4" w:space="0"/>
            </w:tcBorders>
            <w:vAlign w:val="center"/>
          </w:tcPr>
          <w:p>
            <w:pPr>
              <w:pStyle w:val="46"/>
              <w:adjustRightInd w:val="0"/>
              <w:snapToGrid w:val="0"/>
              <w:jc w:val="center"/>
              <w:rPr>
                <w:rFonts w:ascii="Times New Roman" w:hAnsi="Times New Roman"/>
              </w:rPr>
            </w:pPr>
            <w:r>
              <w:rPr>
                <w:rFonts w:hint="eastAsia" w:ascii="Times New Roman" w:hAnsi="Times New Roman"/>
              </w:rPr>
              <w:t>工业区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1" w:hRule="atLeast"/>
        </w:trPr>
        <w:tc>
          <w:tcPr>
            <w:tcW w:w="1384" w:type="dxa"/>
            <w:vAlign w:val="center"/>
          </w:tcPr>
          <w:p>
            <w:pPr>
              <w:pStyle w:val="46"/>
              <w:adjustRightInd w:val="0"/>
              <w:snapToGrid w:val="0"/>
              <w:jc w:val="center"/>
              <w:rPr>
                <w:rFonts w:ascii="Times New Roman" w:hAnsi="Times New Roman"/>
              </w:rPr>
            </w:pPr>
            <w:r>
              <w:rPr>
                <w:rFonts w:ascii="Times New Roman" w:hAnsi="Times New Roman"/>
              </w:rPr>
              <w:t>4a</w:t>
            </w:r>
          </w:p>
        </w:tc>
        <w:tc>
          <w:tcPr>
            <w:tcW w:w="1985" w:type="dxa"/>
            <w:vAlign w:val="center"/>
          </w:tcPr>
          <w:p>
            <w:pPr>
              <w:pStyle w:val="46"/>
              <w:adjustRightInd w:val="0"/>
              <w:snapToGrid w:val="0"/>
              <w:jc w:val="center"/>
              <w:rPr>
                <w:rFonts w:ascii="Times New Roman" w:hAnsi="Times New Roman"/>
              </w:rPr>
            </w:pPr>
            <w:r>
              <w:rPr>
                <w:rFonts w:ascii="Times New Roman" w:hAnsi="Times New Roman"/>
              </w:rPr>
              <w:t>70</w:t>
            </w:r>
          </w:p>
        </w:tc>
        <w:tc>
          <w:tcPr>
            <w:tcW w:w="1984" w:type="dxa"/>
            <w:tcBorders>
              <w:right w:val="single" w:color="auto" w:sz="4" w:space="0"/>
            </w:tcBorders>
            <w:vAlign w:val="center"/>
          </w:tcPr>
          <w:p>
            <w:pPr>
              <w:pStyle w:val="46"/>
              <w:adjustRightInd w:val="0"/>
              <w:snapToGrid w:val="0"/>
              <w:jc w:val="center"/>
              <w:rPr>
                <w:rFonts w:ascii="Times New Roman" w:hAnsi="Times New Roman"/>
              </w:rPr>
            </w:pPr>
            <w:r>
              <w:rPr>
                <w:rFonts w:ascii="Times New Roman" w:hAnsi="Times New Roman"/>
              </w:rPr>
              <w:t>55</w:t>
            </w:r>
          </w:p>
        </w:tc>
        <w:tc>
          <w:tcPr>
            <w:tcW w:w="3719" w:type="dxa"/>
            <w:tcBorders>
              <w:left w:val="single" w:color="auto" w:sz="4" w:space="0"/>
            </w:tcBorders>
            <w:vAlign w:val="center"/>
          </w:tcPr>
          <w:p>
            <w:pPr>
              <w:pStyle w:val="46"/>
              <w:adjustRightInd w:val="0"/>
              <w:snapToGrid w:val="0"/>
              <w:jc w:val="center"/>
              <w:rPr>
                <w:rFonts w:ascii="Times New Roman" w:hAnsi="Times New Roman"/>
              </w:rPr>
            </w:pPr>
            <w:r>
              <w:rPr>
                <w:rFonts w:hint="eastAsia" w:ascii="Times New Roman" w:hAnsi="Times New Roman"/>
              </w:rPr>
              <w:t>交通干线两侧一定范围</w:t>
            </w:r>
          </w:p>
        </w:tc>
      </w:tr>
    </w:tbl>
    <w:p>
      <w:pPr>
        <w:pStyle w:val="78"/>
        <w:spacing w:line="360" w:lineRule="auto"/>
        <w:ind w:firstLine="480"/>
        <w:rPr>
          <w:rFonts w:ascii="Times New Roman" w:hAnsi="Times New Roman"/>
        </w:rPr>
      </w:pPr>
    </w:p>
    <w:p>
      <w:pPr>
        <w:pStyle w:val="78"/>
        <w:spacing w:line="360" w:lineRule="auto"/>
        <w:ind w:firstLine="480"/>
        <w:rPr>
          <w:rFonts w:ascii="Times New Roman" w:hAnsi="Times New Roman"/>
        </w:rPr>
      </w:pPr>
    </w:p>
    <w:p>
      <w:pPr>
        <w:pStyle w:val="78"/>
        <w:spacing w:line="360" w:lineRule="auto"/>
        <w:ind w:firstLine="480"/>
        <w:rPr>
          <w:rFonts w:ascii="Times New Roman" w:hAnsi="Times New Roman"/>
        </w:rPr>
      </w:pPr>
      <w:r>
        <w:rPr>
          <w:rFonts w:ascii="Times New Roman" w:hAnsi="Times New Roman"/>
        </w:rPr>
        <w:t>施工期拟执行《建筑施工场界噪声</w:t>
      </w:r>
      <w:r>
        <w:rPr>
          <w:rFonts w:hint="eastAsia" w:ascii="Times New Roman" w:hAnsi="Times New Roman"/>
        </w:rPr>
        <w:t>排放标准</w:t>
      </w:r>
      <w:r>
        <w:rPr>
          <w:rFonts w:ascii="Times New Roman" w:hAnsi="Times New Roman"/>
        </w:rPr>
        <w:t>》（GB12523-</w:t>
      </w:r>
      <w:r>
        <w:rPr>
          <w:rFonts w:hint="eastAsia" w:ascii="Times New Roman" w:hAnsi="Times New Roman"/>
        </w:rPr>
        <w:t>2011</w:t>
      </w:r>
      <w:r>
        <w:rPr>
          <w:rFonts w:ascii="Times New Roman" w:hAnsi="Times New Roman"/>
        </w:rPr>
        <w:t>）要求（见表1.</w:t>
      </w:r>
      <w:r>
        <w:rPr>
          <w:rFonts w:hint="eastAsia" w:ascii="Times New Roman" w:hAnsi="Times New Roman"/>
        </w:rPr>
        <w:t>3</w:t>
      </w:r>
      <w:r>
        <w:rPr>
          <w:rFonts w:ascii="Times New Roman" w:hAnsi="Times New Roman"/>
        </w:rPr>
        <w:t>-4）。</w:t>
      </w:r>
    </w:p>
    <w:p>
      <w:pPr>
        <w:pStyle w:val="167"/>
        <w:rPr>
          <w:sz w:val="21"/>
        </w:rPr>
      </w:pPr>
      <w:r>
        <w:rPr>
          <w:sz w:val="21"/>
        </w:rPr>
        <w:t>表1.</w:t>
      </w:r>
      <w:r>
        <w:rPr>
          <w:rFonts w:hint="eastAsia"/>
          <w:sz w:val="21"/>
          <w:lang w:eastAsia="zh-CN"/>
        </w:rPr>
        <w:t>3</w:t>
      </w:r>
      <w:r>
        <w:rPr>
          <w:sz w:val="21"/>
        </w:rPr>
        <w:t>-4  《建筑施工场界噪声</w:t>
      </w:r>
      <w:r>
        <w:rPr>
          <w:rFonts w:hint="eastAsia"/>
          <w:sz w:val="21"/>
        </w:rPr>
        <w:t>排放标准</w:t>
      </w:r>
      <w:r>
        <w:rPr>
          <w:sz w:val="21"/>
        </w:rPr>
        <w:t>》（GB12523-</w:t>
      </w:r>
      <w:r>
        <w:rPr>
          <w:rFonts w:hint="eastAsia"/>
          <w:sz w:val="21"/>
        </w:rPr>
        <w:t>2011</w:t>
      </w:r>
      <w:r>
        <w:rPr>
          <w:sz w:val="21"/>
        </w:rPr>
        <w:t>）</w:t>
      </w:r>
    </w:p>
    <w:tbl>
      <w:tblPr>
        <w:tblStyle w:val="104"/>
        <w:tblW w:w="8829" w:type="dxa"/>
        <w:jc w:val="center"/>
        <w:tblInd w:w="-14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9"/>
        <w:gridCol w:w="3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29" w:type="dxa"/>
            <w:gridSpan w:val="2"/>
            <w:vAlign w:val="center"/>
          </w:tcPr>
          <w:p>
            <w:pPr>
              <w:pStyle w:val="46"/>
              <w:adjustRightInd w:val="0"/>
              <w:snapToGrid w:val="0"/>
              <w:jc w:val="center"/>
              <w:rPr>
                <w:rFonts w:ascii="Times New Roman" w:hAnsi="Times New Roman"/>
              </w:rPr>
            </w:pPr>
            <w:r>
              <w:rPr>
                <w:rFonts w:ascii="Times New Roman" w:hAnsi="Times New Roman"/>
              </w:rPr>
              <w:t>噪声限值[dB（A）]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4919" w:type="dxa"/>
            <w:vAlign w:val="center"/>
          </w:tcPr>
          <w:p>
            <w:pPr>
              <w:pStyle w:val="46"/>
              <w:adjustRightInd w:val="0"/>
              <w:snapToGrid w:val="0"/>
              <w:jc w:val="center"/>
              <w:rPr>
                <w:rFonts w:ascii="Times New Roman" w:hAnsi="Times New Roman"/>
              </w:rPr>
            </w:pPr>
            <w:r>
              <w:rPr>
                <w:rFonts w:ascii="Times New Roman" w:hAnsi="Times New Roman"/>
              </w:rPr>
              <w:t>昼 间</w:t>
            </w:r>
          </w:p>
        </w:tc>
        <w:tc>
          <w:tcPr>
            <w:tcW w:w="3910" w:type="dxa"/>
            <w:vAlign w:val="center"/>
          </w:tcPr>
          <w:p>
            <w:pPr>
              <w:pStyle w:val="46"/>
              <w:adjustRightInd w:val="0"/>
              <w:snapToGrid w:val="0"/>
              <w:jc w:val="center"/>
              <w:rPr>
                <w:rFonts w:ascii="Times New Roman" w:hAnsi="Times New Roman"/>
              </w:rPr>
            </w:pPr>
            <w:r>
              <w:rPr>
                <w:rFonts w:ascii="Times New Roman" w:hAnsi="Times New Roman"/>
              </w:rPr>
              <w:t>夜 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4919" w:type="dxa"/>
            <w:vAlign w:val="center"/>
          </w:tcPr>
          <w:p>
            <w:pPr>
              <w:pStyle w:val="46"/>
              <w:adjustRightInd w:val="0"/>
              <w:snapToGrid w:val="0"/>
              <w:jc w:val="center"/>
              <w:rPr>
                <w:rFonts w:ascii="Times New Roman" w:hAnsi="Times New Roman"/>
              </w:rPr>
            </w:pPr>
            <w:r>
              <w:rPr>
                <w:rFonts w:hint="eastAsia" w:ascii="Times New Roman" w:hAnsi="Times New Roman"/>
              </w:rPr>
              <w:t>70</w:t>
            </w:r>
          </w:p>
        </w:tc>
        <w:tc>
          <w:tcPr>
            <w:tcW w:w="3910" w:type="dxa"/>
            <w:vAlign w:val="center"/>
          </w:tcPr>
          <w:p>
            <w:pPr>
              <w:pStyle w:val="46"/>
              <w:adjustRightInd w:val="0"/>
              <w:snapToGrid w:val="0"/>
              <w:jc w:val="center"/>
              <w:rPr>
                <w:rFonts w:ascii="Times New Roman" w:hAnsi="Times New Roman"/>
              </w:rPr>
            </w:pPr>
            <w:r>
              <w:rPr>
                <w:rFonts w:ascii="Times New Roman" w:hAnsi="Times New Roman"/>
              </w:rPr>
              <w:t>55</w:t>
            </w:r>
          </w:p>
        </w:tc>
      </w:tr>
    </w:tbl>
    <w:p>
      <w:pPr>
        <w:pStyle w:val="5"/>
        <w:tabs>
          <w:tab w:val="left" w:pos="567"/>
        </w:tabs>
        <w:spacing w:before="62" w:beforeLines="20" w:afterLines="0" w:line="360" w:lineRule="auto"/>
        <w:ind w:left="0" w:firstLine="0"/>
      </w:pPr>
      <w:bookmarkStart w:id="33" w:name="_Toc442195662"/>
      <w:bookmarkStart w:id="34" w:name="_Toc337742396"/>
      <w:bookmarkStart w:id="35" w:name="_Toc229480638"/>
      <w:bookmarkStart w:id="36" w:name="_Toc268246212"/>
      <w:bookmarkStart w:id="37" w:name="_Toc382903918"/>
      <w:r>
        <w:t>水环境</w:t>
      </w:r>
      <w:bookmarkEnd w:id="33"/>
      <w:bookmarkEnd w:id="34"/>
      <w:bookmarkEnd w:id="35"/>
      <w:bookmarkEnd w:id="36"/>
      <w:bookmarkEnd w:id="37"/>
    </w:p>
    <w:p>
      <w:pPr>
        <w:pStyle w:val="78"/>
        <w:spacing w:line="360" w:lineRule="auto"/>
        <w:ind w:firstLine="480"/>
        <w:rPr>
          <w:rFonts w:ascii="Times New Roman" w:hAnsi="Times New Roman"/>
        </w:rPr>
      </w:pPr>
      <w:r>
        <w:rPr>
          <w:rFonts w:hint="eastAsia" w:ascii="宋体" w:cs="宋体" w:hAnsiTheme="minorHAnsi"/>
          <w:kern w:val="0"/>
        </w:rPr>
        <w:t>根据鄂政办发</w:t>
      </w:r>
      <w:r>
        <w:rPr>
          <w:rFonts w:ascii="TimesNewRomanPSMT" w:hAnsi="TimesNewRomanPSMT" w:cs="TimesNewRomanPSMT"/>
          <w:kern w:val="0"/>
        </w:rPr>
        <w:t xml:space="preserve">[2000]10 </w:t>
      </w:r>
      <w:r>
        <w:rPr>
          <w:rFonts w:hint="eastAsia" w:ascii="宋体" w:cs="宋体" w:hAnsiTheme="minorHAnsi"/>
          <w:kern w:val="0"/>
        </w:rPr>
        <w:t>号，长江枝江江段</w:t>
      </w:r>
      <w:r>
        <w:rPr>
          <w:rFonts w:ascii="Times New Roman" w:hAnsi="Times New Roman"/>
        </w:rPr>
        <w:t>水体</w:t>
      </w:r>
      <w:r>
        <w:rPr>
          <w:rFonts w:hint="eastAsia" w:ascii="Times New Roman" w:hAnsi="Times New Roman"/>
        </w:rPr>
        <w:t>为</w:t>
      </w:r>
      <w:r>
        <w:rPr>
          <w:rFonts w:hint="eastAsia"/>
          <w:sz w:val="21"/>
          <w:szCs w:val="21"/>
        </w:rPr>
        <w:t>Ⅲ</w:t>
      </w:r>
      <w:r>
        <w:rPr>
          <w:sz w:val="21"/>
          <w:szCs w:val="21"/>
        </w:rPr>
        <w:t>类</w:t>
      </w:r>
      <w:r>
        <w:rPr>
          <w:rFonts w:hint="eastAsia"/>
          <w:sz w:val="21"/>
          <w:szCs w:val="21"/>
        </w:rPr>
        <w:t>，</w:t>
      </w:r>
      <w:r>
        <w:rPr>
          <w:rFonts w:ascii="Times New Roman" w:hAnsi="Times New Roman"/>
        </w:rPr>
        <w:t>执行标准见表1.4-5。</w:t>
      </w:r>
    </w:p>
    <w:p>
      <w:pPr>
        <w:pStyle w:val="166"/>
        <w:spacing w:line="360" w:lineRule="auto"/>
        <w:ind w:firstLine="482"/>
        <w:rPr>
          <w:rFonts w:ascii="Times New Roman" w:hAnsi="Times New Roman"/>
        </w:rPr>
      </w:pPr>
      <w:r>
        <w:rPr>
          <w:rFonts w:ascii="Times New Roman" w:hAnsi="Times New Roman"/>
        </w:rPr>
        <w:t>（1）环境质量标准</w:t>
      </w:r>
    </w:p>
    <w:p>
      <w:pPr>
        <w:pStyle w:val="78"/>
        <w:spacing w:line="360" w:lineRule="auto"/>
        <w:ind w:firstLine="480"/>
        <w:rPr>
          <w:rFonts w:ascii="Times New Roman" w:hAnsi="Times New Roman"/>
        </w:rPr>
      </w:pPr>
      <w:r>
        <w:rPr>
          <w:rFonts w:ascii="Times New Roman" w:hAnsi="Times New Roman"/>
        </w:rPr>
        <w:t>该项目涉及的水体执行相应环境标准具体见表1.</w:t>
      </w:r>
      <w:r>
        <w:rPr>
          <w:rFonts w:hint="eastAsia" w:ascii="Times New Roman" w:hAnsi="Times New Roman"/>
        </w:rPr>
        <w:t>3</w:t>
      </w:r>
      <w:r>
        <w:rPr>
          <w:rFonts w:ascii="Times New Roman" w:hAnsi="Times New Roman"/>
        </w:rPr>
        <w:t>-5。</w:t>
      </w:r>
    </w:p>
    <w:p>
      <w:pPr>
        <w:pStyle w:val="167"/>
        <w:rPr>
          <w:sz w:val="21"/>
        </w:rPr>
      </w:pPr>
      <w:r>
        <w:rPr>
          <w:rFonts w:hint="eastAsia"/>
          <w:sz w:val="21"/>
        </w:rPr>
        <w:t>表1.</w:t>
      </w:r>
      <w:r>
        <w:rPr>
          <w:rFonts w:hint="eastAsia"/>
          <w:sz w:val="21"/>
          <w:lang w:eastAsia="zh-CN"/>
        </w:rPr>
        <w:t>3</w:t>
      </w:r>
      <w:r>
        <w:rPr>
          <w:rFonts w:hint="eastAsia"/>
          <w:sz w:val="21"/>
        </w:rPr>
        <w:t>-5  《地表水环境质量标准》(GB3838-2002</w:t>
      </w:r>
      <w:r>
        <w:rPr>
          <w:sz w:val="21"/>
        </w:rPr>
        <w:t>)</w:t>
      </w:r>
      <w:r>
        <w:rPr>
          <w:rFonts w:hint="eastAsia"/>
          <w:sz w:val="21"/>
        </w:rPr>
        <w:t xml:space="preserve">  单位：mg/L(pH除外)</w:t>
      </w:r>
    </w:p>
    <w:tbl>
      <w:tblPr>
        <w:tblStyle w:val="104"/>
        <w:tblW w:w="8792"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71"/>
        <w:gridCol w:w="3662"/>
        <w:gridCol w:w="315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序号</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项目</w:t>
            </w:r>
          </w:p>
        </w:tc>
        <w:tc>
          <w:tcPr>
            <w:tcW w:w="3159" w:type="dxa"/>
            <w:vAlign w:val="center"/>
          </w:tcPr>
          <w:p>
            <w:pPr>
              <w:pStyle w:val="46"/>
              <w:adjustRightInd w:val="0"/>
              <w:snapToGrid w:val="0"/>
              <w:jc w:val="center"/>
              <w:rPr>
                <w:rFonts w:ascii="Times New Roman" w:hAnsi="Times New Roman"/>
              </w:rPr>
            </w:pPr>
            <w:r>
              <w:rPr>
                <w:rFonts w:hint="eastAsia" w:ascii="Times New Roman" w:hAnsi="Times New Roman"/>
              </w:rPr>
              <w:t>Ⅲ</w:t>
            </w:r>
            <w:r>
              <w:rPr>
                <w:rFonts w:ascii="Times New Roman" w:hAnsi="Times New Roman"/>
              </w:rPr>
              <w:t>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1</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pH</w:t>
            </w:r>
          </w:p>
        </w:tc>
        <w:tc>
          <w:tcPr>
            <w:tcW w:w="3159" w:type="dxa"/>
            <w:vAlign w:val="center"/>
          </w:tcPr>
          <w:p>
            <w:pPr>
              <w:pStyle w:val="46"/>
              <w:adjustRightInd w:val="0"/>
              <w:snapToGrid w:val="0"/>
              <w:jc w:val="center"/>
              <w:rPr>
                <w:rFonts w:ascii="Times New Roman" w:hAnsi="Times New Roman"/>
              </w:rPr>
            </w:pPr>
            <w:r>
              <w:rPr>
                <w:rFonts w:ascii="Times New Roman" w:hAnsi="Times New Roman"/>
              </w:rPr>
              <w:t>6～9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2</w:t>
            </w:r>
          </w:p>
        </w:tc>
        <w:tc>
          <w:tcPr>
            <w:tcW w:w="3662" w:type="dxa"/>
            <w:vAlign w:val="center"/>
          </w:tcPr>
          <w:p>
            <w:pPr>
              <w:pStyle w:val="46"/>
              <w:adjustRightInd w:val="0"/>
              <w:snapToGrid w:val="0"/>
              <w:jc w:val="center"/>
              <w:rPr>
                <w:rFonts w:ascii="Times New Roman" w:hAnsi="Times New Roman"/>
              </w:rPr>
            </w:pPr>
            <w:r>
              <w:rPr>
                <w:rFonts w:hint="eastAsia" w:ascii="Times New Roman" w:hAnsi="Times New Roman"/>
              </w:rPr>
              <w:t>五日生化需要量（</w:t>
            </w:r>
            <w:r>
              <w:rPr>
                <w:rFonts w:ascii="Times New Roman" w:hAnsi="Times New Roman"/>
              </w:rPr>
              <w:t>BOD5</w:t>
            </w:r>
            <w:r>
              <w:rPr>
                <w:rFonts w:hint="eastAsia" w:ascii="Times New Roman" w:hAnsi="Times New Roman"/>
              </w:rPr>
              <w:t>）≤</w:t>
            </w:r>
          </w:p>
        </w:tc>
        <w:tc>
          <w:tcPr>
            <w:tcW w:w="3159" w:type="dxa"/>
            <w:vAlign w:val="center"/>
          </w:tcPr>
          <w:p>
            <w:pPr>
              <w:pStyle w:val="46"/>
              <w:adjustRightInd w:val="0"/>
              <w:snapToGrid w:val="0"/>
              <w:jc w:val="center"/>
              <w:rPr>
                <w:rFonts w:ascii="Times New Roman" w:hAnsi="Times New Roman"/>
              </w:rPr>
            </w:pPr>
            <w:r>
              <w:rPr>
                <w:rFonts w:hint="eastAsia" w:ascii="Times New Roman" w:hAnsi="Times New Roman"/>
              </w:rPr>
              <w:t>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3</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溶解氧</w:t>
            </w:r>
            <w:r>
              <w:rPr>
                <w:rFonts w:hint="eastAsia" w:ascii="Times New Roman" w:hAnsi="Times New Roman"/>
              </w:rPr>
              <w:t>≥</w:t>
            </w:r>
          </w:p>
        </w:tc>
        <w:tc>
          <w:tcPr>
            <w:tcW w:w="3159" w:type="dxa"/>
            <w:vAlign w:val="center"/>
          </w:tcPr>
          <w:p>
            <w:pPr>
              <w:pStyle w:val="46"/>
              <w:adjustRightInd w:val="0"/>
              <w:snapToGrid w:val="0"/>
              <w:jc w:val="center"/>
              <w:rPr>
                <w:rFonts w:ascii="Times New Roman" w:hAnsi="Times New Roman"/>
              </w:rPr>
            </w:pPr>
            <w:r>
              <w:rPr>
                <w:rFonts w:hint="eastAsia" w:ascii="Times New Roman" w:hAnsi="Times New Roman"/>
              </w:rPr>
              <w:t>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4</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高锰酸盐指数</w:t>
            </w:r>
            <w:r>
              <w:rPr>
                <w:rFonts w:hint="eastAsia" w:ascii="Times New Roman" w:hAnsi="Times New Roman"/>
              </w:rPr>
              <w:t>≤</w:t>
            </w:r>
          </w:p>
        </w:tc>
        <w:tc>
          <w:tcPr>
            <w:tcW w:w="3159" w:type="dxa"/>
            <w:vAlign w:val="center"/>
          </w:tcPr>
          <w:p>
            <w:pPr>
              <w:pStyle w:val="46"/>
              <w:adjustRightInd w:val="0"/>
              <w:snapToGrid w:val="0"/>
              <w:jc w:val="center"/>
              <w:rPr>
                <w:rFonts w:ascii="Times New Roman" w:hAnsi="Times New Roman"/>
              </w:rPr>
            </w:pPr>
            <w:r>
              <w:rPr>
                <w:rFonts w:hint="eastAsia" w:ascii="Times New Roman" w:hAnsi="Times New Roman"/>
              </w:rPr>
              <w:t>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5</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总磷</w:t>
            </w:r>
            <w:r>
              <w:rPr>
                <w:rFonts w:hint="eastAsia" w:ascii="Times New Roman" w:hAnsi="Times New Roman"/>
              </w:rPr>
              <w:t>（以P计）≤</w:t>
            </w:r>
          </w:p>
        </w:tc>
        <w:tc>
          <w:tcPr>
            <w:tcW w:w="3159" w:type="dxa"/>
            <w:vAlign w:val="center"/>
          </w:tcPr>
          <w:p>
            <w:pPr>
              <w:pStyle w:val="46"/>
              <w:adjustRightInd w:val="0"/>
              <w:snapToGrid w:val="0"/>
              <w:jc w:val="center"/>
              <w:rPr>
                <w:rFonts w:ascii="Times New Roman" w:hAnsi="Times New Roman"/>
              </w:rPr>
            </w:pPr>
            <w:r>
              <w:rPr>
                <w:rFonts w:hint="eastAsia" w:ascii="Times New Roman" w:hAnsi="Times New Roman"/>
              </w:rPr>
              <w:t>0.2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6</w:t>
            </w:r>
          </w:p>
        </w:tc>
        <w:tc>
          <w:tcPr>
            <w:tcW w:w="3662" w:type="dxa"/>
            <w:vAlign w:val="center"/>
          </w:tcPr>
          <w:p>
            <w:pPr>
              <w:pStyle w:val="46"/>
              <w:adjustRightInd w:val="0"/>
              <w:snapToGrid w:val="0"/>
              <w:jc w:val="center"/>
              <w:rPr>
                <w:rFonts w:ascii="Times New Roman" w:hAnsi="Times New Roman"/>
              </w:rPr>
            </w:pPr>
            <w:r>
              <w:rPr>
                <w:rFonts w:hint="eastAsia" w:ascii="Times New Roman" w:hAnsi="Times New Roman"/>
              </w:rPr>
              <w:t>氨氮（NH3-N）</w:t>
            </w:r>
          </w:p>
        </w:tc>
        <w:tc>
          <w:tcPr>
            <w:tcW w:w="3159" w:type="dxa"/>
            <w:vAlign w:val="center"/>
          </w:tcPr>
          <w:p>
            <w:pPr>
              <w:pStyle w:val="46"/>
              <w:adjustRightInd w:val="0"/>
              <w:snapToGrid w:val="0"/>
              <w:jc w:val="center"/>
              <w:rPr>
                <w:rFonts w:ascii="Times New Roman" w:hAnsi="Times New Roman"/>
              </w:rPr>
            </w:pPr>
            <w:r>
              <w:rPr>
                <w:rFonts w:ascii="Times New Roman" w:hAnsi="Times New Roman"/>
              </w:rPr>
              <w:t>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4" w:hRule="atLeast"/>
          <w:jc w:val="center"/>
        </w:trPr>
        <w:tc>
          <w:tcPr>
            <w:tcW w:w="1971" w:type="dxa"/>
            <w:vAlign w:val="center"/>
          </w:tcPr>
          <w:p>
            <w:pPr>
              <w:pStyle w:val="46"/>
              <w:adjustRightInd w:val="0"/>
              <w:snapToGrid w:val="0"/>
              <w:jc w:val="center"/>
              <w:rPr>
                <w:rFonts w:ascii="Times New Roman" w:hAnsi="Times New Roman"/>
              </w:rPr>
            </w:pPr>
            <w:r>
              <w:rPr>
                <w:rFonts w:ascii="Times New Roman" w:hAnsi="Times New Roman"/>
              </w:rPr>
              <w:t>7</w:t>
            </w:r>
          </w:p>
        </w:tc>
        <w:tc>
          <w:tcPr>
            <w:tcW w:w="3662" w:type="dxa"/>
            <w:vAlign w:val="center"/>
          </w:tcPr>
          <w:p>
            <w:pPr>
              <w:pStyle w:val="46"/>
              <w:adjustRightInd w:val="0"/>
              <w:snapToGrid w:val="0"/>
              <w:jc w:val="center"/>
              <w:rPr>
                <w:rFonts w:ascii="Times New Roman" w:hAnsi="Times New Roman"/>
              </w:rPr>
            </w:pPr>
            <w:r>
              <w:rPr>
                <w:rFonts w:ascii="Times New Roman" w:hAnsi="Times New Roman"/>
              </w:rPr>
              <w:t>石油类</w:t>
            </w:r>
            <w:r>
              <w:rPr>
                <w:rFonts w:hint="eastAsia" w:ascii="Times New Roman" w:hAnsi="Times New Roman"/>
              </w:rPr>
              <w:t>≤</w:t>
            </w:r>
          </w:p>
        </w:tc>
        <w:tc>
          <w:tcPr>
            <w:tcW w:w="3159" w:type="dxa"/>
            <w:vAlign w:val="center"/>
          </w:tcPr>
          <w:p>
            <w:pPr>
              <w:pStyle w:val="46"/>
              <w:adjustRightInd w:val="0"/>
              <w:snapToGrid w:val="0"/>
              <w:jc w:val="center"/>
              <w:rPr>
                <w:rFonts w:ascii="Times New Roman" w:hAnsi="Times New Roman"/>
              </w:rPr>
            </w:pPr>
            <w:r>
              <w:rPr>
                <w:rFonts w:ascii="Times New Roman" w:hAnsi="Times New Roman"/>
              </w:rPr>
              <w:t>0.05</w:t>
            </w:r>
          </w:p>
        </w:tc>
      </w:tr>
    </w:tbl>
    <w:p>
      <w:pPr>
        <w:pStyle w:val="166"/>
        <w:spacing w:before="156" w:beforeLines="50" w:line="360" w:lineRule="auto"/>
        <w:ind w:firstLine="482"/>
        <w:rPr>
          <w:rFonts w:ascii="Times New Roman" w:hAnsi="Times New Roman"/>
        </w:rPr>
      </w:pPr>
      <w:r>
        <w:rPr>
          <w:rFonts w:ascii="Times New Roman" w:hAnsi="Times New Roman"/>
        </w:rPr>
        <w:t>（2）污染物排放标准</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2"/>
          <w:sz w:val="24"/>
        </w:rPr>
        <w:instrText xml:space="preserve">1</w:instrText>
      </w:r>
      <w:r>
        <w:rPr>
          <w:rFonts w:hint="eastAsia"/>
          <w:sz w:val="24"/>
        </w:rPr>
        <w:instrText xml:space="preserve">)</w:instrText>
      </w:r>
      <w:r>
        <w:rPr>
          <w:sz w:val="24"/>
        </w:rPr>
        <w:fldChar w:fldCharType="end"/>
      </w:r>
      <w:r>
        <w:rPr>
          <w:rFonts w:hint="eastAsia"/>
          <w:sz w:val="24"/>
        </w:rPr>
        <w:t>生产废水及生活污水</w:t>
      </w:r>
    </w:p>
    <w:p>
      <w:pPr>
        <w:pStyle w:val="4"/>
        <w:spacing w:line="360" w:lineRule="auto"/>
        <w:ind w:firstLine="480"/>
        <w:rPr>
          <w:sz w:val="24"/>
        </w:rPr>
      </w:pPr>
      <w:r>
        <w:rPr>
          <w:sz w:val="24"/>
        </w:rPr>
        <w:t>本项目施工期</w:t>
      </w:r>
      <w:r>
        <w:rPr>
          <w:rFonts w:hint="eastAsia"/>
          <w:sz w:val="24"/>
        </w:rPr>
        <w:t>产生的生活污水经化粪池处理后用于周边农田肥田，施工废水经隔油沉淀处理后回用，不外排；</w:t>
      </w:r>
      <w:r>
        <w:rPr>
          <w:sz w:val="24"/>
        </w:rPr>
        <w:t>运营期废水均排入城市污水管网，最终进入城市污水处理厂，废水排放标准执行《污水综合排放标准》（GB8978-1996）中的三级标准，</w:t>
      </w:r>
      <w:r>
        <w:rPr>
          <w:rFonts w:hint="eastAsia"/>
          <w:sz w:val="24"/>
        </w:rPr>
        <w:t>具体标准值</w:t>
      </w:r>
      <w:r>
        <w:rPr>
          <w:sz w:val="24"/>
        </w:rPr>
        <w:t>见表</w:t>
      </w:r>
      <w:r>
        <w:rPr>
          <w:rFonts w:hint="eastAsia"/>
          <w:sz w:val="24"/>
        </w:rPr>
        <w:t>1.3-6。</w:t>
      </w:r>
    </w:p>
    <w:p>
      <w:pPr>
        <w:pStyle w:val="4"/>
        <w:ind w:firstLine="422"/>
        <w:jc w:val="center"/>
        <w:rPr>
          <w:b/>
          <w:szCs w:val="21"/>
        </w:rPr>
      </w:pPr>
      <w:r>
        <w:rPr>
          <w:rFonts w:hint="eastAsia"/>
          <w:b/>
          <w:szCs w:val="21"/>
        </w:rPr>
        <w:t>表1.3-6  污水综合排放标准（</w:t>
      </w:r>
      <w:r>
        <w:rPr>
          <w:b/>
          <w:szCs w:val="21"/>
        </w:rPr>
        <w:t>GB8978-1996</w:t>
      </w:r>
      <w:r>
        <w:rPr>
          <w:rFonts w:hint="eastAsia"/>
          <w:b/>
          <w:szCs w:val="21"/>
        </w:rPr>
        <w:t>）</w:t>
      </w:r>
    </w:p>
    <w:tbl>
      <w:tblPr>
        <w:tblStyle w:val="104"/>
        <w:tblW w:w="90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3"/>
        <w:gridCol w:w="1476"/>
        <w:gridCol w:w="2188"/>
        <w:gridCol w:w="1873"/>
        <w:gridCol w:w="2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63" w:type="dxa"/>
            <w:vAlign w:val="center"/>
          </w:tcPr>
          <w:p>
            <w:pPr>
              <w:adjustRightInd w:val="0"/>
              <w:snapToGrid w:val="0"/>
              <w:spacing w:line="280" w:lineRule="exact"/>
              <w:jc w:val="center"/>
              <w:rPr>
                <w:b/>
                <w:kern w:val="0"/>
                <w:szCs w:val="21"/>
              </w:rPr>
            </w:pPr>
            <w:bookmarkStart w:id="38" w:name="_Toc74662372"/>
            <w:r>
              <w:rPr>
                <w:b/>
                <w:kern w:val="0"/>
                <w:szCs w:val="21"/>
              </w:rPr>
              <w:t>标准号</w:t>
            </w:r>
          </w:p>
        </w:tc>
        <w:tc>
          <w:tcPr>
            <w:tcW w:w="1476" w:type="dxa"/>
            <w:vAlign w:val="center"/>
          </w:tcPr>
          <w:p>
            <w:pPr>
              <w:adjustRightInd w:val="0"/>
              <w:snapToGrid w:val="0"/>
              <w:spacing w:line="280" w:lineRule="exact"/>
              <w:jc w:val="center"/>
              <w:rPr>
                <w:b/>
                <w:kern w:val="0"/>
                <w:szCs w:val="21"/>
              </w:rPr>
            </w:pPr>
            <w:r>
              <w:rPr>
                <w:b/>
                <w:kern w:val="0"/>
                <w:szCs w:val="21"/>
              </w:rPr>
              <w:t>标准名称</w:t>
            </w:r>
          </w:p>
        </w:tc>
        <w:tc>
          <w:tcPr>
            <w:tcW w:w="2188" w:type="dxa"/>
            <w:vAlign w:val="center"/>
          </w:tcPr>
          <w:p>
            <w:pPr>
              <w:adjustRightInd w:val="0"/>
              <w:snapToGrid w:val="0"/>
              <w:spacing w:line="280" w:lineRule="exact"/>
              <w:jc w:val="center"/>
              <w:rPr>
                <w:b/>
                <w:kern w:val="0"/>
                <w:szCs w:val="21"/>
              </w:rPr>
            </w:pPr>
            <w:r>
              <w:rPr>
                <w:b/>
                <w:kern w:val="0"/>
                <w:szCs w:val="21"/>
              </w:rPr>
              <w:t>等级</w:t>
            </w:r>
          </w:p>
        </w:tc>
        <w:tc>
          <w:tcPr>
            <w:tcW w:w="1873" w:type="dxa"/>
            <w:vAlign w:val="center"/>
          </w:tcPr>
          <w:p>
            <w:pPr>
              <w:adjustRightInd w:val="0"/>
              <w:snapToGrid w:val="0"/>
              <w:spacing w:line="280" w:lineRule="exact"/>
              <w:jc w:val="center"/>
              <w:rPr>
                <w:b/>
                <w:kern w:val="0"/>
                <w:szCs w:val="21"/>
              </w:rPr>
            </w:pPr>
            <w:r>
              <w:rPr>
                <w:b/>
                <w:kern w:val="0"/>
                <w:szCs w:val="21"/>
              </w:rPr>
              <w:t>污染物</w:t>
            </w:r>
          </w:p>
        </w:tc>
        <w:tc>
          <w:tcPr>
            <w:tcW w:w="2020" w:type="dxa"/>
            <w:vAlign w:val="center"/>
          </w:tcPr>
          <w:p>
            <w:pPr>
              <w:adjustRightInd w:val="0"/>
              <w:snapToGrid w:val="0"/>
              <w:spacing w:line="280" w:lineRule="exact"/>
              <w:jc w:val="center"/>
              <w:rPr>
                <w:b/>
                <w:kern w:val="0"/>
                <w:szCs w:val="21"/>
              </w:rPr>
            </w:pPr>
            <w:r>
              <w:rPr>
                <w:b/>
                <w:kern w:val="0"/>
                <w:szCs w:val="21"/>
              </w:rPr>
              <w:t>标准值（</w:t>
            </w:r>
            <w:r>
              <w:rPr>
                <w:b/>
                <w:szCs w:val="21"/>
              </w:rPr>
              <w:t>mg/L</w:t>
            </w:r>
            <w:r>
              <w:rPr>
                <w:b/>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restart"/>
            <w:vAlign w:val="center"/>
          </w:tcPr>
          <w:p>
            <w:pPr>
              <w:adjustRightInd w:val="0"/>
              <w:snapToGrid w:val="0"/>
              <w:spacing w:line="280" w:lineRule="exact"/>
              <w:jc w:val="center"/>
              <w:rPr>
                <w:kern w:val="0"/>
                <w:szCs w:val="21"/>
              </w:rPr>
            </w:pPr>
            <w:r>
              <w:rPr>
                <w:kern w:val="0"/>
                <w:szCs w:val="21"/>
              </w:rPr>
              <w:t>GB8978-1996</w:t>
            </w:r>
          </w:p>
        </w:tc>
        <w:tc>
          <w:tcPr>
            <w:tcW w:w="1476" w:type="dxa"/>
            <w:vMerge w:val="restart"/>
            <w:vAlign w:val="center"/>
          </w:tcPr>
          <w:p>
            <w:pPr>
              <w:adjustRightInd w:val="0"/>
              <w:snapToGrid w:val="0"/>
              <w:spacing w:line="280" w:lineRule="exact"/>
              <w:jc w:val="center"/>
              <w:rPr>
                <w:kern w:val="0"/>
                <w:szCs w:val="21"/>
              </w:rPr>
            </w:pPr>
            <w:r>
              <w:rPr>
                <w:kern w:val="0"/>
                <w:szCs w:val="21"/>
              </w:rPr>
              <w:t>《污水综合排放标准》</w:t>
            </w:r>
          </w:p>
        </w:tc>
        <w:tc>
          <w:tcPr>
            <w:tcW w:w="2188" w:type="dxa"/>
            <w:vMerge w:val="restart"/>
            <w:vAlign w:val="center"/>
          </w:tcPr>
          <w:p>
            <w:pPr>
              <w:adjustRightInd w:val="0"/>
              <w:snapToGrid w:val="0"/>
              <w:spacing w:line="280" w:lineRule="exact"/>
              <w:jc w:val="center"/>
              <w:rPr>
                <w:kern w:val="0"/>
                <w:szCs w:val="21"/>
              </w:rPr>
            </w:pPr>
            <w:r>
              <w:rPr>
                <w:kern w:val="0"/>
                <w:szCs w:val="21"/>
              </w:rPr>
              <w:t>三级</w:t>
            </w:r>
          </w:p>
        </w:tc>
        <w:tc>
          <w:tcPr>
            <w:tcW w:w="1873"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pH</w:t>
            </w:r>
          </w:p>
        </w:tc>
        <w:tc>
          <w:tcPr>
            <w:tcW w:w="2020"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SS</w:t>
            </w:r>
          </w:p>
        </w:tc>
        <w:tc>
          <w:tcPr>
            <w:tcW w:w="2020"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BOD</w:t>
            </w:r>
            <w:r>
              <w:rPr>
                <w:rFonts w:ascii="Times New Roman"/>
                <w:sz w:val="21"/>
                <w:szCs w:val="21"/>
                <w:vertAlign w:val="subscript"/>
              </w:rPr>
              <w:t>5</w:t>
            </w:r>
          </w:p>
        </w:tc>
        <w:tc>
          <w:tcPr>
            <w:tcW w:w="2020"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COD</w:t>
            </w:r>
          </w:p>
        </w:tc>
        <w:tc>
          <w:tcPr>
            <w:tcW w:w="2020" w:type="dxa"/>
            <w:vAlign w:val="center"/>
          </w:tcPr>
          <w:p>
            <w:pPr>
              <w:pStyle w:val="83"/>
              <w:adjustRightInd w:val="0"/>
              <w:snapToGrid w:val="0"/>
              <w:spacing w:before="0" w:beforeAutospacing="0" w:after="0" w:afterAutospacing="0" w:line="280" w:lineRule="exact"/>
              <w:jc w:val="center"/>
              <w:rPr>
                <w:rFonts w:ascii="Times New Roman"/>
                <w:sz w:val="21"/>
                <w:szCs w:val="21"/>
              </w:rPr>
            </w:pPr>
            <w:r>
              <w:rPr>
                <w:rFonts w:ascii="Times New Roman"/>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adjustRightInd w:val="0"/>
              <w:snapToGrid w:val="0"/>
              <w:spacing w:line="280" w:lineRule="exact"/>
              <w:jc w:val="center"/>
              <w:rPr>
                <w:kern w:val="0"/>
                <w:szCs w:val="21"/>
              </w:rPr>
            </w:pPr>
            <w:r>
              <w:rPr>
                <w:kern w:val="0"/>
                <w:szCs w:val="21"/>
              </w:rPr>
              <w:t>石油类</w:t>
            </w:r>
          </w:p>
        </w:tc>
        <w:tc>
          <w:tcPr>
            <w:tcW w:w="2020" w:type="dxa"/>
            <w:vAlign w:val="center"/>
          </w:tcPr>
          <w:p>
            <w:pPr>
              <w:adjustRightInd w:val="0"/>
              <w:snapToGrid w:val="0"/>
              <w:spacing w:line="280" w:lineRule="exact"/>
              <w:jc w:val="center"/>
              <w:rPr>
                <w:kern w:val="0"/>
                <w:szCs w:val="21"/>
              </w:rPr>
            </w:pPr>
            <w:r>
              <w:rPr>
                <w:kern w:val="0"/>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adjustRightInd w:val="0"/>
              <w:snapToGrid w:val="0"/>
              <w:spacing w:line="280" w:lineRule="exact"/>
              <w:jc w:val="center"/>
              <w:rPr>
                <w:kern w:val="0"/>
                <w:szCs w:val="21"/>
              </w:rPr>
            </w:pPr>
            <w:r>
              <w:rPr>
                <w:kern w:val="0"/>
                <w:szCs w:val="21"/>
              </w:rPr>
              <w:t>动植物油</w:t>
            </w:r>
          </w:p>
        </w:tc>
        <w:tc>
          <w:tcPr>
            <w:tcW w:w="2020" w:type="dxa"/>
            <w:vAlign w:val="center"/>
          </w:tcPr>
          <w:p>
            <w:pPr>
              <w:adjustRightInd w:val="0"/>
              <w:snapToGrid w:val="0"/>
              <w:spacing w:line="280" w:lineRule="exact"/>
              <w:jc w:val="center"/>
              <w:rPr>
                <w:kern w:val="0"/>
                <w:szCs w:val="21"/>
              </w:rPr>
            </w:pPr>
            <w:r>
              <w:rPr>
                <w:kern w:val="0"/>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adjustRightInd w:val="0"/>
              <w:snapToGrid w:val="0"/>
              <w:spacing w:line="280" w:lineRule="exact"/>
              <w:jc w:val="center"/>
              <w:rPr>
                <w:kern w:val="0"/>
                <w:szCs w:val="21"/>
              </w:rPr>
            </w:pPr>
            <w:r>
              <w:rPr>
                <w:kern w:val="0"/>
                <w:szCs w:val="21"/>
              </w:rPr>
              <w:t>氨氮</w:t>
            </w:r>
          </w:p>
        </w:tc>
        <w:tc>
          <w:tcPr>
            <w:tcW w:w="2020" w:type="dxa"/>
            <w:vAlign w:val="center"/>
          </w:tcPr>
          <w:p>
            <w:pPr>
              <w:adjustRightInd w:val="0"/>
              <w:snapToGrid w:val="0"/>
              <w:spacing w:line="280" w:lineRule="exact"/>
              <w:jc w:val="center"/>
              <w:rPr>
                <w:kern w:val="0"/>
                <w:szCs w:val="21"/>
              </w:rPr>
            </w:pPr>
            <w:r>
              <w:rPr>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63" w:type="dxa"/>
            <w:vMerge w:val="continue"/>
            <w:vAlign w:val="center"/>
          </w:tcPr>
          <w:p>
            <w:pPr>
              <w:adjustRightInd w:val="0"/>
              <w:snapToGrid w:val="0"/>
              <w:spacing w:line="280" w:lineRule="exact"/>
              <w:jc w:val="center"/>
              <w:rPr>
                <w:kern w:val="0"/>
                <w:szCs w:val="21"/>
              </w:rPr>
            </w:pPr>
          </w:p>
        </w:tc>
        <w:tc>
          <w:tcPr>
            <w:tcW w:w="1476" w:type="dxa"/>
            <w:vMerge w:val="continue"/>
            <w:vAlign w:val="center"/>
          </w:tcPr>
          <w:p>
            <w:pPr>
              <w:adjustRightInd w:val="0"/>
              <w:snapToGrid w:val="0"/>
              <w:spacing w:line="280" w:lineRule="exact"/>
              <w:jc w:val="center"/>
              <w:rPr>
                <w:kern w:val="0"/>
                <w:szCs w:val="21"/>
              </w:rPr>
            </w:pPr>
          </w:p>
        </w:tc>
        <w:tc>
          <w:tcPr>
            <w:tcW w:w="2188" w:type="dxa"/>
            <w:vMerge w:val="continue"/>
            <w:vAlign w:val="center"/>
          </w:tcPr>
          <w:p>
            <w:pPr>
              <w:adjustRightInd w:val="0"/>
              <w:snapToGrid w:val="0"/>
              <w:spacing w:line="280" w:lineRule="exact"/>
              <w:jc w:val="center"/>
              <w:rPr>
                <w:kern w:val="0"/>
                <w:szCs w:val="21"/>
              </w:rPr>
            </w:pPr>
          </w:p>
        </w:tc>
        <w:tc>
          <w:tcPr>
            <w:tcW w:w="1873" w:type="dxa"/>
            <w:vAlign w:val="center"/>
          </w:tcPr>
          <w:p>
            <w:pPr>
              <w:adjustRightInd w:val="0"/>
              <w:snapToGrid w:val="0"/>
              <w:spacing w:line="280" w:lineRule="exact"/>
              <w:jc w:val="center"/>
              <w:rPr>
                <w:kern w:val="0"/>
                <w:szCs w:val="21"/>
              </w:rPr>
            </w:pPr>
            <w:r>
              <w:rPr>
                <w:szCs w:val="21"/>
              </w:rPr>
              <w:t>LAS</w:t>
            </w:r>
          </w:p>
        </w:tc>
        <w:tc>
          <w:tcPr>
            <w:tcW w:w="2020" w:type="dxa"/>
            <w:vAlign w:val="center"/>
          </w:tcPr>
          <w:p>
            <w:pPr>
              <w:adjustRightInd w:val="0"/>
              <w:snapToGrid w:val="0"/>
              <w:spacing w:line="280" w:lineRule="exact"/>
              <w:jc w:val="center"/>
              <w:rPr>
                <w:kern w:val="0"/>
                <w:szCs w:val="21"/>
              </w:rPr>
            </w:pPr>
            <w:r>
              <w:rPr>
                <w:kern w:val="0"/>
                <w:szCs w:val="21"/>
              </w:rPr>
              <w:t>20</w:t>
            </w:r>
          </w:p>
        </w:tc>
      </w:tr>
      <w:bookmarkEnd w:id="38"/>
    </w:tbl>
    <w:p>
      <w:pPr>
        <w:autoSpaceDE w:val="0"/>
        <w:autoSpaceDN w:val="0"/>
        <w:adjustRightInd w:val="0"/>
        <w:spacing w:line="360" w:lineRule="auto"/>
        <w:ind w:firstLine="480" w:firstLineChars="200"/>
        <w:jc w:val="left"/>
        <w:rPr>
          <w:rFonts w:ascii="宋体" w:cs="宋体" w:hAnsiTheme="minorHAnsi"/>
          <w:kern w:val="0"/>
          <w:sz w:val="24"/>
        </w:rPr>
      </w:pPr>
      <w:r>
        <w:rPr>
          <w:rFonts w:ascii="宋体" w:cs="宋体" w:hAnsiTheme="minorHAnsi"/>
          <w:kern w:val="0"/>
          <w:sz w:val="24"/>
        </w:rPr>
        <w:fldChar w:fldCharType="begin"/>
      </w:r>
      <w:r>
        <w:rPr>
          <w:rFonts w:ascii="宋体" w:cs="宋体" w:hAnsiTheme="minorHAnsi"/>
          <w:kern w:val="0"/>
          <w:sz w:val="24"/>
        </w:rPr>
        <w:instrText xml:space="preserve"> </w:instrText>
      </w:r>
      <w:r>
        <w:rPr>
          <w:rFonts w:hint="eastAsia" w:ascii="宋体" w:cs="宋体" w:hAnsiTheme="minorHAnsi"/>
          <w:kern w:val="0"/>
          <w:sz w:val="24"/>
        </w:rPr>
        <w:instrText xml:space="preserve">eq \o\ac(○,</w:instrText>
      </w:r>
      <w:r>
        <w:rPr>
          <w:rFonts w:hint="eastAsia" w:ascii="Calibri" w:cs="宋体" w:hAnsiTheme="minorHAnsi"/>
          <w:kern w:val="0"/>
          <w:position w:val="3"/>
          <w:sz w:val="16"/>
        </w:rPr>
        <w:instrText xml:space="preserve">2</w:instrText>
      </w:r>
      <w:r>
        <w:rPr>
          <w:rFonts w:hint="eastAsia" w:ascii="宋体" w:cs="宋体" w:hAnsiTheme="minorHAnsi"/>
          <w:kern w:val="0"/>
          <w:sz w:val="24"/>
        </w:rPr>
        <w:instrText xml:space="preserve">)</w:instrText>
      </w:r>
      <w:r>
        <w:rPr>
          <w:rFonts w:ascii="宋体" w:cs="宋体" w:hAnsiTheme="minorHAnsi"/>
          <w:kern w:val="0"/>
          <w:sz w:val="24"/>
        </w:rPr>
        <w:fldChar w:fldCharType="end"/>
      </w:r>
      <w:r>
        <w:rPr>
          <w:rFonts w:hint="eastAsia" w:ascii="宋体" w:cs="宋体" w:hAnsiTheme="minorHAnsi"/>
          <w:kern w:val="0"/>
          <w:sz w:val="24"/>
        </w:rPr>
        <w:t>到港船舶废水</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到港船舶废水污染物排放执行《船舶污染物排放标准》</w:t>
      </w:r>
      <w:r>
        <w:rPr>
          <w:rFonts w:ascii="TimesNewRomanPSMT" w:hAnsi="TimesNewRomanPSMT" w:cs="TimesNewRomanPSMT"/>
          <w:kern w:val="0"/>
          <w:sz w:val="24"/>
        </w:rPr>
        <w:t>(GB3552-83)</w:t>
      </w:r>
      <w:r>
        <w:rPr>
          <w:rFonts w:hint="eastAsia" w:ascii="宋体" w:cs="宋体" w:hAnsiTheme="minorHAnsi"/>
          <w:kern w:val="0"/>
          <w:sz w:val="24"/>
        </w:rPr>
        <w:t>中相关标准。标准值见表</w:t>
      </w:r>
      <w:r>
        <w:rPr>
          <w:rFonts w:ascii="TimesNewRomanPSMT" w:hAnsi="TimesNewRomanPSMT" w:cs="TimesNewRomanPSMT"/>
          <w:kern w:val="0"/>
          <w:sz w:val="24"/>
        </w:rPr>
        <w:t>1.</w:t>
      </w:r>
      <w:r>
        <w:rPr>
          <w:rFonts w:hint="eastAsia" w:ascii="TimesNewRomanPSMT" w:hAnsi="TimesNewRomanPSMT" w:cs="TimesNewRomanPSMT"/>
          <w:kern w:val="0"/>
          <w:sz w:val="24"/>
        </w:rPr>
        <w:t>3</w:t>
      </w:r>
      <w:r>
        <w:rPr>
          <w:rFonts w:ascii="TimesNewRomanPSMT" w:hAnsi="TimesNewRomanPSMT" w:cs="TimesNewRomanPSMT"/>
          <w:kern w:val="0"/>
          <w:sz w:val="24"/>
        </w:rPr>
        <w:t>-</w:t>
      </w:r>
      <w:r>
        <w:rPr>
          <w:rFonts w:hint="eastAsia" w:ascii="TimesNewRomanPSMT" w:hAnsi="TimesNewRomanPSMT" w:cs="TimesNewRomanPSMT"/>
          <w:kern w:val="0"/>
          <w:sz w:val="24"/>
        </w:rPr>
        <w:t>7</w:t>
      </w:r>
      <w:r>
        <w:rPr>
          <w:rFonts w:hint="eastAsia" w:ascii="宋体" w:cs="宋体" w:hAnsiTheme="minorHAnsi"/>
          <w:kern w:val="0"/>
          <w:sz w:val="24"/>
        </w:rPr>
        <w:t>。</w:t>
      </w:r>
    </w:p>
    <w:p>
      <w:pPr>
        <w:pStyle w:val="162"/>
        <w:autoSpaceDE w:val="0"/>
        <w:autoSpaceDN w:val="0"/>
        <w:adjustRightInd w:val="0"/>
        <w:ind w:left="284" w:firstLine="0" w:firstLineChars="0"/>
        <w:jc w:val="center"/>
        <w:rPr>
          <w:b/>
          <w:bCs/>
          <w:kern w:val="0"/>
          <w:szCs w:val="21"/>
        </w:rPr>
      </w:pPr>
      <w:r>
        <w:rPr>
          <w:rFonts w:hint="eastAsia" w:ascii="宋体" w:cs="宋体" w:hAnsiTheme="minorHAnsi"/>
          <w:b/>
          <w:kern w:val="0"/>
          <w:szCs w:val="21"/>
        </w:rPr>
        <w:t>表</w:t>
      </w:r>
      <w:r>
        <w:rPr>
          <w:b/>
          <w:bCs/>
          <w:kern w:val="0"/>
          <w:szCs w:val="21"/>
        </w:rPr>
        <w:t>1.</w:t>
      </w:r>
      <w:r>
        <w:rPr>
          <w:rFonts w:hint="eastAsia"/>
          <w:b/>
          <w:bCs/>
          <w:kern w:val="0"/>
          <w:szCs w:val="21"/>
        </w:rPr>
        <w:t>3</w:t>
      </w:r>
      <w:r>
        <w:rPr>
          <w:b/>
          <w:bCs/>
          <w:kern w:val="0"/>
          <w:szCs w:val="21"/>
        </w:rPr>
        <w:t>-</w:t>
      </w:r>
      <w:r>
        <w:rPr>
          <w:rFonts w:hint="eastAsia"/>
          <w:b/>
          <w:bCs/>
          <w:kern w:val="0"/>
          <w:szCs w:val="21"/>
        </w:rPr>
        <w:t>7</w:t>
      </w:r>
      <w:r>
        <w:rPr>
          <w:b/>
          <w:bCs/>
          <w:kern w:val="0"/>
          <w:szCs w:val="21"/>
        </w:rPr>
        <w:t xml:space="preserve"> </w:t>
      </w:r>
      <w:r>
        <w:rPr>
          <w:rFonts w:hint="eastAsia" w:ascii="宋体" w:cs="宋体" w:hAnsiTheme="minorHAnsi"/>
          <w:b/>
          <w:kern w:val="0"/>
          <w:szCs w:val="21"/>
        </w:rPr>
        <w:t>《船舶污染物排放标准》（</w:t>
      </w:r>
      <w:r>
        <w:rPr>
          <w:b/>
          <w:bCs/>
          <w:kern w:val="0"/>
          <w:szCs w:val="21"/>
        </w:rPr>
        <w:t>GB3552-83</w:t>
      </w:r>
      <w:r>
        <w:rPr>
          <w:rFonts w:hint="eastAsia" w:ascii="宋体" w:cs="宋体" w:hAnsiTheme="minorHAnsi"/>
          <w:b/>
          <w:kern w:val="0"/>
          <w:szCs w:val="21"/>
        </w:rPr>
        <w:t>）</w:t>
      </w:r>
      <w:r>
        <w:rPr>
          <w:rFonts w:ascii="宋体" w:cs="宋体" w:hAnsiTheme="minorHAnsi"/>
          <w:b/>
          <w:kern w:val="0"/>
          <w:szCs w:val="21"/>
        </w:rPr>
        <w:t xml:space="preserve"> </w:t>
      </w:r>
      <w:r>
        <w:rPr>
          <w:rFonts w:hint="eastAsia" w:ascii="宋体" w:cs="宋体" w:hAnsiTheme="minorHAnsi"/>
          <w:b/>
          <w:kern w:val="0"/>
          <w:szCs w:val="21"/>
        </w:rPr>
        <w:t>单位：</w:t>
      </w:r>
      <w:r>
        <w:rPr>
          <w:b/>
          <w:bCs/>
          <w:kern w:val="0"/>
          <w:szCs w:val="21"/>
        </w:rPr>
        <w:t>mg/L</w:t>
      </w:r>
    </w:p>
    <w:tbl>
      <w:tblPr>
        <w:tblStyle w:val="104"/>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
        <w:gridCol w:w="3960"/>
        <w:gridCol w:w="38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2" w:hRule="atLeast"/>
        </w:trPr>
        <w:tc>
          <w:tcPr>
            <w:tcW w:w="937" w:type="dxa"/>
            <w:vAlign w:val="center"/>
          </w:tcPr>
          <w:p>
            <w:pPr>
              <w:pStyle w:val="175"/>
              <w:jc w:val="center"/>
              <w:rPr>
                <w:sz w:val="21"/>
                <w:szCs w:val="21"/>
              </w:rPr>
            </w:pPr>
            <w:r>
              <w:rPr>
                <w:rFonts w:hint="eastAsia"/>
                <w:sz w:val="21"/>
                <w:szCs w:val="21"/>
              </w:rPr>
              <w:t>序号</w:t>
            </w:r>
          </w:p>
        </w:tc>
        <w:tc>
          <w:tcPr>
            <w:tcW w:w="3960" w:type="dxa"/>
            <w:vAlign w:val="center"/>
          </w:tcPr>
          <w:p>
            <w:pPr>
              <w:pStyle w:val="175"/>
              <w:jc w:val="center"/>
              <w:rPr>
                <w:sz w:val="21"/>
                <w:szCs w:val="21"/>
              </w:rPr>
            </w:pPr>
            <w:r>
              <w:rPr>
                <w:rFonts w:hint="eastAsia"/>
                <w:sz w:val="21"/>
                <w:szCs w:val="21"/>
              </w:rPr>
              <w:t>项目</w:t>
            </w:r>
          </w:p>
        </w:tc>
        <w:tc>
          <w:tcPr>
            <w:tcW w:w="3878" w:type="dxa"/>
            <w:vAlign w:val="center"/>
          </w:tcPr>
          <w:p>
            <w:pPr>
              <w:pStyle w:val="175"/>
              <w:jc w:val="center"/>
              <w:rPr>
                <w:sz w:val="21"/>
                <w:szCs w:val="21"/>
              </w:rPr>
            </w:pPr>
            <w:r>
              <w:rPr>
                <w:rFonts w:hint="eastAsia"/>
                <w:sz w:val="21"/>
                <w:szCs w:val="21"/>
              </w:rPr>
              <w:t>排放浓度及排放规定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5" w:hRule="atLeast"/>
        </w:trPr>
        <w:tc>
          <w:tcPr>
            <w:tcW w:w="937"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1</w:t>
            </w:r>
          </w:p>
        </w:tc>
        <w:tc>
          <w:tcPr>
            <w:tcW w:w="3960" w:type="dxa"/>
            <w:vAlign w:val="center"/>
          </w:tcPr>
          <w:p>
            <w:pPr>
              <w:pStyle w:val="175"/>
              <w:jc w:val="center"/>
              <w:rPr>
                <w:sz w:val="21"/>
                <w:szCs w:val="21"/>
              </w:rPr>
            </w:pPr>
            <w:r>
              <w:rPr>
                <w:rFonts w:hint="eastAsia"/>
                <w:sz w:val="21"/>
                <w:szCs w:val="21"/>
              </w:rPr>
              <w:t>船舶油污水</w:t>
            </w:r>
          </w:p>
        </w:tc>
        <w:tc>
          <w:tcPr>
            <w:tcW w:w="3878" w:type="dxa"/>
            <w:vAlign w:val="center"/>
          </w:tcPr>
          <w:p>
            <w:pPr>
              <w:pStyle w:val="175"/>
              <w:jc w:val="center"/>
              <w:rPr>
                <w:rFonts w:ascii="Times New Roman" w:hAnsi="Times New Roman" w:cs="Times New Roman"/>
                <w:sz w:val="21"/>
                <w:szCs w:val="21"/>
              </w:rPr>
            </w:pPr>
            <w:r>
              <w:rPr>
                <w:rFonts w:hint="eastAsia"/>
                <w:sz w:val="21"/>
                <w:szCs w:val="21"/>
              </w:rPr>
              <w:t>石油类≤</w:t>
            </w:r>
            <w:r>
              <w:rPr>
                <w:rFonts w:ascii="Times New Roman" w:hAnsi="Times New Roman" w:cs="Times New Roman"/>
                <w:sz w:val="21"/>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5" w:hRule="atLeast"/>
        </w:trPr>
        <w:tc>
          <w:tcPr>
            <w:tcW w:w="937"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2</w:t>
            </w:r>
          </w:p>
        </w:tc>
        <w:tc>
          <w:tcPr>
            <w:tcW w:w="3960" w:type="dxa"/>
            <w:vAlign w:val="center"/>
          </w:tcPr>
          <w:p>
            <w:pPr>
              <w:pStyle w:val="175"/>
              <w:jc w:val="center"/>
              <w:rPr>
                <w:sz w:val="21"/>
                <w:szCs w:val="21"/>
              </w:rPr>
            </w:pPr>
            <w:r>
              <w:rPr>
                <w:rFonts w:hint="eastAsia"/>
                <w:sz w:val="21"/>
                <w:szCs w:val="21"/>
              </w:rPr>
              <w:t>生化需氧量</w:t>
            </w:r>
          </w:p>
        </w:tc>
        <w:tc>
          <w:tcPr>
            <w:tcW w:w="3878"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BOD</w:t>
            </w:r>
            <w:r>
              <w:rPr>
                <w:rFonts w:ascii="Times New Roman" w:hAnsi="Times New Roman" w:cs="Times New Roman"/>
                <w:sz w:val="14"/>
                <w:szCs w:val="14"/>
              </w:rPr>
              <w:t>5</w:t>
            </w:r>
            <w:r>
              <w:rPr>
                <w:rFonts w:hint="eastAsia" w:hAnsi="Times New Roman"/>
                <w:sz w:val="21"/>
                <w:szCs w:val="21"/>
              </w:rPr>
              <w:t>≤</w:t>
            </w:r>
            <w:r>
              <w:rPr>
                <w:rFonts w:ascii="Times New Roman" w:hAnsi="Times New Roman"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5" w:hRule="atLeast"/>
        </w:trPr>
        <w:tc>
          <w:tcPr>
            <w:tcW w:w="937"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3</w:t>
            </w:r>
          </w:p>
        </w:tc>
        <w:tc>
          <w:tcPr>
            <w:tcW w:w="3960" w:type="dxa"/>
            <w:vAlign w:val="center"/>
          </w:tcPr>
          <w:p>
            <w:pPr>
              <w:pStyle w:val="175"/>
              <w:jc w:val="center"/>
              <w:rPr>
                <w:sz w:val="21"/>
                <w:szCs w:val="21"/>
              </w:rPr>
            </w:pPr>
            <w:r>
              <w:rPr>
                <w:rFonts w:hint="eastAsia"/>
                <w:sz w:val="21"/>
                <w:szCs w:val="21"/>
              </w:rPr>
              <w:t>悬浮物</w:t>
            </w:r>
          </w:p>
        </w:tc>
        <w:tc>
          <w:tcPr>
            <w:tcW w:w="3878"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SS</w:t>
            </w:r>
            <w:r>
              <w:rPr>
                <w:rFonts w:hint="eastAsia" w:hAnsi="Times New Roman"/>
                <w:sz w:val="21"/>
                <w:szCs w:val="21"/>
              </w:rPr>
              <w:t>≤</w:t>
            </w:r>
            <w:r>
              <w:rPr>
                <w:rFonts w:ascii="Times New Roman" w:hAnsi="Times New Roman" w:cs="Times New Roman"/>
                <w:sz w:val="21"/>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1" w:hRule="atLeast"/>
        </w:trPr>
        <w:tc>
          <w:tcPr>
            <w:tcW w:w="937" w:type="dxa"/>
            <w:vAlign w:val="center"/>
          </w:tcPr>
          <w:p>
            <w:pPr>
              <w:pStyle w:val="175"/>
              <w:jc w:val="center"/>
              <w:rPr>
                <w:rFonts w:ascii="Times New Roman" w:hAnsi="Times New Roman" w:cs="Times New Roman"/>
                <w:sz w:val="21"/>
                <w:szCs w:val="21"/>
              </w:rPr>
            </w:pPr>
            <w:r>
              <w:rPr>
                <w:rFonts w:ascii="Times New Roman" w:hAnsi="Times New Roman" w:cs="Times New Roman"/>
                <w:sz w:val="21"/>
                <w:szCs w:val="21"/>
              </w:rPr>
              <w:t>4</w:t>
            </w:r>
          </w:p>
        </w:tc>
        <w:tc>
          <w:tcPr>
            <w:tcW w:w="3960" w:type="dxa"/>
            <w:vAlign w:val="center"/>
          </w:tcPr>
          <w:p>
            <w:pPr>
              <w:pStyle w:val="175"/>
              <w:jc w:val="center"/>
              <w:rPr>
                <w:sz w:val="21"/>
                <w:szCs w:val="21"/>
              </w:rPr>
            </w:pPr>
            <w:r>
              <w:rPr>
                <w:rFonts w:hint="eastAsia"/>
                <w:sz w:val="21"/>
                <w:szCs w:val="21"/>
              </w:rPr>
              <w:t>食品废弃物及其它垃圾</w:t>
            </w:r>
          </w:p>
        </w:tc>
        <w:tc>
          <w:tcPr>
            <w:tcW w:w="3878" w:type="dxa"/>
            <w:vAlign w:val="center"/>
          </w:tcPr>
          <w:p>
            <w:pPr>
              <w:pStyle w:val="175"/>
              <w:jc w:val="center"/>
              <w:rPr>
                <w:sz w:val="21"/>
                <w:szCs w:val="21"/>
              </w:rPr>
            </w:pPr>
            <w:r>
              <w:rPr>
                <w:rFonts w:hint="eastAsia"/>
                <w:sz w:val="21"/>
                <w:szCs w:val="21"/>
              </w:rPr>
              <w:t>禁止投入水域</w:t>
            </w:r>
          </w:p>
        </w:tc>
      </w:tr>
    </w:tbl>
    <w:p>
      <w:pPr>
        <w:pStyle w:val="3"/>
        <w:tabs>
          <w:tab w:val="left" w:pos="426"/>
        </w:tabs>
        <w:spacing w:beforeLines="0" w:afterLines="0"/>
        <w:ind w:left="0" w:firstLine="0"/>
      </w:pPr>
      <w:bookmarkStart w:id="39" w:name="_Toc143494900"/>
      <w:bookmarkStart w:id="40" w:name="_Toc350087807"/>
      <w:bookmarkStart w:id="41" w:name="_Toc410895428"/>
      <w:bookmarkStart w:id="42" w:name="_Toc317842960"/>
      <w:bookmarkStart w:id="43" w:name="_Toc442195663"/>
      <w:bookmarkStart w:id="44" w:name="_Toc143494898"/>
      <w:bookmarkStart w:id="45" w:name="_Toc317842954"/>
      <w:bookmarkStart w:id="46" w:name="_Toc350087801"/>
      <w:r>
        <w:t>评价因子</w:t>
      </w:r>
      <w:bookmarkEnd w:id="39"/>
      <w:bookmarkEnd w:id="40"/>
      <w:bookmarkEnd w:id="41"/>
      <w:bookmarkEnd w:id="42"/>
      <w:r>
        <w:rPr>
          <w:rFonts w:hint="eastAsia"/>
        </w:rPr>
        <w:t>及评价范围</w:t>
      </w:r>
      <w:bookmarkEnd w:id="43"/>
    </w:p>
    <w:p>
      <w:pPr>
        <w:pStyle w:val="5"/>
        <w:tabs>
          <w:tab w:val="left" w:pos="567"/>
        </w:tabs>
        <w:spacing w:before="62" w:beforeLines="20" w:afterLines="0" w:line="360" w:lineRule="auto"/>
        <w:ind w:left="0" w:firstLine="0"/>
      </w:pPr>
      <w:bookmarkStart w:id="47" w:name="_Toc350087808"/>
      <w:bookmarkStart w:id="48" w:name="_Toc442195664"/>
      <w:bookmarkStart w:id="49" w:name="_Toc317842961"/>
      <w:r>
        <w:t>环境影响识别</w:t>
      </w:r>
      <w:bookmarkEnd w:id="47"/>
      <w:bookmarkEnd w:id="48"/>
      <w:bookmarkEnd w:id="49"/>
    </w:p>
    <w:p>
      <w:pPr>
        <w:pStyle w:val="78"/>
        <w:spacing w:line="360" w:lineRule="auto"/>
        <w:ind w:firstLine="480"/>
        <w:rPr>
          <w:rFonts w:ascii="Times New Roman" w:hAnsi="Times New Roman" w:eastAsiaTheme="minorEastAsia"/>
        </w:rPr>
      </w:pPr>
      <w:r>
        <w:rPr>
          <w:rFonts w:ascii="Times New Roman" w:hAnsi="Times New Roman" w:eastAsiaTheme="minorEastAsia"/>
        </w:rPr>
        <w:t>根据工程建设规模、工艺方案、污染源种类及分布、污染治理措施等，识别环境影响因子，确定对自然环境、社会环境和人类利益的影响类型，具体见表1</w:t>
      </w:r>
      <w:r>
        <w:rPr>
          <w:rFonts w:hint="eastAsia" w:ascii="Times New Roman" w:hAnsi="Times New Roman" w:eastAsiaTheme="minorEastAsia"/>
        </w:rPr>
        <w:t>.4</w:t>
      </w:r>
      <w:r>
        <w:rPr>
          <w:rFonts w:ascii="Times New Roman" w:hAnsi="Times New Roman" w:eastAsiaTheme="minorEastAsia"/>
        </w:rPr>
        <w:t>-1。</w:t>
      </w:r>
    </w:p>
    <w:p>
      <w:pPr>
        <w:pStyle w:val="167"/>
        <w:rPr>
          <w:sz w:val="21"/>
        </w:rPr>
      </w:pPr>
      <w:r>
        <w:rPr>
          <w:sz w:val="21"/>
        </w:rPr>
        <w:t>表1</w:t>
      </w:r>
      <w:r>
        <w:rPr>
          <w:rFonts w:hint="eastAsia"/>
          <w:sz w:val="21"/>
        </w:rPr>
        <w:t>.</w:t>
      </w:r>
      <w:r>
        <w:rPr>
          <w:rFonts w:hint="eastAsia"/>
          <w:sz w:val="21"/>
          <w:lang w:eastAsia="zh-CN"/>
        </w:rPr>
        <w:t>4</w:t>
      </w:r>
      <w:r>
        <w:rPr>
          <w:sz w:val="21"/>
        </w:rPr>
        <w:t>-</w:t>
      </w:r>
      <w:r>
        <w:rPr>
          <w:rFonts w:hint="eastAsia"/>
          <w:sz w:val="21"/>
        </w:rPr>
        <w:t xml:space="preserve">1 </w:t>
      </w:r>
      <w:r>
        <w:rPr>
          <w:sz w:val="21"/>
        </w:rPr>
        <w:t>环境影响识别矩阵</w:t>
      </w:r>
      <w:r>
        <w:rPr>
          <w:rFonts w:hint="eastAsia"/>
          <w:sz w:val="21"/>
        </w:rPr>
        <w:t>表</w:t>
      </w:r>
    </w:p>
    <w:tbl>
      <w:tblPr>
        <w:tblStyle w:val="104"/>
        <w:tblW w:w="9128"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25"/>
        <w:gridCol w:w="1041"/>
        <w:gridCol w:w="1236"/>
        <w:gridCol w:w="845"/>
        <w:gridCol w:w="845"/>
        <w:gridCol w:w="845"/>
        <w:gridCol w:w="845"/>
        <w:gridCol w:w="845"/>
        <w:gridCol w:w="200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restart"/>
            <w:vAlign w:val="center"/>
          </w:tcPr>
          <w:p>
            <w:pPr>
              <w:jc w:val="center"/>
              <w:rPr>
                <w:rFonts w:ascii="Arial" w:hAnsi="Arial" w:cs="Arial"/>
                <w:sz w:val="18"/>
                <w:szCs w:val="18"/>
              </w:rPr>
            </w:pPr>
            <w:r>
              <w:rPr>
                <w:rFonts w:ascii="Arial" w:hAnsi="Arial" w:cs="Arial"/>
                <w:sz w:val="18"/>
                <w:szCs w:val="18"/>
              </w:rPr>
              <w:t>评价</w:t>
            </w:r>
          </w:p>
          <w:p>
            <w:pPr>
              <w:jc w:val="center"/>
              <w:rPr>
                <w:rFonts w:ascii="Arial" w:hAnsi="Arial" w:cs="Arial"/>
                <w:sz w:val="18"/>
                <w:szCs w:val="18"/>
              </w:rPr>
            </w:pPr>
            <w:r>
              <w:rPr>
                <w:rFonts w:ascii="Arial" w:hAnsi="Arial" w:cs="Arial"/>
                <w:sz w:val="18"/>
                <w:szCs w:val="18"/>
              </w:rPr>
              <w:t>时段</w:t>
            </w:r>
          </w:p>
        </w:tc>
        <w:tc>
          <w:tcPr>
            <w:tcW w:w="2277" w:type="dxa"/>
            <w:gridSpan w:val="2"/>
            <w:vMerge w:val="restart"/>
            <w:vAlign w:val="center"/>
          </w:tcPr>
          <w:p>
            <w:pPr>
              <w:jc w:val="center"/>
              <w:rPr>
                <w:rFonts w:ascii="Arial" w:hAnsi="Arial" w:cs="Arial"/>
                <w:sz w:val="18"/>
                <w:szCs w:val="18"/>
              </w:rPr>
            </w:pPr>
            <w:r>
              <w:rPr>
                <w:rFonts w:ascii="Arial" w:hAnsi="Arial" w:cs="Arial"/>
                <w:sz w:val="18"/>
                <w:szCs w:val="18"/>
              </w:rPr>
              <w:t>评价因子</w:t>
            </w:r>
          </w:p>
        </w:tc>
        <w:tc>
          <w:tcPr>
            <w:tcW w:w="4225" w:type="dxa"/>
            <w:gridSpan w:val="5"/>
            <w:vAlign w:val="center"/>
          </w:tcPr>
          <w:p>
            <w:pPr>
              <w:jc w:val="center"/>
              <w:rPr>
                <w:rFonts w:ascii="Arial" w:hAnsi="Arial" w:cs="Arial"/>
                <w:sz w:val="18"/>
                <w:szCs w:val="18"/>
              </w:rPr>
            </w:pPr>
            <w:r>
              <w:rPr>
                <w:rFonts w:ascii="Arial" w:hAnsi="Arial" w:cs="Arial"/>
                <w:sz w:val="18"/>
                <w:szCs w:val="18"/>
              </w:rPr>
              <w:t>识别指标</w:t>
            </w:r>
          </w:p>
        </w:tc>
        <w:tc>
          <w:tcPr>
            <w:tcW w:w="2001" w:type="dxa"/>
            <w:vMerge w:val="restart"/>
            <w:vAlign w:val="center"/>
          </w:tcPr>
          <w:p>
            <w:pPr>
              <w:jc w:val="center"/>
              <w:rPr>
                <w:rFonts w:ascii="Arial" w:hAnsi="Arial" w:cs="Arial"/>
                <w:sz w:val="18"/>
                <w:szCs w:val="18"/>
              </w:rPr>
            </w:pPr>
            <w:r>
              <w:rPr>
                <w:rFonts w:ascii="Arial" w:hAnsi="Arial" w:cs="Arial"/>
                <w:sz w:val="18"/>
                <w:szCs w:val="18"/>
              </w:rPr>
              <w:t>备</w:t>
            </w:r>
            <w:r>
              <w:rPr>
                <w:rFonts w:hint="eastAsia" w:ascii="Arial" w:hAnsi="Arial" w:cs="Arial"/>
                <w:sz w:val="18"/>
                <w:szCs w:val="18"/>
              </w:rPr>
              <w:t xml:space="preserve">  </w:t>
            </w:r>
            <w:r>
              <w:rPr>
                <w:rFonts w:ascii="Arial" w:hAnsi="Arial" w:cs="Arial"/>
                <w:sz w:val="18"/>
                <w:szCs w:val="18"/>
              </w:rPr>
              <w:t>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2277" w:type="dxa"/>
            <w:gridSpan w:val="2"/>
            <w:vMerge w:val="continue"/>
            <w:vAlign w:val="center"/>
          </w:tcPr>
          <w:p>
            <w:pPr>
              <w:jc w:val="center"/>
              <w:rPr>
                <w:rFonts w:ascii="Arial" w:hAnsi="Arial" w:cs="Arial"/>
                <w:sz w:val="18"/>
                <w:szCs w:val="18"/>
              </w:rPr>
            </w:pPr>
          </w:p>
        </w:tc>
        <w:tc>
          <w:tcPr>
            <w:tcW w:w="845" w:type="dxa"/>
            <w:vAlign w:val="center"/>
          </w:tcPr>
          <w:p>
            <w:pPr>
              <w:jc w:val="center"/>
              <w:rPr>
                <w:rFonts w:ascii="Arial" w:hAnsi="Arial" w:cs="Arial"/>
                <w:sz w:val="18"/>
                <w:szCs w:val="18"/>
              </w:rPr>
            </w:pPr>
            <w:r>
              <w:rPr>
                <w:rFonts w:ascii="Arial" w:hAnsi="Arial" w:cs="Arial"/>
                <w:sz w:val="18"/>
                <w:szCs w:val="18"/>
              </w:rPr>
              <w:t>可能性</w:t>
            </w:r>
          </w:p>
        </w:tc>
        <w:tc>
          <w:tcPr>
            <w:tcW w:w="845" w:type="dxa"/>
            <w:vAlign w:val="center"/>
          </w:tcPr>
          <w:p>
            <w:pPr>
              <w:jc w:val="center"/>
              <w:rPr>
                <w:rFonts w:ascii="Arial" w:hAnsi="Arial" w:cs="Arial"/>
                <w:sz w:val="18"/>
                <w:szCs w:val="18"/>
              </w:rPr>
            </w:pPr>
            <w:r>
              <w:rPr>
                <w:rFonts w:ascii="Arial" w:hAnsi="Arial" w:cs="Arial"/>
                <w:sz w:val="18"/>
                <w:szCs w:val="18"/>
              </w:rPr>
              <w:t>程  度</w:t>
            </w:r>
          </w:p>
        </w:tc>
        <w:tc>
          <w:tcPr>
            <w:tcW w:w="845" w:type="dxa"/>
            <w:vAlign w:val="center"/>
          </w:tcPr>
          <w:p>
            <w:pPr>
              <w:jc w:val="center"/>
              <w:rPr>
                <w:rFonts w:ascii="Arial" w:hAnsi="Arial" w:cs="Arial"/>
                <w:sz w:val="18"/>
                <w:szCs w:val="18"/>
              </w:rPr>
            </w:pPr>
            <w:r>
              <w:rPr>
                <w:rFonts w:ascii="Arial" w:hAnsi="Arial" w:cs="Arial"/>
                <w:sz w:val="18"/>
                <w:szCs w:val="18"/>
              </w:rPr>
              <w:t>时  间</w:t>
            </w:r>
          </w:p>
        </w:tc>
        <w:tc>
          <w:tcPr>
            <w:tcW w:w="845" w:type="dxa"/>
            <w:vAlign w:val="center"/>
          </w:tcPr>
          <w:p>
            <w:pPr>
              <w:jc w:val="center"/>
              <w:rPr>
                <w:rFonts w:ascii="Arial" w:hAnsi="Arial" w:cs="Arial"/>
                <w:sz w:val="18"/>
                <w:szCs w:val="18"/>
              </w:rPr>
            </w:pPr>
            <w:r>
              <w:rPr>
                <w:rFonts w:ascii="Arial" w:hAnsi="Arial" w:cs="Arial"/>
                <w:sz w:val="18"/>
                <w:szCs w:val="18"/>
              </w:rPr>
              <w:t>范  围</w:t>
            </w:r>
          </w:p>
        </w:tc>
        <w:tc>
          <w:tcPr>
            <w:tcW w:w="845" w:type="dxa"/>
            <w:vAlign w:val="center"/>
          </w:tcPr>
          <w:p>
            <w:pPr>
              <w:jc w:val="center"/>
              <w:rPr>
                <w:rFonts w:ascii="Arial" w:hAnsi="Arial" w:cs="Arial"/>
                <w:sz w:val="18"/>
                <w:szCs w:val="18"/>
              </w:rPr>
            </w:pPr>
            <w:r>
              <w:rPr>
                <w:rFonts w:ascii="Arial" w:hAnsi="Arial" w:cs="Arial"/>
                <w:sz w:val="18"/>
                <w:szCs w:val="18"/>
              </w:rPr>
              <w:t>可逆性</w:t>
            </w:r>
          </w:p>
        </w:tc>
        <w:tc>
          <w:tcPr>
            <w:tcW w:w="2001" w:type="dxa"/>
            <w:vMerge w:val="continue"/>
            <w:vAlign w:val="center"/>
          </w:tcPr>
          <w:p>
            <w:pPr>
              <w:jc w:val="center"/>
              <w:rPr>
                <w:rFonts w:ascii="Arial" w:hAnsi="Arial" w:cs="Arial"/>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restart"/>
            <w:vAlign w:val="center"/>
          </w:tcPr>
          <w:p>
            <w:pPr>
              <w:jc w:val="center"/>
              <w:rPr>
                <w:rFonts w:ascii="Arial" w:hAnsi="Arial" w:cs="Arial"/>
                <w:sz w:val="18"/>
                <w:szCs w:val="18"/>
              </w:rPr>
            </w:pPr>
            <w:r>
              <w:rPr>
                <w:rFonts w:hint="eastAsia" w:ascii="Arial" w:hAnsi="Arial" w:cs="Arial"/>
                <w:sz w:val="18"/>
                <w:szCs w:val="18"/>
              </w:rPr>
              <w:t>施</w:t>
            </w:r>
          </w:p>
          <w:p>
            <w:pPr>
              <w:jc w:val="center"/>
              <w:rPr>
                <w:rFonts w:ascii="Arial" w:hAnsi="Arial" w:cs="Arial"/>
                <w:sz w:val="18"/>
                <w:szCs w:val="18"/>
              </w:rPr>
            </w:pPr>
          </w:p>
          <w:p>
            <w:pPr>
              <w:jc w:val="center"/>
              <w:rPr>
                <w:rFonts w:ascii="Arial" w:hAnsi="Arial" w:cs="Arial"/>
                <w:sz w:val="18"/>
                <w:szCs w:val="18"/>
              </w:rPr>
            </w:pPr>
            <w:r>
              <w:rPr>
                <w:rFonts w:ascii="Arial" w:hAnsi="Arial" w:cs="Arial"/>
                <w:sz w:val="18"/>
                <w:szCs w:val="18"/>
              </w:rPr>
              <w:t>工</w:t>
            </w:r>
          </w:p>
          <w:p>
            <w:pPr>
              <w:jc w:val="center"/>
              <w:rPr>
                <w:rFonts w:ascii="Arial" w:hAnsi="Arial" w:cs="Arial"/>
                <w:sz w:val="18"/>
                <w:szCs w:val="18"/>
              </w:rPr>
            </w:pPr>
          </w:p>
          <w:p>
            <w:pPr>
              <w:jc w:val="center"/>
              <w:rPr>
                <w:rFonts w:ascii="Arial" w:hAnsi="Arial" w:cs="Arial"/>
                <w:sz w:val="18"/>
                <w:szCs w:val="18"/>
              </w:rPr>
            </w:pPr>
            <w:r>
              <w:rPr>
                <w:rFonts w:ascii="Arial" w:hAnsi="Arial" w:cs="Arial"/>
                <w:sz w:val="18"/>
                <w:szCs w:val="18"/>
              </w:rPr>
              <w:t>期</w:t>
            </w:r>
          </w:p>
        </w:tc>
        <w:tc>
          <w:tcPr>
            <w:tcW w:w="1041" w:type="dxa"/>
            <w:vMerge w:val="restart"/>
            <w:vAlign w:val="center"/>
          </w:tcPr>
          <w:p>
            <w:pPr>
              <w:jc w:val="center"/>
              <w:rPr>
                <w:rFonts w:ascii="Arial" w:hAnsi="Arial" w:cs="Arial"/>
                <w:sz w:val="18"/>
                <w:szCs w:val="18"/>
              </w:rPr>
            </w:pPr>
            <w:r>
              <w:rPr>
                <w:rFonts w:ascii="Arial" w:hAnsi="Arial" w:cs="Arial"/>
                <w:sz w:val="18"/>
                <w:szCs w:val="18"/>
              </w:rPr>
              <w:t>自然环境</w:t>
            </w:r>
          </w:p>
        </w:tc>
        <w:tc>
          <w:tcPr>
            <w:tcW w:w="1236" w:type="dxa"/>
            <w:vAlign w:val="center"/>
          </w:tcPr>
          <w:p>
            <w:pPr>
              <w:jc w:val="center"/>
              <w:rPr>
                <w:rFonts w:ascii="Arial" w:hAnsi="Arial" w:cs="Arial"/>
                <w:sz w:val="18"/>
                <w:szCs w:val="18"/>
              </w:rPr>
            </w:pPr>
            <w:r>
              <w:rPr>
                <w:rFonts w:ascii="Arial" w:hAnsi="Arial" w:cs="Arial"/>
                <w:sz w:val="18"/>
                <w:szCs w:val="18"/>
              </w:rPr>
              <w:t>地表水质</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restart"/>
            <w:vAlign w:val="center"/>
          </w:tcPr>
          <w:p>
            <w:pPr>
              <w:rPr>
                <w:rFonts w:ascii="Arial" w:hAnsi="Arial" w:cs="Arial"/>
                <w:sz w:val="18"/>
                <w:szCs w:val="18"/>
              </w:rPr>
            </w:pPr>
            <w:r>
              <w:rPr>
                <w:rFonts w:hAnsi="Arial" w:cs="Arial"/>
                <w:sz w:val="18"/>
                <w:szCs w:val="18"/>
              </w:rPr>
              <w:t>①</w:t>
            </w:r>
            <w:r>
              <w:rPr>
                <w:rFonts w:ascii="Arial" w:hAnsi="Arial" w:cs="Arial"/>
                <w:sz w:val="18"/>
                <w:szCs w:val="18"/>
              </w:rPr>
              <w:t xml:space="preserve"> “+”指有利影响，“－”指不利影响，“□”指没有影响；</w:t>
            </w:r>
          </w:p>
          <w:p>
            <w:pPr>
              <w:rPr>
                <w:rFonts w:ascii="Arial" w:hAnsi="Arial" w:cs="Arial"/>
                <w:sz w:val="18"/>
                <w:szCs w:val="18"/>
              </w:rPr>
            </w:pPr>
            <w:r>
              <w:rPr>
                <w:rFonts w:hAnsi="Arial" w:cs="Arial"/>
                <w:sz w:val="18"/>
                <w:szCs w:val="18"/>
              </w:rPr>
              <w:t>②</w:t>
            </w:r>
            <w:r>
              <w:rPr>
                <w:rFonts w:ascii="Arial" w:hAnsi="Arial" w:cs="Arial"/>
                <w:sz w:val="18"/>
                <w:szCs w:val="18"/>
              </w:rPr>
              <w:t xml:space="preserve"> 影响状况描述：</w:t>
            </w:r>
          </w:p>
          <w:p>
            <w:pPr>
              <w:rPr>
                <w:rFonts w:ascii="Arial" w:hAnsi="Arial" w:cs="Arial"/>
                <w:sz w:val="18"/>
                <w:szCs w:val="18"/>
              </w:rPr>
            </w:pPr>
            <w:r>
              <w:rPr>
                <w:rFonts w:ascii="Arial" w:hAnsi="Arial" w:cs="Arial"/>
                <w:sz w:val="18"/>
                <w:szCs w:val="18"/>
              </w:rPr>
              <w:t>“+”：产生可能性一般，影响程度一般，影响时间短，影响范围较小；</w:t>
            </w:r>
          </w:p>
          <w:p>
            <w:pPr>
              <w:rPr>
                <w:rFonts w:ascii="Arial" w:hAnsi="Arial" w:cs="Arial"/>
                <w:sz w:val="18"/>
                <w:szCs w:val="18"/>
              </w:rPr>
            </w:pPr>
            <w:r>
              <w:rPr>
                <w:rFonts w:ascii="Arial" w:hAnsi="Arial" w:cs="Arial"/>
                <w:sz w:val="18"/>
                <w:szCs w:val="18"/>
              </w:rPr>
              <w:t>“++”：产生影响可能性大，影响程度大，影响时间长，影响范围大；</w:t>
            </w:r>
          </w:p>
          <w:p>
            <w:pPr>
              <w:rPr>
                <w:rFonts w:ascii="Arial" w:hAnsi="Arial" w:cs="Arial"/>
                <w:sz w:val="18"/>
                <w:szCs w:val="18"/>
              </w:rPr>
            </w:pPr>
            <w:r>
              <w:rPr>
                <w:rFonts w:ascii="Arial" w:hAnsi="Arial" w:cs="Arial"/>
                <w:sz w:val="18"/>
                <w:szCs w:val="18"/>
              </w:rPr>
              <w:t>“－”：产生影响可能性一般，影响程度一般，影响时间短，影响范围较小；</w:t>
            </w:r>
          </w:p>
          <w:p>
            <w:pPr>
              <w:rPr>
                <w:rFonts w:ascii="Arial" w:hAnsi="Arial" w:cs="Arial"/>
                <w:sz w:val="18"/>
                <w:szCs w:val="18"/>
              </w:rPr>
            </w:pPr>
            <w:r>
              <w:rPr>
                <w:rFonts w:ascii="Arial" w:hAnsi="Arial" w:cs="Arial"/>
                <w:sz w:val="18"/>
                <w:szCs w:val="18"/>
              </w:rPr>
              <w:t>“－－”产生影响可能性较大，影响程度大，影响时间长，影响范围大。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大气环境</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声环境</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土地资源</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hint="eastAsia" w:ascii="Arial" w:hAnsi="Arial" w:cs="Arial"/>
                <w:sz w:val="18"/>
                <w:szCs w:val="18"/>
              </w:rPr>
              <w:t>不</w:t>
            </w: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restart"/>
            <w:vAlign w:val="center"/>
          </w:tcPr>
          <w:p>
            <w:pPr>
              <w:jc w:val="center"/>
              <w:rPr>
                <w:rFonts w:ascii="Arial" w:hAnsi="Arial" w:cs="Arial"/>
                <w:sz w:val="18"/>
                <w:szCs w:val="18"/>
              </w:rPr>
            </w:pPr>
            <w:r>
              <w:rPr>
                <w:rFonts w:ascii="Arial" w:hAnsi="Arial" w:cs="Arial"/>
                <w:sz w:val="18"/>
                <w:szCs w:val="18"/>
              </w:rPr>
              <w:t>生态环境</w:t>
            </w:r>
          </w:p>
        </w:tc>
        <w:tc>
          <w:tcPr>
            <w:tcW w:w="1236" w:type="dxa"/>
            <w:vAlign w:val="center"/>
          </w:tcPr>
          <w:p>
            <w:pPr>
              <w:jc w:val="center"/>
              <w:rPr>
                <w:rFonts w:ascii="Arial" w:hAnsi="Arial" w:cs="Arial"/>
                <w:sz w:val="18"/>
                <w:szCs w:val="18"/>
              </w:rPr>
            </w:pPr>
            <w:r>
              <w:rPr>
                <w:rFonts w:ascii="Arial" w:hAnsi="Arial" w:cs="Arial"/>
                <w:sz w:val="18"/>
                <w:szCs w:val="18"/>
              </w:rPr>
              <w:t>陆生动植物</w:t>
            </w:r>
          </w:p>
        </w:tc>
        <w:tc>
          <w:tcPr>
            <w:tcW w:w="845" w:type="dxa"/>
            <w:vAlign w:val="center"/>
          </w:tcPr>
          <w:p>
            <w:pPr>
              <w:jc w:val="center"/>
              <w:rPr>
                <w:rFonts w:ascii="Arial" w:hAnsi="Arial" w:cs="Arial"/>
                <w:sz w:val="18"/>
                <w:szCs w:val="18"/>
              </w:rPr>
            </w:pPr>
            <w:r>
              <w:rPr>
                <w:rFonts w:ascii="Arial" w:hAnsi="Arial" w:cs="Arial"/>
                <w:sz w:val="18"/>
                <w:szCs w:val="18"/>
              </w:rPr>
              <w:t>－</w:t>
            </w:r>
            <w:r>
              <w:rPr>
                <w:rFonts w:hint="eastAsia"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r>
              <w:rPr>
                <w:rFonts w:hint="eastAsia"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r>
              <w:rPr>
                <w:rFonts w:hint="eastAsia"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r>
              <w:rPr>
                <w:rFonts w:hint="eastAsia" w:ascii="Arial" w:hAnsi="Arial" w:cs="Arial"/>
                <w:sz w:val="18"/>
                <w:szCs w:val="18"/>
              </w:rPr>
              <w:t>–</w:t>
            </w:r>
          </w:p>
        </w:tc>
        <w:tc>
          <w:tcPr>
            <w:tcW w:w="845" w:type="dxa"/>
            <w:vAlign w:val="center"/>
          </w:tcPr>
          <w:p>
            <w:pPr>
              <w:jc w:val="center"/>
              <w:rPr>
                <w:rFonts w:ascii="Arial" w:hAnsi="Arial" w:cs="Arial"/>
                <w:sz w:val="18"/>
                <w:szCs w:val="18"/>
              </w:rPr>
            </w:pPr>
            <w:r>
              <w:rPr>
                <w:rFonts w:hint="eastAsia" w:ascii="Arial" w:hAnsi="Arial" w:cs="Arial"/>
                <w:sz w:val="18"/>
                <w:szCs w:val="18"/>
              </w:rPr>
              <w:t>不</w:t>
            </w: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水生动植物</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restart"/>
            <w:vAlign w:val="center"/>
          </w:tcPr>
          <w:p>
            <w:pPr>
              <w:jc w:val="center"/>
              <w:rPr>
                <w:rFonts w:ascii="Arial" w:hAnsi="Arial" w:cs="Arial"/>
                <w:sz w:val="18"/>
                <w:szCs w:val="18"/>
              </w:rPr>
            </w:pPr>
            <w:r>
              <w:rPr>
                <w:rFonts w:ascii="Arial" w:hAnsi="Arial" w:cs="Arial"/>
                <w:sz w:val="18"/>
                <w:szCs w:val="18"/>
              </w:rPr>
              <w:t>社会环境</w:t>
            </w:r>
          </w:p>
        </w:tc>
        <w:tc>
          <w:tcPr>
            <w:tcW w:w="1236" w:type="dxa"/>
            <w:vAlign w:val="center"/>
          </w:tcPr>
          <w:p>
            <w:pPr>
              <w:jc w:val="center"/>
              <w:rPr>
                <w:rFonts w:ascii="Arial" w:hAnsi="Arial" w:cs="Arial"/>
                <w:sz w:val="18"/>
                <w:szCs w:val="18"/>
              </w:rPr>
            </w:pPr>
            <w:r>
              <w:rPr>
                <w:rFonts w:ascii="Arial" w:hAnsi="Arial" w:cs="Arial"/>
                <w:sz w:val="18"/>
                <w:szCs w:val="18"/>
              </w:rPr>
              <w:t>交通</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社会经济</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就业机会</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restart"/>
            <w:vAlign w:val="center"/>
          </w:tcPr>
          <w:p>
            <w:pPr>
              <w:jc w:val="center"/>
              <w:rPr>
                <w:rFonts w:ascii="Arial" w:hAnsi="Arial" w:cs="Arial"/>
                <w:sz w:val="18"/>
                <w:szCs w:val="18"/>
              </w:rPr>
            </w:pPr>
            <w:r>
              <w:rPr>
                <w:rFonts w:hint="eastAsia" w:ascii="Arial" w:hAnsi="Arial" w:cs="Arial"/>
                <w:sz w:val="18"/>
                <w:szCs w:val="18"/>
              </w:rPr>
              <w:t>运</w:t>
            </w:r>
          </w:p>
          <w:p>
            <w:pPr>
              <w:jc w:val="center"/>
              <w:rPr>
                <w:rFonts w:ascii="Arial" w:hAnsi="Arial" w:cs="Arial"/>
                <w:sz w:val="18"/>
                <w:szCs w:val="18"/>
              </w:rPr>
            </w:pPr>
          </w:p>
          <w:p>
            <w:pPr>
              <w:jc w:val="center"/>
              <w:rPr>
                <w:rFonts w:ascii="Arial" w:hAnsi="Arial" w:cs="Arial"/>
                <w:sz w:val="18"/>
                <w:szCs w:val="18"/>
              </w:rPr>
            </w:pPr>
            <w:r>
              <w:rPr>
                <w:rFonts w:hint="eastAsia" w:ascii="Arial" w:hAnsi="Arial" w:cs="Arial"/>
                <w:sz w:val="18"/>
                <w:szCs w:val="18"/>
              </w:rPr>
              <w:t>营</w:t>
            </w:r>
          </w:p>
          <w:p>
            <w:pPr>
              <w:jc w:val="center"/>
              <w:rPr>
                <w:rFonts w:ascii="Arial" w:hAnsi="Arial" w:cs="Arial"/>
                <w:sz w:val="18"/>
                <w:szCs w:val="18"/>
              </w:rPr>
            </w:pPr>
          </w:p>
          <w:p>
            <w:pPr>
              <w:jc w:val="center"/>
              <w:rPr>
                <w:rFonts w:ascii="Arial" w:hAnsi="Arial" w:cs="Arial"/>
                <w:sz w:val="18"/>
                <w:szCs w:val="18"/>
              </w:rPr>
            </w:pPr>
            <w:r>
              <w:rPr>
                <w:rFonts w:ascii="Arial" w:hAnsi="Arial" w:cs="Arial"/>
                <w:sz w:val="18"/>
                <w:szCs w:val="18"/>
              </w:rPr>
              <w:t>期</w:t>
            </w:r>
          </w:p>
        </w:tc>
        <w:tc>
          <w:tcPr>
            <w:tcW w:w="1041" w:type="dxa"/>
            <w:vMerge w:val="restart"/>
            <w:vAlign w:val="center"/>
          </w:tcPr>
          <w:p>
            <w:pPr>
              <w:jc w:val="center"/>
              <w:rPr>
                <w:rFonts w:ascii="Arial" w:hAnsi="Arial" w:cs="Arial"/>
                <w:sz w:val="18"/>
                <w:szCs w:val="18"/>
              </w:rPr>
            </w:pPr>
            <w:r>
              <w:rPr>
                <w:rFonts w:ascii="Arial" w:hAnsi="Arial" w:cs="Arial"/>
                <w:sz w:val="18"/>
                <w:szCs w:val="18"/>
              </w:rPr>
              <w:t>自然环境</w:t>
            </w:r>
          </w:p>
        </w:tc>
        <w:tc>
          <w:tcPr>
            <w:tcW w:w="1236" w:type="dxa"/>
            <w:vAlign w:val="center"/>
          </w:tcPr>
          <w:p>
            <w:pPr>
              <w:jc w:val="center"/>
              <w:rPr>
                <w:rFonts w:ascii="Arial" w:hAnsi="Arial" w:cs="Arial"/>
                <w:sz w:val="18"/>
                <w:szCs w:val="18"/>
              </w:rPr>
            </w:pPr>
            <w:r>
              <w:rPr>
                <w:rFonts w:ascii="Arial" w:hAnsi="Arial" w:cs="Arial"/>
                <w:sz w:val="18"/>
                <w:szCs w:val="18"/>
              </w:rPr>
              <w:t>地表水质</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大气环境</w:t>
            </w:r>
          </w:p>
        </w:tc>
        <w:tc>
          <w:tcPr>
            <w:tcW w:w="845" w:type="dxa"/>
            <w:vAlign w:val="center"/>
          </w:tcPr>
          <w:p>
            <w:pPr>
              <w:jc w:val="center"/>
              <w:rPr>
                <w:sz w:val="18"/>
                <w:szCs w:val="18"/>
              </w:rPr>
            </w:pPr>
            <w:r>
              <w:rPr>
                <w:rFonts w:ascii="Arial" w:hAnsi="Arial" w:cs="Arial"/>
                <w:sz w:val="18"/>
                <w:szCs w:val="18"/>
              </w:rPr>
              <w:t>－－</w:t>
            </w:r>
          </w:p>
        </w:tc>
        <w:tc>
          <w:tcPr>
            <w:tcW w:w="845" w:type="dxa"/>
            <w:vAlign w:val="center"/>
          </w:tcPr>
          <w:p>
            <w:pPr>
              <w:jc w:val="center"/>
              <w:rPr>
                <w:sz w:val="18"/>
                <w:szCs w:val="18"/>
              </w:rPr>
            </w:pPr>
            <w:r>
              <w:rPr>
                <w:rFonts w:ascii="Arial" w:hAnsi="Arial" w:cs="Arial"/>
                <w:sz w:val="18"/>
                <w:szCs w:val="18"/>
              </w:rPr>
              <w:t>－</w:t>
            </w:r>
          </w:p>
        </w:tc>
        <w:tc>
          <w:tcPr>
            <w:tcW w:w="845" w:type="dxa"/>
            <w:vAlign w:val="center"/>
          </w:tcPr>
          <w:p>
            <w:pPr>
              <w:jc w:val="center"/>
              <w:rPr>
                <w:sz w:val="18"/>
                <w:szCs w:val="18"/>
              </w:rPr>
            </w:pPr>
            <w:r>
              <w:rPr>
                <w:rFonts w:ascii="Arial" w:hAnsi="Arial" w:cs="Arial"/>
                <w:sz w:val="18"/>
                <w:szCs w:val="18"/>
              </w:rPr>
              <w:t>－－</w:t>
            </w:r>
          </w:p>
        </w:tc>
        <w:tc>
          <w:tcPr>
            <w:tcW w:w="845" w:type="dxa"/>
            <w:vAlign w:val="center"/>
          </w:tcPr>
          <w:p>
            <w:pPr>
              <w:jc w:val="center"/>
              <w:rPr>
                <w:sz w:val="18"/>
                <w:szCs w:val="18"/>
              </w:rPr>
            </w:pPr>
            <w:r>
              <w:rPr>
                <w:rFonts w:ascii="Arial" w:hAnsi="Arial" w:cs="Arial"/>
                <w:sz w:val="18"/>
                <w:szCs w:val="18"/>
              </w:rPr>
              <w:t>－－</w:t>
            </w:r>
          </w:p>
        </w:tc>
        <w:tc>
          <w:tcPr>
            <w:tcW w:w="845" w:type="dxa"/>
            <w:vAlign w:val="center"/>
          </w:tcPr>
          <w:p>
            <w:pPr>
              <w:jc w:val="center"/>
              <w:rPr>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声环境</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restart"/>
            <w:vAlign w:val="center"/>
          </w:tcPr>
          <w:p>
            <w:pPr>
              <w:jc w:val="center"/>
              <w:rPr>
                <w:rFonts w:ascii="Arial" w:hAnsi="Arial" w:cs="Arial"/>
                <w:sz w:val="18"/>
                <w:szCs w:val="18"/>
              </w:rPr>
            </w:pPr>
            <w:r>
              <w:rPr>
                <w:rFonts w:ascii="Arial" w:hAnsi="Arial" w:cs="Arial"/>
                <w:sz w:val="18"/>
                <w:szCs w:val="18"/>
              </w:rPr>
              <w:t>生态环境</w:t>
            </w:r>
          </w:p>
        </w:tc>
        <w:tc>
          <w:tcPr>
            <w:tcW w:w="1236" w:type="dxa"/>
            <w:vAlign w:val="center"/>
          </w:tcPr>
          <w:p>
            <w:pPr>
              <w:jc w:val="center"/>
              <w:rPr>
                <w:rFonts w:ascii="Arial" w:hAnsi="Arial" w:cs="Arial"/>
                <w:sz w:val="18"/>
                <w:szCs w:val="18"/>
              </w:rPr>
            </w:pPr>
            <w:r>
              <w:rPr>
                <w:rFonts w:ascii="Arial" w:hAnsi="Arial" w:cs="Arial"/>
                <w:sz w:val="18"/>
                <w:szCs w:val="18"/>
              </w:rPr>
              <w:t>陆生动植物</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tcPr>
          <w:p>
            <w:pPr>
              <w:jc w:val="center"/>
            </w:pPr>
            <w:r>
              <w:rPr>
                <w:rFonts w:ascii="Arial" w:hAnsi="Arial" w:cs="Arial"/>
                <w:sz w:val="18"/>
                <w:szCs w:val="18"/>
              </w:rPr>
              <w:t>□</w:t>
            </w:r>
          </w:p>
        </w:tc>
        <w:tc>
          <w:tcPr>
            <w:tcW w:w="845" w:type="dxa"/>
          </w:tcPr>
          <w:p>
            <w:pPr>
              <w:jc w:val="center"/>
            </w:pPr>
            <w:r>
              <w:rPr>
                <w:rFonts w:ascii="Arial" w:hAnsi="Arial" w:cs="Arial"/>
                <w:sz w:val="18"/>
                <w:szCs w:val="18"/>
              </w:rPr>
              <w:t>□</w:t>
            </w:r>
          </w:p>
        </w:tc>
        <w:tc>
          <w:tcPr>
            <w:tcW w:w="845" w:type="dxa"/>
          </w:tcPr>
          <w:p>
            <w:pPr>
              <w:jc w:val="cente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水生动植物</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可逆</w:t>
            </w: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restart"/>
            <w:vAlign w:val="center"/>
          </w:tcPr>
          <w:p>
            <w:pPr>
              <w:jc w:val="center"/>
              <w:rPr>
                <w:rFonts w:ascii="Arial" w:hAnsi="Arial" w:cs="Arial"/>
                <w:sz w:val="18"/>
                <w:szCs w:val="18"/>
              </w:rPr>
            </w:pPr>
            <w:r>
              <w:rPr>
                <w:rFonts w:ascii="Arial" w:hAnsi="Arial" w:cs="Arial"/>
                <w:sz w:val="18"/>
                <w:szCs w:val="18"/>
              </w:rPr>
              <w:t>社会环境</w:t>
            </w:r>
          </w:p>
        </w:tc>
        <w:tc>
          <w:tcPr>
            <w:tcW w:w="1236" w:type="dxa"/>
            <w:vAlign w:val="center"/>
          </w:tcPr>
          <w:p>
            <w:pPr>
              <w:jc w:val="center"/>
              <w:rPr>
                <w:rFonts w:ascii="Arial" w:hAnsi="Arial" w:cs="Arial"/>
                <w:sz w:val="18"/>
                <w:szCs w:val="18"/>
              </w:rPr>
            </w:pPr>
            <w:r>
              <w:rPr>
                <w:rFonts w:ascii="Arial" w:hAnsi="Arial" w:cs="Arial"/>
                <w:sz w:val="18"/>
                <w:szCs w:val="18"/>
              </w:rPr>
              <w:t>交通</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社会经济</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Ex>
        <w:trPr>
          <w:cantSplit/>
          <w:trHeight w:val="340" w:hRule="atLeast"/>
          <w:jc w:val="center"/>
        </w:trPr>
        <w:tc>
          <w:tcPr>
            <w:tcW w:w="625" w:type="dxa"/>
            <w:vMerge w:val="continue"/>
            <w:vAlign w:val="center"/>
          </w:tcPr>
          <w:p>
            <w:pPr>
              <w:jc w:val="center"/>
              <w:rPr>
                <w:rFonts w:ascii="Arial" w:hAnsi="Arial" w:cs="Arial"/>
                <w:sz w:val="18"/>
                <w:szCs w:val="18"/>
              </w:rPr>
            </w:pPr>
          </w:p>
        </w:tc>
        <w:tc>
          <w:tcPr>
            <w:tcW w:w="1041" w:type="dxa"/>
            <w:vMerge w:val="continue"/>
            <w:vAlign w:val="center"/>
          </w:tcPr>
          <w:p>
            <w:pPr>
              <w:jc w:val="center"/>
              <w:rPr>
                <w:rFonts w:ascii="Arial" w:hAnsi="Arial" w:cs="Arial"/>
                <w:sz w:val="18"/>
                <w:szCs w:val="18"/>
              </w:rPr>
            </w:pPr>
          </w:p>
        </w:tc>
        <w:tc>
          <w:tcPr>
            <w:tcW w:w="1236" w:type="dxa"/>
            <w:vAlign w:val="center"/>
          </w:tcPr>
          <w:p>
            <w:pPr>
              <w:jc w:val="center"/>
              <w:rPr>
                <w:rFonts w:ascii="Arial" w:hAnsi="Arial" w:cs="Arial"/>
                <w:sz w:val="18"/>
                <w:szCs w:val="18"/>
              </w:rPr>
            </w:pPr>
            <w:r>
              <w:rPr>
                <w:rFonts w:ascii="Arial" w:hAnsi="Arial" w:cs="Arial"/>
                <w:sz w:val="18"/>
                <w:szCs w:val="18"/>
              </w:rPr>
              <w:t>就业机会</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r>
              <w:rPr>
                <w:rFonts w:ascii="Arial" w:hAnsi="Arial" w:cs="Arial"/>
                <w:sz w:val="18"/>
                <w:szCs w:val="18"/>
              </w:rPr>
              <w:t>++</w:t>
            </w:r>
          </w:p>
        </w:tc>
        <w:tc>
          <w:tcPr>
            <w:tcW w:w="845" w:type="dxa"/>
            <w:vAlign w:val="center"/>
          </w:tcPr>
          <w:p>
            <w:pPr>
              <w:jc w:val="center"/>
              <w:rPr>
                <w:rFonts w:ascii="Arial" w:hAnsi="Arial" w:cs="Arial"/>
                <w:sz w:val="18"/>
                <w:szCs w:val="18"/>
              </w:rPr>
            </w:pPr>
          </w:p>
        </w:tc>
        <w:tc>
          <w:tcPr>
            <w:tcW w:w="2001" w:type="dxa"/>
            <w:vMerge w:val="continue"/>
            <w:vAlign w:val="center"/>
          </w:tcPr>
          <w:p>
            <w:pPr>
              <w:jc w:val="center"/>
              <w:rPr>
                <w:rFonts w:ascii="Arial" w:hAnsi="Arial" w:cs="Arial"/>
                <w:szCs w:val="21"/>
              </w:rPr>
            </w:pPr>
          </w:p>
        </w:tc>
      </w:tr>
    </w:tbl>
    <w:p>
      <w:pPr>
        <w:pStyle w:val="5"/>
        <w:tabs>
          <w:tab w:val="left" w:pos="567"/>
        </w:tabs>
        <w:spacing w:before="62" w:beforeLines="20" w:afterLines="0" w:line="360" w:lineRule="auto"/>
        <w:ind w:left="0" w:firstLine="0"/>
      </w:pPr>
      <w:bookmarkStart w:id="50" w:name="_Toc350087809"/>
      <w:bookmarkStart w:id="51" w:name="_Toc317842962"/>
      <w:bookmarkStart w:id="52" w:name="_Toc442195665"/>
      <w:r>
        <w:t>评价因子筛选</w:t>
      </w:r>
      <w:bookmarkEnd w:id="50"/>
      <w:bookmarkEnd w:id="51"/>
      <w:bookmarkEnd w:id="52"/>
    </w:p>
    <w:p>
      <w:pPr>
        <w:pStyle w:val="78"/>
        <w:ind w:firstLine="480"/>
        <w:rPr>
          <w:rFonts w:ascii="Times New Roman" w:hAnsi="Times New Roman"/>
        </w:rPr>
      </w:pPr>
      <w:r>
        <w:rPr>
          <w:rFonts w:ascii="Times New Roman"/>
        </w:rPr>
        <w:t>通过对工程所在区域的环境现状调查，结合对本工程的环境影响因素识别及对同类项目类比调研结果，确定出本项目的环境影响评价因子。污染及评价因子确定见表</w:t>
      </w:r>
      <w:r>
        <w:rPr>
          <w:rFonts w:ascii="Times New Roman" w:hAnsi="Times New Roman"/>
        </w:rPr>
        <w:t>1.</w:t>
      </w:r>
      <w:r>
        <w:rPr>
          <w:rFonts w:hint="eastAsia" w:ascii="Times New Roman" w:hAnsi="Times New Roman"/>
        </w:rPr>
        <w:t>4</w:t>
      </w:r>
      <w:r>
        <w:rPr>
          <w:rFonts w:ascii="Times New Roman" w:hAnsi="Times New Roman"/>
        </w:rPr>
        <w:t>-2</w:t>
      </w:r>
      <w:r>
        <w:rPr>
          <w:rFonts w:ascii="Times New Roman"/>
        </w:rPr>
        <w:t>。</w:t>
      </w:r>
    </w:p>
    <w:p>
      <w:pPr>
        <w:pStyle w:val="167"/>
        <w:rPr>
          <w:sz w:val="21"/>
        </w:rPr>
      </w:pPr>
      <w:r>
        <w:rPr>
          <w:sz w:val="21"/>
        </w:rPr>
        <w:t>表</w:t>
      </w:r>
      <w:r>
        <w:rPr>
          <w:rFonts w:hint="eastAsia"/>
          <w:sz w:val="21"/>
        </w:rPr>
        <w:t>1.</w:t>
      </w:r>
      <w:r>
        <w:rPr>
          <w:rFonts w:hint="eastAsia"/>
          <w:sz w:val="21"/>
          <w:lang w:eastAsia="zh-CN"/>
        </w:rPr>
        <w:t>4</w:t>
      </w:r>
      <w:r>
        <w:rPr>
          <w:rFonts w:hint="eastAsia"/>
          <w:sz w:val="21"/>
        </w:rPr>
        <w:t>-2 污染因子识别与评价因子确定</w:t>
      </w:r>
    </w:p>
    <w:tbl>
      <w:tblPr>
        <w:tblStyle w:val="104"/>
        <w:tblW w:w="848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8"/>
        <w:gridCol w:w="1400"/>
        <w:gridCol w:w="3320"/>
        <w:gridCol w:w="30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70" w:hRule="atLeast"/>
          <w:jc w:val="center"/>
        </w:trPr>
        <w:tc>
          <w:tcPr>
            <w:tcW w:w="698" w:type="dxa"/>
            <w:vAlign w:val="center"/>
          </w:tcPr>
          <w:p>
            <w:pPr>
              <w:jc w:val="center"/>
              <w:rPr>
                <w:sz w:val="18"/>
                <w:szCs w:val="18"/>
              </w:rPr>
            </w:pPr>
            <w:r>
              <w:rPr>
                <w:rFonts w:hAnsi="宋体"/>
                <w:sz w:val="18"/>
                <w:szCs w:val="18"/>
              </w:rPr>
              <w:t>评价时段</w:t>
            </w:r>
          </w:p>
        </w:tc>
        <w:tc>
          <w:tcPr>
            <w:tcW w:w="1400" w:type="dxa"/>
            <w:vAlign w:val="center"/>
          </w:tcPr>
          <w:p>
            <w:pPr>
              <w:jc w:val="center"/>
              <w:rPr>
                <w:sz w:val="18"/>
                <w:szCs w:val="18"/>
              </w:rPr>
            </w:pPr>
            <w:r>
              <w:rPr>
                <w:rFonts w:hAnsi="宋体"/>
                <w:sz w:val="18"/>
                <w:szCs w:val="18"/>
              </w:rPr>
              <w:t>环境要素</w:t>
            </w:r>
          </w:p>
        </w:tc>
        <w:tc>
          <w:tcPr>
            <w:tcW w:w="3320" w:type="dxa"/>
            <w:vAlign w:val="center"/>
          </w:tcPr>
          <w:p>
            <w:pPr>
              <w:jc w:val="center"/>
              <w:rPr>
                <w:sz w:val="18"/>
                <w:szCs w:val="18"/>
              </w:rPr>
            </w:pPr>
            <w:r>
              <w:rPr>
                <w:rFonts w:hAnsi="宋体"/>
                <w:sz w:val="18"/>
                <w:szCs w:val="18"/>
              </w:rPr>
              <w:t>污染因子</w:t>
            </w:r>
          </w:p>
        </w:tc>
        <w:tc>
          <w:tcPr>
            <w:tcW w:w="3064" w:type="dxa"/>
            <w:vAlign w:val="center"/>
          </w:tcPr>
          <w:p>
            <w:pPr>
              <w:jc w:val="center"/>
              <w:rPr>
                <w:sz w:val="18"/>
                <w:szCs w:val="18"/>
              </w:rPr>
            </w:pPr>
            <w:r>
              <w:rPr>
                <w:rFonts w:hAnsi="宋体"/>
                <w:sz w:val="18"/>
                <w:szCs w:val="18"/>
              </w:rPr>
              <w:t>评价因子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restart"/>
            <w:vAlign w:val="center"/>
          </w:tcPr>
          <w:p>
            <w:pPr>
              <w:jc w:val="center"/>
              <w:rPr>
                <w:sz w:val="18"/>
                <w:szCs w:val="18"/>
              </w:rPr>
            </w:pPr>
            <w:r>
              <w:rPr>
                <w:rFonts w:hAnsi="宋体"/>
                <w:sz w:val="18"/>
                <w:szCs w:val="18"/>
              </w:rPr>
              <w:t>施</w:t>
            </w:r>
          </w:p>
          <w:p>
            <w:pPr>
              <w:jc w:val="center"/>
              <w:rPr>
                <w:sz w:val="18"/>
                <w:szCs w:val="18"/>
              </w:rPr>
            </w:pPr>
            <w:r>
              <w:rPr>
                <w:rFonts w:hAnsi="宋体"/>
                <w:sz w:val="18"/>
                <w:szCs w:val="18"/>
              </w:rPr>
              <w:t>工</w:t>
            </w:r>
          </w:p>
          <w:p>
            <w:pPr>
              <w:jc w:val="center"/>
              <w:rPr>
                <w:sz w:val="18"/>
                <w:szCs w:val="18"/>
              </w:rPr>
            </w:pPr>
            <w:r>
              <w:rPr>
                <w:rFonts w:hAnsi="宋体"/>
                <w:sz w:val="18"/>
                <w:szCs w:val="18"/>
              </w:rPr>
              <w:t>期</w:t>
            </w:r>
          </w:p>
        </w:tc>
        <w:tc>
          <w:tcPr>
            <w:tcW w:w="1400" w:type="dxa"/>
            <w:vAlign w:val="center"/>
          </w:tcPr>
          <w:p>
            <w:pPr>
              <w:jc w:val="center"/>
              <w:rPr>
                <w:sz w:val="18"/>
                <w:szCs w:val="18"/>
              </w:rPr>
            </w:pPr>
            <w:r>
              <w:rPr>
                <w:rFonts w:hAnsi="宋体"/>
                <w:sz w:val="18"/>
                <w:szCs w:val="18"/>
              </w:rPr>
              <w:t>环境空气</w:t>
            </w:r>
          </w:p>
        </w:tc>
        <w:tc>
          <w:tcPr>
            <w:tcW w:w="3320" w:type="dxa"/>
            <w:vAlign w:val="center"/>
          </w:tcPr>
          <w:p>
            <w:pPr>
              <w:jc w:val="center"/>
              <w:rPr>
                <w:sz w:val="18"/>
                <w:szCs w:val="18"/>
              </w:rPr>
            </w:pPr>
            <w:r>
              <w:rPr>
                <w:sz w:val="18"/>
                <w:szCs w:val="18"/>
              </w:rPr>
              <w:t>TSP</w:t>
            </w:r>
            <w:r>
              <w:rPr>
                <w:rFonts w:hAnsi="宋体"/>
                <w:sz w:val="18"/>
                <w:szCs w:val="18"/>
              </w:rPr>
              <w:t>、</w:t>
            </w:r>
            <w:r>
              <w:rPr>
                <w:sz w:val="18"/>
                <w:szCs w:val="18"/>
              </w:rPr>
              <w:t>NO</w:t>
            </w:r>
            <w:r>
              <w:rPr>
                <w:sz w:val="18"/>
                <w:szCs w:val="18"/>
                <w:vertAlign w:val="subscript"/>
              </w:rPr>
              <w:t>2</w:t>
            </w:r>
            <w:r>
              <w:rPr>
                <w:rFonts w:hAnsi="宋体"/>
                <w:sz w:val="18"/>
                <w:szCs w:val="18"/>
              </w:rPr>
              <w:t>、</w:t>
            </w:r>
            <w:r>
              <w:rPr>
                <w:sz w:val="18"/>
                <w:szCs w:val="18"/>
              </w:rPr>
              <w:t>SO</w:t>
            </w:r>
            <w:r>
              <w:rPr>
                <w:sz w:val="18"/>
                <w:szCs w:val="18"/>
                <w:vertAlign w:val="subscript"/>
              </w:rPr>
              <w:t>2</w:t>
            </w:r>
            <w:r>
              <w:rPr>
                <w:rFonts w:hAnsi="宋体"/>
                <w:sz w:val="18"/>
                <w:szCs w:val="18"/>
              </w:rPr>
              <w:t>等</w:t>
            </w:r>
          </w:p>
        </w:tc>
        <w:tc>
          <w:tcPr>
            <w:tcW w:w="3064" w:type="dxa"/>
            <w:vAlign w:val="center"/>
          </w:tcPr>
          <w:p>
            <w:pPr>
              <w:jc w:val="center"/>
              <w:rPr>
                <w:sz w:val="18"/>
                <w:szCs w:val="18"/>
              </w:rPr>
            </w:pPr>
            <w:r>
              <w:rPr>
                <w:rFonts w:hAnsi="宋体"/>
                <w:sz w:val="18"/>
                <w:szCs w:val="18"/>
              </w:rPr>
              <w:t>TSP</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水环境</w:t>
            </w:r>
          </w:p>
        </w:tc>
        <w:tc>
          <w:tcPr>
            <w:tcW w:w="3320" w:type="dxa"/>
            <w:vAlign w:val="center"/>
          </w:tcPr>
          <w:p>
            <w:pPr>
              <w:jc w:val="center"/>
              <w:rPr>
                <w:sz w:val="18"/>
                <w:szCs w:val="18"/>
              </w:rPr>
            </w:pPr>
            <w:r>
              <w:rPr>
                <w:sz w:val="18"/>
                <w:szCs w:val="18"/>
              </w:rPr>
              <w:t>SS</w:t>
            </w:r>
            <w:r>
              <w:rPr>
                <w:rFonts w:hAnsi="宋体"/>
                <w:sz w:val="18"/>
                <w:szCs w:val="18"/>
              </w:rPr>
              <w:t>、</w:t>
            </w:r>
            <w:r>
              <w:rPr>
                <w:sz w:val="18"/>
                <w:szCs w:val="18"/>
              </w:rPr>
              <w:t>COD</w:t>
            </w:r>
            <w:r>
              <w:rPr>
                <w:rFonts w:hAnsi="宋体"/>
                <w:sz w:val="18"/>
                <w:szCs w:val="18"/>
              </w:rPr>
              <w:t>、</w:t>
            </w:r>
            <w:r>
              <w:rPr>
                <w:sz w:val="18"/>
                <w:szCs w:val="18"/>
              </w:rPr>
              <w:t>BOD</w:t>
            </w:r>
            <w:r>
              <w:rPr>
                <w:sz w:val="18"/>
                <w:szCs w:val="18"/>
                <w:vertAlign w:val="subscript"/>
              </w:rPr>
              <w:t>5</w:t>
            </w:r>
            <w:r>
              <w:rPr>
                <w:rFonts w:hAnsi="宋体"/>
                <w:sz w:val="18"/>
                <w:szCs w:val="18"/>
              </w:rPr>
              <w:t>、</w:t>
            </w:r>
            <w:r>
              <w:rPr>
                <w:sz w:val="18"/>
                <w:szCs w:val="18"/>
              </w:rPr>
              <w:t>NH</w:t>
            </w:r>
            <w:r>
              <w:rPr>
                <w:sz w:val="18"/>
                <w:szCs w:val="18"/>
                <w:vertAlign w:val="subscript"/>
              </w:rPr>
              <w:t>3</w:t>
            </w:r>
            <w:r>
              <w:rPr>
                <w:sz w:val="18"/>
                <w:szCs w:val="18"/>
              </w:rPr>
              <w:t>-N</w:t>
            </w:r>
            <w:r>
              <w:rPr>
                <w:rFonts w:hAnsi="宋体"/>
                <w:sz w:val="18"/>
                <w:szCs w:val="18"/>
              </w:rPr>
              <w:t>、石油类等</w:t>
            </w:r>
          </w:p>
        </w:tc>
        <w:tc>
          <w:tcPr>
            <w:tcW w:w="3064" w:type="dxa"/>
            <w:vAlign w:val="center"/>
          </w:tcPr>
          <w:p>
            <w:pPr>
              <w:jc w:val="center"/>
              <w:rPr>
                <w:sz w:val="18"/>
                <w:szCs w:val="18"/>
              </w:rPr>
            </w:pPr>
            <w:r>
              <w:rPr>
                <w:sz w:val="18"/>
                <w:szCs w:val="18"/>
              </w:rPr>
              <w:t>SS</w:t>
            </w:r>
            <w:r>
              <w:rPr>
                <w:rFonts w:hAnsi="宋体"/>
                <w:sz w:val="18"/>
                <w:szCs w:val="18"/>
              </w:rPr>
              <w:t>、</w:t>
            </w:r>
            <w:r>
              <w:rPr>
                <w:sz w:val="18"/>
                <w:szCs w:val="18"/>
              </w:rPr>
              <w:t>COD</w:t>
            </w:r>
            <w:r>
              <w:rPr>
                <w:rFonts w:hAnsi="宋体"/>
                <w:sz w:val="18"/>
                <w:szCs w:val="18"/>
              </w:rPr>
              <w:t>、</w:t>
            </w:r>
            <w:r>
              <w:rPr>
                <w:sz w:val="18"/>
                <w:szCs w:val="18"/>
              </w:rPr>
              <w:t>BOD</w:t>
            </w:r>
            <w:r>
              <w:rPr>
                <w:sz w:val="18"/>
                <w:szCs w:val="18"/>
                <w:vertAlign w:val="subscript"/>
              </w:rPr>
              <w:t>5</w:t>
            </w:r>
            <w:r>
              <w:rPr>
                <w:rFonts w:hAnsi="宋体"/>
                <w:sz w:val="18"/>
                <w:szCs w:val="18"/>
              </w:rPr>
              <w:t>、</w:t>
            </w:r>
            <w:r>
              <w:rPr>
                <w:sz w:val="18"/>
                <w:szCs w:val="18"/>
              </w:rPr>
              <w:t>NH</w:t>
            </w:r>
            <w:r>
              <w:rPr>
                <w:sz w:val="18"/>
                <w:szCs w:val="18"/>
                <w:vertAlign w:val="subscript"/>
              </w:rPr>
              <w:t>3</w:t>
            </w:r>
            <w:r>
              <w:rPr>
                <w:sz w:val="18"/>
                <w:szCs w:val="18"/>
              </w:rPr>
              <w:t>-N</w:t>
            </w:r>
            <w:r>
              <w:rPr>
                <w:rFonts w:hAnsi="宋体"/>
                <w:sz w:val="18"/>
                <w:szCs w:val="18"/>
              </w:rPr>
              <w:t>、石油类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声环境</w:t>
            </w:r>
          </w:p>
        </w:tc>
        <w:tc>
          <w:tcPr>
            <w:tcW w:w="3320" w:type="dxa"/>
            <w:vAlign w:val="center"/>
          </w:tcPr>
          <w:p>
            <w:pPr>
              <w:jc w:val="center"/>
              <w:rPr>
                <w:sz w:val="18"/>
                <w:szCs w:val="18"/>
              </w:rPr>
            </w:pPr>
            <w:r>
              <w:rPr>
                <w:rFonts w:hAnsi="宋体"/>
                <w:sz w:val="18"/>
                <w:szCs w:val="18"/>
              </w:rPr>
              <w:t>交通噪声、机械噪声</w:t>
            </w:r>
          </w:p>
        </w:tc>
        <w:tc>
          <w:tcPr>
            <w:tcW w:w="3064" w:type="dxa"/>
            <w:vAlign w:val="center"/>
          </w:tcPr>
          <w:p>
            <w:pPr>
              <w:jc w:val="center"/>
              <w:rPr>
                <w:sz w:val="18"/>
                <w:szCs w:val="18"/>
              </w:rPr>
            </w:pPr>
            <w:r>
              <w:rPr>
                <w:sz w:val="18"/>
                <w:szCs w:val="18"/>
              </w:rPr>
              <w:t>L</w:t>
            </w:r>
            <w:r>
              <w:rPr>
                <w:sz w:val="18"/>
                <w:szCs w:val="18"/>
                <w:vertAlign w:val="subscript"/>
              </w:rPr>
              <w:t>eq</w:t>
            </w:r>
            <w:r>
              <w:rPr>
                <w:rFonts w:hAnsi="宋体"/>
                <w:sz w:val="18"/>
                <w:szCs w:val="18"/>
              </w:rPr>
              <w:t>（等效连续</w:t>
            </w:r>
            <w:r>
              <w:rPr>
                <w:sz w:val="18"/>
                <w:szCs w:val="18"/>
              </w:rPr>
              <w:t>A</w:t>
            </w:r>
            <w:r>
              <w:rPr>
                <w:rFonts w:hAnsi="宋体"/>
                <w:sz w:val="18"/>
                <w:szCs w:val="18"/>
              </w:rPr>
              <w:t>声级）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固体废物</w:t>
            </w:r>
          </w:p>
        </w:tc>
        <w:tc>
          <w:tcPr>
            <w:tcW w:w="3320" w:type="dxa"/>
            <w:vAlign w:val="center"/>
          </w:tcPr>
          <w:p>
            <w:pPr>
              <w:jc w:val="center"/>
              <w:rPr>
                <w:sz w:val="18"/>
                <w:szCs w:val="18"/>
              </w:rPr>
            </w:pPr>
            <w:r>
              <w:rPr>
                <w:rFonts w:hAnsi="宋体"/>
                <w:sz w:val="18"/>
                <w:szCs w:val="18"/>
              </w:rPr>
              <w:t>建筑垃圾、施工人员生活垃圾</w:t>
            </w:r>
          </w:p>
        </w:tc>
        <w:tc>
          <w:tcPr>
            <w:tcW w:w="3064" w:type="dxa"/>
            <w:vAlign w:val="center"/>
          </w:tcPr>
          <w:p>
            <w:pPr>
              <w:jc w:val="center"/>
              <w:rPr>
                <w:sz w:val="18"/>
                <w:szCs w:val="18"/>
              </w:rPr>
            </w:pPr>
            <w:r>
              <w:rPr>
                <w:sz w:val="18"/>
                <w:szCs w:val="18"/>
              </w:rPr>
              <w:t>建筑垃圾、施工人员生活垃圾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生态环境</w:t>
            </w:r>
          </w:p>
        </w:tc>
        <w:tc>
          <w:tcPr>
            <w:tcW w:w="3320" w:type="dxa"/>
            <w:vAlign w:val="center"/>
          </w:tcPr>
          <w:p>
            <w:pPr>
              <w:jc w:val="center"/>
              <w:rPr>
                <w:sz w:val="18"/>
                <w:szCs w:val="18"/>
              </w:rPr>
            </w:pPr>
            <w:r>
              <w:rPr>
                <w:rFonts w:hAnsi="宋体"/>
                <w:sz w:val="18"/>
                <w:szCs w:val="18"/>
              </w:rPr>
              <w:t>植被、水生生态</w:t>
            </w:r>
          </w:p>
        </w:tc>
        <w:tc>
          <w:tcPr>
            <w:tcW w:w="3064" w:type="dxa"/>
            <w:vAlign w:val="center"/>
          </w:tcPr>
          <w:p>
            <w:pPr>
              <w:jc w:val="center"/>
              <w:rPr>
                <w:sz w:val="18"/>
                <w:szCs w:val="18"/>
              </w:rPr>
            </w:pPr>
            <w:r>
              <w:rPr>
                <w:rFonts w:hAnsi="宋体"/>
                <w:sz w:val="18"/>
                <w:szCs w:val="18"/>
              </w:rPr>
              <w:t>植被、水生生态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restart"/>
            <w:vAlign w:val="center"/>
          </w:tcPr>
          <w:p>
            <w:pPr>
              <w:jc w:val="center"/>
              <w:rPr>
                <w:rFonts w:hAnsi="宋体"/>
                <w:sz w:val="18"/>
                <w:szCs w:val="18"/>
              </w:rPr>
            </w:pPr>
            <w:r>
              <w:rPr>
                <w:rFonts w:hint="eastAsia" w:hAnsi="宋体"/>
                <w:sz w:val="18"/>
                <w:szCs w:val="18"/>
              </w:rPr>
              <w:t>运</w:t>
            </w:r>
          </w:p>
          <w:p>
            <w:pPr>
              <w:jc w:val="center"/>
              <w:rPr>
                <w:rFonts w:hAnsi="宋体"/>
                <w:sz w:val="18"/>
                <w:szCs w:val="18"/>
              </w:rPr>
            </w:pPr>
            <w:r>
              <w:rPr>
                <w:rFonts w:hint="eastAsia" w:hAnsi="宋体"/>
                <w:sz w:val="18"/>
                <w:szCs w:val="18"/>
              </w:rPr>
              <w:t>营</w:t>
            </w:r>
          </w:p>
          <w:p>
            <w:pPr>
              <w:jc w:val="center"/>
              <w:rPr>
                <w:sz w:val="18"/>
                <w:szCs w:val="18"/>
              </w:rPr>
            </w:pPr>
            <w:r>
              <w:rPr>
                <w:rFonts w:hint="eastAsia" w:hAnsi="宋体"/>
                <w:sz w:val="18"/>
                <w:szCs w:val="18"/>
              </w:rPr>
              <w:t>期</w:t>
            </w:r>
          </w:p>
        </w:tc>
        <w:tc>
          <w:tcPr>
            <w:tcW w:w="1400" w:type="dxa"/>
            <w:vAlign w:val="center"/>
          </w:tcPr>
          <w:p>
            <w:pPr>
              <w:jc w:val="center"/>
              <w:rPr>
                <w:sz w:val="18"/>
                <w:szCs w:val="18"/>
              </w:rPr>
            </w:pPr>
            <w:r>
              <w:rPr>
                <w:rFonts w:hAnsi="宋体"/>
                <w:sz w:val="18"/>
                <w:szCs w:val="18"/>
              </w:rPr>
              <w:t>环境空气</w:t>
            </w:r>
          </w:p>
        </w:tc>
        <w:tc>
          <w:tcPr>
            <w:tcW w:w="3320" w:type="dxa"/>
            <w:vAlign w:val="center"/>
          </w:tcPr>
          <w:p>
            <w:pPr>
              <w:jc w:val="center"/>
              <w:rPr>
                <w:sz w:val="18"/>
                <w:szCs w:val="18"/>
              </w:rPr>
            </w:pPr>
            <w:r>
              <w:rPr>
                <w:rFonts w:hint="eastAsia"/>
                <w:sz w:val="18"/>
                <w:szCs w:val="18"/>
              </w:rPr>
              <w:t>TSP、PM</w:t>
            </w:r>
            <w:r>
              <w:rPr>
                <w:rFonts w:hint="eastAsia"/>
                <w:sz w:val="18"/>
                <w:szCs w:val="18"/>
                <w:vertAlign w:val="subscript"/>
              </w:rPr>
              <w:t>10</w:t>
            </w:r>
            <w:r>
              <w:rPr>
                <w:rFonts w:hint="eastAsia"/>
                <w:sz w:val="18"/>
                <w:szCs w:val="18"/>
              </w:rPr>
              <w:t>、NO</w:t>
            </w:r>
            <w:r>
              <w:rPr>
                <w:rFonts w:hint="eastAsia"/>
                <w:sz w:val="18"/>
                <w:szCs w:val="18"/>
                <w:vertAlign w:val="subscript"/>
              </w:rPr>
              <w:t>2</w:t>
            </w:r>
            <w:r>
              <w:rPr>
                <w:rFonts w:hint="eastAsia"/>
                <w:sz w:val="18"/>
                <w:szCs w:val="18"/>
              </w:rPr>
              <w:t>、SO</w:t>
            </w:r>
            <w:r>
              <w:rPr>
                <w:rFonts w:hint="eastAsia"/>
                <w:sz w:val="18"/>
                <w:szCs w:val="18"/>
                <w:vertAlign w:val="subscript"/>
              </w:rPr>
              <w:t>2</w:t>
            </w:r>
          </w:p>
        </w:tc>
        <w:tc>
          <w:tcPr>
            <w:tcW w:w="3064" w:type="dxa"/>
            <w:vAlign w:val="center"/>
          </w:tcPr>
          <w:p>
            <w:pPr>
              <w:jc w:val="center"/>
              <w:rPr>
                <w:sz w:val="18"/>
                <w:szCs w:val="18"/>
              </w:rPr>
            </w:pPr>
            <w:r>
              <w:rPr>
                <w:rFonts w:hint="eastAsia"/>
                <w:sz w:val="18"/>
                <w:szCs w:val="18"/>
              </w:rPr>
              <w:t>TSP、PM</w:t>
            </w:r>
            <w:r>
              <w:rPr>
                <w:rFonts w:hint="eastAsia"/>
                <w:sz w:val="18"/>
                <w:szCs w:val="18"/>
                <w:vertAlign w:val="subscript"/>
              </w:rPr>
              <w:t>10</w:t>
            </w:r>
            <w:r>
              <w:rPr>
                <w:rFonts w:hint="eastAsia"/>
                <w:sz w:val="18"/>
                <w:szCs w:val="18"/>
              </w:rPr>
              <w:t>、NO</w:t>
            </w:r>
            <w:r>
              <w:rPr>
                <w:rFonts w:hint="eastAsia"/>
                <w:sz w:val="18"/>
                <w:szCs w:val="18"/>
                <w:vertAlign w:val="subscript"/>
              </w:rPr>
              <w:t>2</w:t>
            </w:r>
            <w:r>
              <w:rPr>
                <w:rFonts w:hint="eastAsia"/>
                <w:sz w:val="18"/>
                <w:szCs w:val="18"/>
              </w:rPr>
              <w:t>、SO</w:t>
            </w:r>
            <w:r>
              <w:rPr>
                <w:rFonts w:hint="eastAsia"/>
                <w:sz w:val="18"/>
                <w:szCs w:val="18"/>
                <w:vertAlign w:val="sub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水环境</w:t>
            </w:r>
          </w:p>
        </w:tc>
        <w:tc>
          <w:tcPr>
            <w:tcW w:w="3320" w:type="dxa"/>
            <w:vAlign w:val="center"/>
          </w:tcPr>
          <w:p>
            <w:pPr>
              <w:jc w:val="center"/>
              <w:rPr>
                <w:sz w:val="18"/>
                <w:szCs w:val="18"/>
              </w:rPr>
            </w:pPr>
            <w:r>
              <w:rPr>
                <w:rFonts w:hint="eastAsia"/>
                <w:sz w:val="18"/>
                <w:szCs w:val="18"/>
              </w:rPr>
              <w:t>河势、水文、防洪和</w:t>
            </w:r>
            <w:r>
              <w:rPr>
                <w:sz w:val="18"/>
                <w:szCs w:val="18"/>
              </w:rPr>
              <w:t>COD</w:t>
            </w:r>
            <w:r>
              <w:rPr>
                <w:rFonts w:hAnsi="宋体"/>
                <w:sz w:val="18"/>
                <w:szCs w:val="18"/>
              </w:rPr>
              <w:t>、石油类等</w:t>
            </w:r>
          </w:p>
        </w:tc>
        <w:tc>
          <w:tcPr>
            <w:tcW w:w="3064" w:type="dxa"/>
            <w:vAlign w:val="center"/>
          </w:tcPr>
          <w:p>
            <w:pPr>
              <w:jc w:val="center"/>
              <w:rPr>
                <w:sz w:val="18"/>
                <w:szCs w:val="18"/>
              </w:rPr>
            </w:pPr>
            <w:r>
              <w:rPr>
                <w:rFonts w:hint="eastAsia"/>
                <w:sz w:val="18"/>
                <w:szCs w:val="18"/>
              </w:rPr>
              <w:t>河势、水文、防洪、</w:t>
            </w:r>
            <w:r>
              <w:rPr>
                <w:sz w:val="18"/>
                <w:szCs w:val="18"/>
              </w:rPr>
              <w:t>COD</w:t>
            </w:r>
            <w:r>
              <w:rPr>
                <w:rFonts w:hAnsi="宋体"/>
                <w:sz w:val="18"/>
                <w:szCs w:val="18"/>
              </w:rPr>
              <w:t>、石油类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声环境</w:t>
            </w:r>
          </w:p>
        </w:tc>
        <w:tc>
          <w:tcPr>
            <w:tcW w:w="3320" w:type="dxa"/>
            <w:vAlign w:val="center"/>
          </w:tcPr>
          <w:p>
            <w:pPr>
              <w:jc w:val="center"/>
              <w:rPr>
                <w:sz w:val="18"/>
                <w:szCs w:val="18"/>
              </w:rPr>
            </w:pPr>
            <w:r>
              <w:rPr>
                <w:rFonts w:hAnsi="宋体"/>
                <w:sz w:val="18"/>
                <w:szCs w:val="18"/>
              </w:rPr>
              <w:t>交通噪声、机械噪声</w:t>
            </w:r>
          </w:p>
        </w:tc>
        <w:tc>
          <w:tcPr>
            <w:tcW w:w="3064" w:type="dxa"/>
            <w:vAlign w:val="center"/>
          </w:tcPr>
          <w:p>
            <w:pPr>
              <w:jc w:val="center"/>
              <w:rPr>
                <w:sz w:val="18"/>
                <w:szCs w:val="18"/>
              </w:rPr>
            </w:pPr>
            <w:r>
              <w:rPr>
                <w:sz w:val="18"/>
                <w:szCs w:val="18"/>
              </w:rPr>
              <w:t>L</w:t>
            </w:r>
            <w:r>
              <w:rPr>
                <w:sz w:val="18"/>
                <w:szCs w:val="18"/>
                <w:vertAlign w:val="subscript"/>
              </w:rPr>
              <w:t>eq</w:t>
            </w:r>
            <w:r>
              <w:rPr>
                <w:rFonts w:hAnsi="宋体"/>
                <w:sz w:val="18"/>
                <w:szCs w:val="18"/>
              </w:rPr>
              <w:t>（等效连续</w:t>
            </w:r>
            <w:r>
              <w:rPr>
                <w:sz w:val="18"/>
                <w:szCs w:val="18"/>
              </w:rPr>
              <w:t>A</w:t>
            </w:r>
            <w:r>
              <w:rPr>
                <w:rFonts w:hAnsi="宋体"/>
                <w:sz w:val="18"/>
                <w:szCs w:val="18"/>
              </w:rPr>
              <w:t>声级）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固体废物</w:t>
            </w:r>
          </w:p>
        </w:tc>
        <w:tc>
          <w:tcPr>
            <w:tcW w:w="3320" w:type="dxa"/>
            <w:vAlign w:val="center"/>
          </w:tcPr>
          <w:p>
            <w:pPr>
              <w:jc w:val="center"/>
              <w:rPr>
                <w:sz w:val="18"/>
                <w:szCs w:val="18"/>
              </w:rPr>
            </w:pPr>
            <w:r>
              <w:rPr>
                <w:rFonts w:hAnsi="宋体"/>
                <w:sz w:val="18"/>
                <w:szCs w:val="18"/>
              </w:rPr>
              <w:t>船舶垃圾和陆域生活、生产垃圾</w:t>
            </w:r>
            <w:r>
              <w:rPr>
                <w:rFonts w:hint="eastAsia" w:hAnsi="宋体"/>
                <w:sz w:val="18"/>
                <w:szCs w:val="18"/>
              </w:rPr>
              <w:t>、危险废物</w:t>
            </w:r>
          </w:p>
        </w:tc>
        <w:tc>
          <w:tcPr>
            <w:tcW w:w="3064" w:type="dxa"/>
            <w:vAlign w:val="center"/>
          </w:tcPr>
          <w:p>
            <w:pPr>
              <w:jc w:val="center"/>
              <w:rPr>
                <w:sz w:val="18"/>
                <w:szCs w:val="18"/>
              </w:rPr>
            </w:pPr>
            <w:r>
              <w:rPr>
                <w:rFonts w:hAnsi="宋体"/>
                <w:sz w:val="18"/>
                <w:szCs w:val="18"/>
              </w:rPr>
              <w:t>船舶垃圾</w:t>
            </w:r>
            <w:r>
              <w:rPr>
                <w:rFonts w:hint="eastAsia" w:hAnsi="宋体"/>
                <w:sz w:val="18"/>
                <w:szCs w:val="18"/>
              </w:rPr>
              <w:t>、</w:t>
            </w:r>
            <w:r>
              <w:rPr>
                <w:rFonts w:hAnsi="宋体"/>
                <w:sz w:val="18"/>
                <w:szCs w:val="18"/>
              </w:rPr>
              <w:t>生活垃圾</w:t>
            </w:r>
            <w:r>
              <w:rPr>
                <w:rFonts w:hint="eastAsia" w:hAnsi="宋体"/>
                <w:sz w:val="18"/>
                <w:szCs w:val="18"/>
              </w:rPr>
              <w:t>和危废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生态影响</w:t>
            </w:r>
          </w:p>
        </w:tc>
        <w:tc>
          <w:tcPr>
            <w:tcW w:w="3320" w:type="dxa"/>
            <w:vAlign w:val="center"/>
          </w:tcPr>
          <w:p>
            <w:pPr>
              <w:jc w:val="center"/>
              <w:rPr>
                <w:rFonts w:hAnsi="宋体"/>
                <w:sz w:val="18"/>
                <w:szCs w:val="18"/>
              </w:rPr>
            </w:pPr>
            <w:r>
              <w:rPr>
                <w:rFonts w:hAnsi="宋体"/>
                <w:sz w:val="18"/>
                <w:szCs w:val="18"/>
              </w:rPr>
              <w:t>水生生态影响</w:t>
            </w:r>
          </w:p>
        </w:tc>
        <w:tc>
          <w:tcPr>
            <w:tcW w:w="3064" w:type="dxa"/>
            <w:vAlign w:val="center"/>
          </w:tcPr>
          <w:p>
            <w:pPr>
              <w:jc w:val="center"/>
              <w:rPr>
                <w:sz w:val="18"/>
                <w:szCs w:val="18"/>
              </w:rPr>
            </w:pPr>
            <w:r>
              <w:rPr>
                <w:rFonts w:hAnsi="宋体"/>
                <w:sz w:val="18"/>
                <w:szCs w:val="18"/>
              </w:rPr>
              <w:t>水生生态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98" w:type="dxa"/>
            <w:vMerge w:val="continue"/>
            <w:vAlign w:val="center"/>
          </w:tcPr>
          <w:p>
            <w:pPr>
              <w:jc w:val="center"/>
              <w:rPr>
                <w:sz w:val="18"/>
                <w:szCs w:val="18"/>
              </w:rPr>
            </w:pPr>
          </w:p>
        </w:tc>
        <w:tc>
          <w:tcPr>
            <w:tcW w:w="1400" w:type="dxa"/>
            <w:vAlign w:val="center"/>
          </w:tcPr>
          <w:p>
            <w:pPr>
              <w:jc w:val="center"/>
              <w:rPr>
                <w:sz w:val="18"/>
                <w:szCs w:val="18"/>
              </w:rPr>
            </w:pPr>
            <w:r>
              <w:rPr>
                <w:rFonts w:hAnsi="宋体"/>
                <w:sz w:val="18"/>
                <w:szCs w:val="18"/>
              </w:rPr>
              <w:t>突发性事故</w:t>
            </w:r>
          </w:p>
        </w:tc>
        <w:tc>
          <w:tcPr>
            <w:tcW w:w="3320" w:type="dxa"/>
            <w:vAlign w:val="center"/>
          </w:tcPr>
          <w:p>
            <w:pPr>
              <w:jc w:val="center"/>
              <w:rPr>
                <w:rFonts w:hAnsi="宋体"/>
                <w:sz w:val="18"/>
                <w:szCs w:val="18"/>
              </w:rPr>
            </w:pPr>
            <w:r>
              <w:rPr>
                <w:rFonts w:hAnsi="宋体"/>
                <w:sz w:val="18"/>
                <w:szCs w:val="18"/>
              </w:rPr>
              <w:t>溢油</w:t>
            </w:r>
          </w:p>
        </w:tc>
        <w:tc>
          <w:tcPr>
            <w:tcW w:w="3064" w:type="dxa"/>
            <w:vAlign w:val="center"/>
          </w:tcPr>
          <w:p>
            <w:pPr>
              <w:jc w:val="center"/>
              <w:rPr>
                <w:rFonts w:hAnsi="宋体"/>
                <w:sz w:val="18"/>
                <w:szCs w:val="18"/>
              </w:rPr>
            </w:pPr>
            <w:r>
              <w:rPr>
                <w:rFonts w:hAnsi="宋体"/>
                <w:sz w:val="18"/>
                <w:szCs w:val="18"/>
              </w:rPr>
              <w:t>石油类</w:t>
            </w:r>
          </w:p>
        </w:tc>
      </w:tr>
      <w:bookmarkEnd w:id="44"/>
      <w:bookmarkEnd w:id="45"/>
      <w:bookmarkEnd w:id="46"/>
    </w:tbl>
    <w:p>
      <w:pPr>
        <w:pStyle w:val="5"/>
        <w:tabs>
          <w:tab w:val="left" w:pos="567"/>
        </w:tabs>
        <w:spacing w:before="62" w:beforeLines="20" w:afterLines="0" w:line="360" w:lineRule="auto"/>
        <w:ind w:left="0" w:firstLine="0"/>
      </w:pPr>
      <w:bookmarkStart w:id="53" w:name="_Toc442195666"/>
      <w:bookmarkStart w:id="54" w:name="_Toc317842957"/>
      <w:bookmarkStart w:id="55" w:name="_Toc350087804"/>
      <w:r>
        <w:t>评价范围</w:t>
      </w:r>
      <w:bookmarkEnd w:id="53"/>
      <w:bookmarkEnd w:id="54"/>
      <w:bookmarkEnd w:id="55"/>
    </w:p>
    <w:p>
      <w:pPr>
        <w:pStyle w:val="78"/>
        <w:ind w:firstLine="480"/>
        <w:rPr>
          <w:rFonts w:ascii="Times New Roman" w:hAnsi="Times New Roman"/>
        </w:rPr>
      </w:pPr>
      <w:r>
        <w:rPr>
          <w:rFonts w:ascii="Times New Roman"/>
        </w:rPr>
        <w:t>项目评价范围见下表</w:t>
      </w:r>
      <w:r>
        <w:rPr>
          <w:rFonts w:ascii="Times New Roman" w:hAnsi="Times New Roman"/>
        </w:rPr>
        <w:t>1.</w:t>
      </w:r>
      <w:r>
        <w:rPr>
          <w:rFonts w:hint="eastAsia" w:ascii="Times New Roman" w:hAnsi="Times New Roman"/>
        </w:rPr>
        <w:t>4</w:t>
      </w:r>
      <w:r>
        <w:rPr>
          <w:rFonts w:ascii="Times New Roman" w:hAnsi="Times New Roman"/>
        </w:rPr>
        <w:t>-</w:t>
      </w:r>
      <w:r>
        <w:rPr>
          <w:rFonts w:hint="eastAsia" w:ascii="Times New Roman" w:hAnsi="Times New Roman"/>
        </w:rPr>
        <w:t>3</w:t>
      </w:r>
      <w:r>
        <w:rPr>
          <w:rFonts w:ascii="Times New Roman"/>
        </w:rPr>
        <w:t>。</w:t>
      </w:r>
    </w:p>
    <w:p>
      <w:pPr>
        <w:pStyle w:val="78"/>
        <w:spacing w:line="240" w:lineRule="exact"/>
        <w:ind w:firstLine="0" w:firstLineChars="0"/>
        <w:jc w:val="center"/>
        <w:rPr>
          <w:rFonts w:ascii="Times New Roman"/>
          <w:b/>
          <w:sz w:val="21"/>
          <w:szCs w:val="21"/>
        </w:rPr>
      </w:pPr>
      <w:bookmarkStart w:id="56" w:name="_Toc118086772"/>
      <w:bookmarkStart w:id="57" w:name="_Toc117566802"/>
      <w:bookmarkStart w:id="58" w:name="_Toc118173049"/>
      <w:bookmarkStart w:id="59" w:name="_Toc118105680"/>
      <w:bookmarkStart w:id="60" w:name="_Toc119392594"/>
      <w:bookmarkStart w:id="61" w:name="_Toc122333327"/>
    </w:p>
    <w:p>
      <w:pPr>
        <w:pStyle w:val="78"/>
        <w:spacing w:line="240" w:lineRule="exact"/>
        <w:ind w:firstLine="0" w:firstLineChars="0"/>
        <w:jc w:val="center"/>
        <w:rPr>
          <w:rFonts w:ascii="Times New Roman"/>
          <w:b/>
          <w:sz w:val="21"/>
          <w:szCs w:val="21"/>
        </w:rPr>
      </w:pPr>
      <w:r>
        <w:rPr>
          <w:rFonts w:ascii="Times New Roman"/>
          <w:b/>
          <w:sz w:val="21"/>
          <w:szCs w:val="21"/>
        </w:rPr>
        <w:t>表1.</w:t>
      </w:r>
      <w:r>
        <w:rPr>
          <w:rFonts w:hint="eastAsia" w:ascii="Times New Roman"/>
          <w:b/>
          <w:sz w:val="21"/>
          <w:szCs w:val="21"/>
        </w:rPr>
        <w:t>4</w:t>
      </w:r>
      <w:r>
        <w:rPr>
          <w:rFonts w:ascii="Times New Roman"/>
          <w:b/>
          <w:sz w:val="21"/>
          <w:szCs w:val="21"/>
        </w:rPr>
        <w:t>-</w:t>
      </w:r>
      <w:r>
        <w:rPr>
          <w:rFonts w:hint="eastAsia" w:ascii="Times New Roman"/>
          <w:b/>
          <w:sz w:val="21"/>
          <w:szCs w:val="21"/>
        </w:rPr>
        <w:t xml:space="preserve">3 </w:t>
      </w:r>
      <w:r>
        <w:rPr>
          <w:rFonts w:ascii="Times New Roman"/>
          <w:b/>
          <w:sz w:val="21"/>
          <w:szCs w:val="21"/>
        </w:rPr>
        <w:t>项目评价范围一览表</w:t>
      </w:r>
      <w:bookmarkEnd w:id="56"/>
      <w:bookmarkEnd w:id="57"/>
      <w:bookmarkEnd w:id="58"/>
      <w:bookmarkEnd w:id="59"/>
      <w:bookmarkEnd w:id="60"/>
      <w:bookmarkEnd w:id="61"/>
    </w:p>
    <w:tbl>
      <w:tblPr>
        <w:tblStyle w:val="104"/>
        <w:tblW w:w="918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90"/>
        <w:gridCol w:w="759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tblHeader/>
          <w:jc w:val="center"/>
        </w:trPr>
        <w:tc>
          <w:tcPr>
            <w:tcW w:w="1590" w:type="dxa"/>
            <w:vAlign w:val="center"/>
          </w:tcPr>
          <w:p>
            <w:pPr>
              <w:snapToGrid w:val="0"/>
              <w:spacing w:line="400" w:lineRule="exact"/>
              <w:jc w:val="center"/>
              <w:rPr>
                <w:color w:val="000000"/>
                <w:szCs w:val="21"/>
              </w:rPr>
            </w:pPr>
            <w:r>
              <w:rPr>
                <w:color w:val="000000"/>
                <w:szCs w:val="21"/>
              </w:rPr>
              <w:t>评价因子</w:t>
            </w:r>
          </w:p>
        </w:tc>
        <w:tc>
          <w:tcPr>
            <w:tcW w:w="7590" w:type="dxa"/>
            <w:vAlign w:val="center"/>
          </w:tcPr>
          <w:p>
            <w:pPr>
              <w:snapToGrid w:val="0"/>
              <w:spacing w:line="400" w:lineRule="exact"/>
              <w:jc w:val="center"/>
              <w:rPr>
                <w:color w:val="000000"/>
                <w:szCs w:val="21"/>
              </w:rPr>
            </w:pPr>
            <w:r>
              <w:rPr>
                <w:color w:val="000000"/>
                <w:szCs w:val="21"/>
              </w:rPr>
              <w:t>评价范围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color w:val="000000"/>
                <w:szCs w:val="21"/>
              </w:rPr>
            </w:pPr>
            <w:r>
              <w:rPr>
                <w:rFonts w:hint="eastAsia"/>
                <w:color w:val="000000"/>
                <w:szCs w:val="21"/>
              </w:rPr>
              <w:t>地表水环境</w:t>
            </w:r>
          </w:p>
        </w:tc>
        <w:tc>
          <w:tcPr>
            <w:tcW w:w="7590" w:type="dxa"/>
            <w:vAlign w:val="center"/>
          </w:tcPr>
          <w:p>
            <w:pPr>
              <w:snapToGrid w:val="0"/>
              <w:spacing w:line="400" w:lineRule="exact"/>
              <w:jc w:val="center"/>
              <w:rPr>
                <w:szCs w:val="21"/>
              </w:rPr>
            </w:pPr>
            <w:r>
              <w:rPr>
                <w:rFonts w:hint="eastAsia"/>
                <w:szCs w:val="21"/>
              </w:rPr>
              <w:t>13#泊位至下游约5.0</w:t>
            </w:r>
            <w:r>
              <w:rPr>
                <w:szCs w:val="21"/>
              </w:rPr>
              <w:t xml:space="preserve">km </w:t>
            </w:r>
            <w:r>
              <w:rPr>
                <w:rFonts w:hint="eastAsia"/>
                <w:szCs w:val="21"/>
              </w:rPr>
              <w:t>范围内水域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color w:val="000000"/>
                <w:szCs w:val="21"/>
              </w:rPr>
            </w:pPr>
            <w:r>
              <w:rPr>
                <w:rFonts w:hint="eastAsia"/>
                <w:color w:val="000000"/>
                <w:szCs w:val="21"/>
              </w:rPr>
              <w:t>环境空气</w:t>
            </w:r>
          </w:p>
        </w:tc>
        <w:tc>
          <w:tcPr>
            <w:tcW w:w="7590" w:type="dxa"/>
            <w:vAlign w:val="center"/>
          </w:tcPr>
          <w:p>
            <w:pPr>
              <w:snapToGrid w:val="0"/>
              <w:spacing w:line="400" w:lineRule="exact"/>
              <w:jc w:val="center"/>
              <w:rPr>
                <w:szCs w:val="21"/>
              </w:rPr>
            </w:pPr>
            <w:r>
              <w:rPr>
                <w:rFonts w:hint="eastAsia"/>
                <w:szCs w:val="21"/>
              </w:rPr>
              <w:t>以白洋港陆域作业区为中心，D10%为半径的圆形区域或半径2.5km 范围区域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color w:val="000000"/>
                <w:szCs w:val="21"/>
              </w:rPr>
            </w:pPr>
            <w:r>
              <w:rPr>
                <w:rFonts w:hint="eastAsia"/>
                <w:color w:val="000000"/>
                <w:szCs w:val="21"/>
              </w:rPr>
              <w:t>噪声</w:t>
            </w:r>
          </w:p>
        </w:tc>
        <w:tc>
          <w:tcPr>
            <w:tcW w:w="7590" w:type="dxa"/>
            <w:vAlign w:val="center"/>
          </w:tcPr>
          <w:p>
            <w:pPr>
              <w:snapToGrid w:val="0"/>
              <w:spacing w:line="400" w:lineRule="exact"/>
              <w:jc w:val="center"/>
              <w:rPr>
                <w:szCs w:val="21"/>
              </w:rPr>
            </w:pPr>
            <w:r>
              <w:rPr>
                <w:rFonts w:hint="eastAsia"/>
                <w:szCs w:val="21"/>
              </w:rPr>
              <w:t>项目厂界外</w:t>
            </w:r>
            <w:r>
              <w:rPr>
                <w:szCs w:val="21"/>
              </w:rPr>
              <w:t xml:space="preserve">1m </w:t>
            </w:r>
            <w:r>
              <w:rPr>
                <w:rFonts w:hint="eastAsia"/>
                <w:szCs w:val="21"/>
              </w:rPr>
              <w:t>及界外200</w:t>
            </w:r>
            <w:r>
              <w:rPr>
                <w:szCs w:val="21"/>
              </w:rPr>
              <w:t>m</w:t>
            </w:r>
            <w:r>
              <w:rPr>
                <w:rFonts w:hint="eastAsia"/>
                <w:szCs w:val="21"/>
              </w:rPr>
              <w:t>范围内的敏感目标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szCs w:val="21"/>
              </w:rPr>
            </w:pPr>
            <w:r>
              <w:rPr>
                <w:rFonts w:hint="eastAsia"/>
                <w:szCs w:val="21"/>
              </w:rPr>
              <w:t>生态环境</w:t>
            </w:r>
          </w:p>
        </w:tc>
        <w:tc>
          <w:tcPr>
            <w:tcW w:w="7590" w:type="dxa"/>
            <w:vAlign w:val="center"/>
          </w:tcPr>
          <w:p>
            <w:pPr>
              <w:snapToGrid w:val="0"/>
              <w:spacing w:line="400" w:lineRule="exact"/>
              <w:jc w:val="center"/>
              <w:rPr>
                <w:szCs w:val="21"/>
              </w:rPr>
            </w:pPr>
            <w:r>
              <w:rPr>
                <w:szCs w:val="21"/>
              </w:rPr>
              <w:t>陆域评价范围主要是工程占地区域</w:t>
            </w:r>
            <w:r>
              <w:rPr>
                <w:rFonts w:hint="eastAsia"/>
                <w:szCs w:val="21"/>
              </w:rPr>
              <w:t>及区域外300m</w:t>
            </w:r>
            <w:r>
              <w:rPr>
                <w:szCs w:val="21"/>
              </w:rPr>
              <w:t>；水域同</w:t>
            </w:r>
            <w:r>
              <w:rPr>
                <w:rFonts w:hint="eastAsia"/>
                <w:szCs w:val="21"/>
              </w:rPr>
              <w:t>地表</w:t>
            </w:r>
            <w:r>
              <w:rPr>
                <w:szCs w:val="21"/>
              </w:rPr>
              <w:t>水环境评价范围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color w:val="000000"/>
                <w:szCs w:val="21"/>
              </w:rPr>
            </w:pPr>
            <w:r>
              <w:rPr>
                <w:color w:val="000000"/>
                <w:szCs w:val="21"/>
              </w:rPr>
              <w:t>环境风险</w:t>
            </w:r>
          </w:p>
        </w:tc>
        <w:tc>
          <w:tcPr>
            <w:tcW w:w="7590" w:type="dxa"/>
            <w:vAlign w:val="center"/>
          </w:tcPr>
          <w:p>
            <w:pPr>
              <w:snapToGrid w:val="0"/>
              <w:spacing w:line="400" w:lineRule="exact"/>
              <w:jc w:val="center"/>
              <w:rPr>
                <w:szCs w:val="21"/>
              </w:rPr>
            </w:pPr>
            <w:r>
              <w:rPr>
                <w:rFonts w:hint="eastAsia"/>
                <w:szCs w:val="21"/>
              </w:rPr>
              <w:t>13#泊位至下游约5.0</w:t>
            </w:r>
            <w:r>
              <w:rPr>
                <w:szCs w:val="21"/>
              </w:rPr>
              <w:t xml:space="preserve">km </w:t>
            </w:r>
            <w:r>
              <w:rPr>
                <w:rFonts w:hint="eastAsia"/>
                <w:szCs w:val="21"/>
              </w:rPr>
              <w:t>范围内水域。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7" w:hRule="atLeast"/>
          <w:jc w:val="center"/>
        </w:trPr>
        <w:tc>
          <w:tcPr>
            <w:tcW w:w="1590" w:type="dxa"/>
            <w:vAlign w:val="center"/>
          </w:tcPr>
          <w:p>
            <w:pPr>
              <w:snapToGrid w:val="0"/>
              <w:spacing w:line="400" w:lineRule="exact"/>
              <w:jc w:val="center"/>
              <w:rPr>
                <w:color w:val="000000"/>
                <w:szCs w:val="21"/>
              </w:rPr>
            </w:pPr>
            <w:r>
              <w:rPr>
                <w:rFonts w:hint="eastAsia"/>
                <w:color w:val="000000"/>
                <w:szCs w:val="21"/>
              </w:rPr>
              <w:t>社会环境</w:t>
            </w:r>
          </w:p>
        </w:tc>
        <w:tc>
          <w:tcPr>
            <w:tcW w:w="7590" w:type="dxa"/>
            <w:vAlign w:val="center"/>
          </w:tcPr>
          <w:p>
            <w:pPr>
              <w:snapToGrid w:val="0"/>
              <w:spacing w:line="400" w:lineRule="exact"/>
              <w:jc w:val="center"/>
              <w:rPr>
                <w:szCs w:val="21"/>
              </w:rPr>
            </w:pPr>
            <w:r>
              <w:rPr>
                <w:rFonts w:hint="eastAsia"/>
                <w:szCs w:val="21"/>
              </w:rPr>
              <w:t>项目直接影响区</w:t>
            </w:r>
          </w:p>
        </w:tc>
      </w:tr>
    </w:tbl>
    <w:p>
      <w:pPr>
        <w:autoSpaceDE w:val="0"/>
        <w:autoSpaceDN w:val="0"/>
        <w:adjustRightInd w:val="0"/>
        <w:spacing w:line="360" w:lineRule="auto"/>
        <w:ind w:left="-52" w:leftChars="-202" w:hanging="372" w:hangingChars="177"/>
        <w:jc w:val="center"/>
        <w:sectPr>
          <w:headerReference r:id="rId6" w:type="default"/>
          <w:footerReference r:id="rId7" w:type="default"/>
          <w:pgSz w:w="11906" w:h="16838"/>
          <w:pgMar w:top="1440" w:right="1274" w:bottom="1440" w:left="1800" w:header="851" w:footer="992" w:gutter="0"/>
          <w:pgNumType w:start="1"/>
          <w:cols w:space="425" w:num="1"/>
          <w:docGrid w:type="lines" w:linePitch="312" w:charSpace="0"/>
        </w:sectPr>
      </w:pPr>
      <w:r>
        <w:br w:type="page"/>
      </w:r>
    </w:p>
    <w:p>
      <w:pPr>
        <w:pStyle w:val="2"/>
        <w:tabs>
          <w:tab w:val="left" w:pos="2520"/>
          <w:tab w:val="left" w:pos="4736"/>
          <w:tab w:val="clear" w:pos="6231"/>
        </w:tabs>
        <w:ind w:left="2880" w:hanging="2340"/>
      </w:pPr>
      <w:bookmarkStart w:id="62" w:name="_Toc442195667"/>
      <w:bookmarkStart w:id="63" w:name="_Toc429299118"/>
      <w:r>
        <w:rPr>
          <w:rFonts w:hint="eastAsia"/>
        </w:rPr>
        <w:t>工程</w:t>
      </w:r>
      <w:r>
        <w:t>概况</w:t>
      </w:r>
      <w:bookmarkEnd w:id="62"/>
      <w:bookmarkEnd w:id="63"/>
    </w:p>
    <w:p>
      <w:pPr>
        <w:pStyle w:val="3"/>
        <w:tabs>
          <w:tab w:val="left" w:pos="426"/>
          <w:tab w:val="left" w:pos="2200"/>
          <w:tab w:val="clear" w:pos="3695"/>
        </w:tabs>
        <w:spacing w:beforeLines="0" w:afterLines="0"/>
        <w:ind w:left="0" w:firstLine="0"/>
      </w:pPr>
      <w:bookmarkStart w:id="64" w:name="_Toc442195668"/>
      <w:bookmarkStart w:id="65" w:name="_Toc429299119"/>
      <w:r>
        <w:rPr>
          <w:rFonts w:hint="eastAsia"/>
        </w:rPr>
        <w:t>位置、投资和进度</w:t>
      </w:r>
      <w:bookmarkEnd w:id="64"/>
    </w:p>
    <w:p>
      <w:pPr>
        <w:spacing w:line="360" w:lineRule="auto"/>
        <w:ind w:firstLine="480" w:firstLineChars="200"/>
        <w:rPr>
          <w:sz w:val="24"/>
        </w:rPr>
      </w:pPr>
      <w:r>
        <w:rPr>
          <w:rFonts w:hint="eastAsia"/>
          <w:sz w:val="24"/>
        </w:rPr>
        <w:t>世行贷款湖北宜昌市三峡现代物流中心基础设施项目位于宜昌高新技术产业开发区白洋工业园区内，</w:t>
      </w:r>
      <w:r>
        <w:rPr>
          <w:sz w:val="24"/>
        </w:rPr>
        <w:t>包括白洋港口作业区、白洋物流园区、道路交通基础设施、三峡现代物流信息中心以及项目管理与机构能力建设</w:t>
      </w:r>
      <w:r>
        <w:rPr>
          <w:rFonts w:hint="eastAsia"/>
          <w:sz w:val="24"/>
        </w:rPr>
        <w:t>，选址于宜昌市主城区以东长江北岸枝江市白洋镇。本项目总投资298918.24万元，其中申请世行贷款2亿美元，折合12.7亿人民币（按汇率1:6.35），占总投资的42.49%，资本金8.97亿元，占总投资的30%，国内银行贷款8.22亿元，占总投资的27.51%。</w:t>
      </w:r>
    </w:p>
    <w:p>
      <w:pPr>
        <w:spacing w:line="360" w:lineRule="auto"/>
        <w:ind w:firstLine="480" w:firstLineChars="200"/>
        <w:rPr>
          <w:sz w:val="24"/>
        </w:rPr>
      </w:pPr>
      <w:r>
        <w:rPr>
          <w:rFonts w:hint="eastAsia"/>
          <w:sz w:val="24"/>
        </w:rPr>
        <w:t>地理位置图2.1-1。</w:t>
      </w:r>
    </w:p>
    <w:p>
      <w:pPr>
        <w:spacing w:line="360" w:lineRule="auto"/>
        <w:rPr>
          <w:sz w:val="24"/>
        </w:rPr>
      </w:pPr>
      <w:r>
        <w:drawing>
          <wp:inline distT="0" distB="0" distL="0" distR="0">
            <wp:extent cx="5752465" cy="3781425"/>
            <wp:effectExtent l="0" t="0" r="635" b="0"/>
            <wp:docPr id="225" name="图片 225" descr="C:\Users\kouxueyong\Desktop\附图\附图1 地理位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C:\Users\kouxueyong\Desktop\附图\附图1 地理位置图.jpg"/>
                    <pic:cNvPicPr>
                      <a:picLocks noChangeAspect="1" noChangeArrowheads="1"/>
                    </pic:cNvPicPr>
                  </pic:nvPicPr>
                  <pic:blipFill>
                    <a:blip r:embed="rId21" cstate="print">
                      <a:extLst>
                        <a:ext uri="{28A0092B-C50C-407E-A947-70E740481C1C}">
                          <a14:useLocalDpi xmlns:a14="http://schemas.microsoft.com/office/drawing/2010/main" val="0"/>
                        </a:ext>
                      </a:extLst>
                    </a:blip>
                    <a:srcRect t="7064" b="5299"/>
                    <a:stretch>
                      <a:fillRect/>
                    </a:stretch>
                  </pic:blipFill>
                  <pic:spPr>
                    <a:xfrm>
                      <a:off x="0" y="0"/>
                      <a:ext cx="5757259" cy="3784160"/>
                    </a:xfrm>
                    <a:prstGeom prst="rect">
                      <a:avLst/>
                    </a:prstGeom>
                    <a:noFill/>
                    <a:ln>
                      <a:noFill/>
                    </a:ln>
                  </pic:spPr>
                </pic:pic>
              </a:graphicData>
            </a:graphic>
          </wp:inline>
        </w:drawing>
      </w:r>
    </w:p>
    <w:p>
      <w:pPr>
        <w:spacing w:line="360" w:lineRule="auto"/>
        <w:jc w:val="center"/>
        <w:rPr>
          <w:sz w:val="28"/>
          <w:szCs w:val="28"/>
        </w:rPr>
      </w:pPr>
      <w:r>
        <w:rPr>
          <w:rFonts w:hint="eastAsia"/>
          <w:sz w:val="28"/>
          <w:szCs w:val="28"/>
        </w:rPr>
        <w:t>图2.1-1地理位置图</w:t>
      </w:r>
    </w:p>
    <w:p>
      <w:pPr>
        <w:pStyle w:val="4"/>
        <w:spacing w:line="360" w:lineRule="auto"/>
        <w:ind w:firstLine="480"/>
        <w:rPr>
          <w:sz w:val="24"/>
        </w:rPr>
      </w:pPr>
      <w:r>
        <w:rPr>
          <w:rFonts w:hint="eastAsia"/>
          <w:sz w:val="24"/>
        </w:rPr>
        <w:t>项目拟从2016年6月起至2019年6月止，总工期为3年，详见表2.1-1。</w:t>
      </w:r>
    </w:p>
    <w:p>
      <w:pPr>
        <w:pStyle w:val="4"/>
        <w:ind w:firstLine="422"/>
        <w:jc w:val="center"/>
        <w:rPr>
          <w:b/>
        </w:rPr>
      </w:pPr>
      <w:r>
        <w:rPr>
          <w:rFonts w:hint="eastAsia"/>
          <w:b/>
        </w:rPr>
        <w:t>表2.1-1湖北宜昌市三峡现代物流中心基础设施项目建设时序表</w:t>
      </w:r>
    </w:p>
    <w:tbl>
      <w:tblPr>
        <w:tblStyle w:val="104"/>
        <w:tblW w:w="789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5"/>
        <w:gridCol w:w="4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2"/>
              <w:rPr>
                <w:rFonts w:ascii="Times New Roman" w:hAnsi="Times New Roman" w:eastAsia="宋体"/>
                <w:b/>
                <w:sz w:val="21"/>
                <w:szCs w:val="21"/>
              </w:rPr>
            </w:pPr>
            <w:r>
              <w:rPr>
                <w:rFonts w:ascii="Times New Roman" w:hAnsi="Times New Roman" w:eastAsia="宋体"/>
                <w:b/>
                <w:sz w:val="21"/>
                <w:szCs w:val="21"/>
              </w:rPr>
              <w:t>建设内容</w:t>
            </w:r>
          </w:p>
        </w:tc>
        <w:tc>
          <w:tcPr>
            <w:tcW w:w="4917" w:type="dxa"/>
            <w:vAlign w:val="center"/>
          </w:tcPr>
          <w:p>
            <w:pPr>
              <w:pStyle w:val="1073"/>
              <w:ind w:firstLine="422"/>
              <w:rPr>
                <w:rFonts w:ascii="Times New Roman" w:hAnsi="Times New Roman" w:eastAsia="宋体"/>
                <w:b/>
                <w:sz w:val="21"/>
                <w:szCs w:val="21"/>
              </w:rPr>
            </w:pPr>
            <w:r>
              <w:rPr>
                <w:rFonts w:ascii="Times New Roman" w:hAnsi="Times New Roman" w:eastAsia="宋体"/>
                <w:b/>
                <w:sz w:val="21"/>
                <w:szCs w:val="21"/>
              </w:rPr>
              <w:t>建设时间安排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0"/>
              <w:rPr>
                <w:rFonts w:ascii="Times New Roman" w:hAnsi="Times New Roman" w:eastAsia="宋体"/>
                <w:sz w:val="21"/>
                <w:szCs w:val="21"/>
              </w:rPr>
            </w:pPr>
            <w:r>
              <w:rPr>
                <w:rFonts w:ascii="Times New Roman" w:hAnsi="Times New Roman" w:eastAsia="宋体"/>
                <w:sz w:val="21"/>
                <w:szCs w:val="21"/>
              </w:rPr>
              <w:t>港口作业区基础设施</w:t>
            </w:r>
          </w:p>
        </w:tc>
        <w:tc>
          <w:tcPr>
            <w:tcW w:w="4917" w:type="dxa"/>
            <w:vAlign w:val="center"/>
          </w:tcPr>
          <w:p>
            <w:pPr>
              <w:pStyle w:val="1073"/>
              <w:ind w:firstLine="420"/>
              <w:jc w:val="both"/>
              <w:rPr>
                <w:rFonts w:ascii="Times New Roman" w:hAnsi="Times New Roman" w:eastAsia="宋体"/>
                <w:sz w:val="21"/>
                <w:szCs w:val="21"/>
              </w:rPr>
            </w:pPr>
            <w:r>
              <w:rPr>
                <w:rFonts w:ascii="Times New Roman" w:hAnsi="Times New Roman" w:eastAsia="宋体"/>
                <w:sz w:val="21"/>
                <w:szCs w:val="21"/>
              </w:rPr>
              <w:t>2016年6月</w:t>
            </w:r>
            <w:r>
              <w:rPr>
                <w:rFonts w:hint="eastAsia" w:ascii="Times New Roman" w:hAnsi="Times New Roman" w:eastAsia="宋体"/>
                <w:sz w:val="21"/>
                <w:szCs w:val="21"/>
              </w:rPr>
              <w:t>~</w:t>
            </w:r>
            <w:r>
              <w:rPr>
                <w:rFonts w:ascii="Times New Roman" w:hAnsi="Times New Roman" w:eastAsia="宋体"/>
                <w:sz w:val="21"/>
                <w:szCs w:val="21"/>
              </w:rPr>
              <w:t>2019年6月，建设期3年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0"/>
              <w:rPr>
                <w:rFonts w:ascii="Times New Roman" w:hAnsi="Times New Roman" w:eastAsia="宋体"/>
                <w:sz w:val="21"/>
                <w:szCs w:val="21"/>
              </w:rPr>
            </w:pPr>
            <w:r>
              <w:rPr>
                <w:rFonts w:ascii="Times New Roman" w:hAnsi="Times New Roman" w:eastAsia="宋体"/>
                <w:sz w:val="21"/>
                <w:szCs w:val="21"/>
              </w:rPr>
              <w:t>物流园区基础设施</w:t>
            </w:r>
          </w:p>
        </w:tc>
        <w:tc>
          <w:tcPr>
            <w:tcW w:w="4917" w:type="dxa"/>
            <w:vAlign w:val="center"/>
          </w:tcPr>
          <w:p>
            <w:pPr>
              <w:pStyle w:val="1073"/>
              <w:ind w:firstLine="420"/>
              <w:jc w:val="both"/>
              <w:rPr>
                <w:rFonts w:ascii="Times New Roman" w:hAnsi="Times New Roman" w:eastAsia="宋体"/>
                <w:sz w:val="21"/>
                <w:szCs w:val="21"/>
              </w:rPr>
            </w:pPr>
            <w:r>
              <w:rPr>
                <w:rFonts w:ascii="Times New Roman" w:hAnsi="Times New Roman" w:eastAsia="宋体"/>
                <w:sz w:val="21"/>
                <w:szCs w:val="21"/>
              </w:rPr>
              <w:t>2016年6月</w:t>
            </w:r>
            <w:r>
              <w:rPr>
                <w:rFonts w:hint="eastAsia" w:ascii="Times New Roman" w:hAnsi="Times New Roman" w:eastAsia="宋体"/>
                <w:sz w:val="21"/>
                <w:szCs w:val="21"/>
              </w:rPr>
              <w:t>~</w:t>
            </w:r>
            <w:r>
              <w:rPr>
                <w:rFonts w:ascii="Times New Roman" w:hAnsi="Times New Roman" w:eastAsia="宋体"/>
                <w:sz w:val="21"/>
                <w:szCs w:val="21"/>
              </w:rPr>
              <w:t>2019年6月，建设期3年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0"/>
              <w:rPr>
                <w:rFonts w:ascii="Times New Roman" w:hAnsi="Times New Roman" w:eastAsia="宋体"/>
                <w:sz w:val="21"/>
                <w:szCs w:val="21"/>
              </w:rPr>
            </w:pPr>
            <w:r>
              <w:rPr>
                <w:rFonts w:ascii="Times New Roman" w:hAnsi="Times New Roman" w:eastAsia="宋体"/>
                <w:sz w:val="21"/>
                <w:szCs w:val="21"/>
              </w:rPr>
              <w:t>道路交通工程</w:t>
            </w:r>
          </w:p>
        </w:tc>
        <w:tc>
          <w:tcPr>
            <w:tcW w:w="4917" w:type="dxa"/>
            <w:vAlign w:val="center"/>
          </w:tcPr>
          <w:p>
            <w:pPr>
              <w:pStyle w:val="1073"/>
              <w:ind w:firstLine="420"/>
              <w:jc w:val="both"/>
              <w:rPr>
                <w:rFonts w:ascii="Times New Roman" w:hAnsi="Times New Roman" w:eastAsia="宋体"/>
                <w:sz w:val="21"/>
                <w:szCs w:val="21"/>
              </w:rPr>
            </w:pPr>
            <w:r>
              <w:rPr>
                <w:rFonts w:ascii="Times New Roman" w:hAnsi="Times New Roman" w:eastAsia="宋体"/>
                <w:sz w:val="21"/>
                <w:szCs w:val="21"/>
              </w:rPr>
              <w:t>2016年6月</w:t>
            </w:r>
            <w:r>
              <w:rPr>
                <w:rFonts w:hint="eastAsia" w:ascii="Times New Roman" w:hAnsi="Times New Roman" w:eastAsia="宋体"/>
                <w:sz w:val="21"/>
                <w:szCs w:val="21"/>
              </w:rPr>
              <w:t>~</w:t>
            </w:r>
            <w:r>
              <w:rPr>
                <w:rFonts w:ascii="Times New Roman" w:hAnsi="Times New Roman" w:eastAsia="宋体"/>
                <w:sz w:val="21"/>
                <w:szCs w:val="21"/>
              </w:rPr>
              <w:t>2018年6月，建设期2年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0"/>
              <w:rPr>
                <w:rFonts w:ascii="Times New Roman" w:hAnsi="Times New Roman" w:eastAsia="宋体"/>
                <w:sz w:val="21"/>
                <w:szCs w:val="21"/>
              </w:rPr>
            </w:pPr>
            <w:r>
              <w:rPr>
                <w:rFonts w:ascii="Times New Roman" w:hAnsi="Times New Roman" w:eastAsia="宋体"/>
                <w:sz w:val="21"/>
                <w:szCs w:val="21"/>
              </w:rPr>
              <w:t>三峡现代物流信息中心</w:t>
            </w:r>
          </w:p>
        </w:tc>
        <w:tc>
          <w:tcPr>
            <w:tcW w:w="4917" w:type="dxa"/>
            <w:vAlign w:val="center"/>
          </w:tcPr>
          <w:p>
            <w:pPr>
              <w:pStyle w:val="1073"/>
              <w:ind w:firstLine="420"/>
              <w:jc w:val="both"/>
              <w:rPr>
                <w:rFonts w:ascii="Times New Roman" w:hAnsi="Times New Roman" w:eastAsia="宋体"/>
                <w:sz w:val="21"/>
                <w:szCs w:val="21"/>
              </w:rPr>
            </w:pPr>
            <w:r>
              <w:rPr>
                <w:rFonts w:ascii="Times New Roman" w:hAnsi="Times New Roman" w:eastAsia="宋体"/>
                <w:sz w:val="21"/>
                <w:szCs w:val="21"/>
              </w:rPr>
              <w:t>2016年10月</w:t>
            </w:r>
            <w:r>
              <w:rPr>
                <w:rFonts w:hint="eastAsia" w:ascii="Times New Roman" w:hAnsi="Times New Roman" w:eastAsia="宋体"/>
                <w:sz w:val="21"/>
                <w:szCs w:val="21"/>
              </w:rPr>
              <w:t>~</w:t>
            </w:r>
            <w:r>
              <w:rPr>
                <w:rFonts w:ascii="Times New Roman" w:hAnsi="Times New Roman" w:eastAsia="宋体"/>
                <w:sz w:val="21"/>
                <w:szCs w:val="21"/>
              </w:rPr>
              <w:t>2018年9月，建设期2年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 w:hRule="atLeast"/>
          <w:jc w:val="center"/>
        </w:trPr>
        <w:tc>
          <w:tcPr>
            <w:tcW w:w="2975" w:type="dxa"/>
            <w:vAlign w:val="center"/>
          </w:tcPr>
          <w:p>
            <w:pPr>
              <w:pStyle w:val="1073"/>
              <w:ind w:firstLine="420"/>
              <w:rPr>
                <w:rFonts w:ascii="Times New Roman" w:hAnsi="Times New Roman" w:eastAsia="宋体"/>
                <w:sz w:val="21"/>
                <w:szCs w:val="21"/>
              </w:rPr>
            </w:pPr>
            <w:r>
              <w:rPr>
                <w:rFonts w:ascii="Times New Roman" w:hAnsi="Times New Roman" w:eastAsia="宋体"/>
                <w:sz w:val="21"/>
                <w:szCs w:val="21"/>
              </w:rPr>
              <w:t>项目管理与机构能力建设</w:t>
            </w:r>
          </w:p>
        </w:tc>
        <w:tc>
          <w:tcPr>
            <w:tcW w:w="4917" w:type="dxa"/>
            <w:vAlign w:val="center"/>
          </w:tcPr>
          <w:p>
            <w:pPr>
              <w:pStyle w:val="1073"/>
              <w:ind w:firstLine="420"/>
              <w:jc w:val="both"/>
              <w:rPr>
                <w:rFonts w:ascii="Times New Roman" w:hAnsi="Times New Roman" w:eastAsia="宋体"/>
                <w:sz w:val="21"/>
                <w:szCs w:val="21"/>
              </w:rPr>
            </w:pPr>
            <w:r>
              <w:rPr>
                <w:rFonts w:ascii="Times New Roman" w:hAnsi="Times New Roman" w:eastAsia="宋体"/>
                <w:sz w:val="21"/>
                <w:szCs w:val="21"/>
              </w:rPr>
              <w:t>2016年6月</w:t>
            </w:r>
            <w:r>
              <w:rPr>
                <w:rFonts w:hint="eastAsia" w:ascii="Times New Roman" w:hAnsi="Times New Roman" w:eastAsia="宋体"/>
                <w:sz w:val="21"/>
                <w:szCs w:val="21"/>
              </w:rPr>
              <w:t>~</w:t>
            </w:r>
            <w:r>
              <w:rPr>
                <w:rFonts w:ascii="Times New Roman" w:hAnsi="Times New Roman" w:eastAsia="宋体"/>
                <w:sz w:val="21"/>
                <w:szCs w:val="21"/>
              </w:rPr>
              <w:t>2019年6月，建设期3年</w:t>
            </w:r>
          </w:p>
        </w:tc>
      </w:tr>
    </w:tbl>
    <w:p>
      <w:pPr>
        <w:pStyle w:val="3"/>
        <w:tabs>
          <w:tab w:val="left" w:pos="426"/>
          <w:tab w:val="left" w:pos="2200"/>
          <w:tab w:val="clear" w:pos="3695"/>
        </w:tabs>
        <w:spacing w:beforeLines="0" w:afterLines="0"/>
        <w:ind w:left="0" w:firstLine="0"/>
      </w:pPr>
      <w:bookmarkStart w:id="66" w:name="_Toc442195669"/>
      <w:r>
        <w:rPr>
          <w:rFonts w:hint="eastAsia"/>
        </w:rPr>
        <w:t>项目</w:t>
      </w:r>
      <w:bookmarkEnd w:id="65"/>
      <w:r>
        <w:rPr>
          <w:rFonts w:hint="eastAsia"/>
        </w:rPr>
        <w:t>内容</w:t>
      </w:r>
      <w:bookmarkEnd w:id="66"/>
    </w:p>
    <w:p>
      <w:pPr>
        <w:adjustRightInd w:val="0"/>
        <w:snapToGrid w:val="0"/>
        <w:spacing w:line="360" w:lineRule="auto"/>
        <w:ind w:firstLine="480" w:firstLineChars="200"/>
        <w:rPr>
          <w:sz w:val="24"/>
        </w:rPr>
      </w:pPr>
      <w:r>
        <w:rPr>
          <w:sz w:val="24"/>
        </w:rPr>
        <w:t>主要建设内容包括</w:t>
      </w:r>
      <w:bookmarkStart w:id="67" w:name="OLE_LINK3"/>
      <w:r>
        <w:rPr>
          <w:sz w:val="24"/>
        </w:rPr>
        <w:t>：白洋港口作业区、白洋物流园区、道路交通基础设施、三峡现代物流信息中心以及项目管理与机构能力建设等5个子项17个</w:t>
      </w:r>
      <w:r>
        <w:rPr>
          <w:rFonts w:hint="eastAsia"/>
          <w:sz w:val="24"/>
        </w:rPr>
        <w:t>次</w:t>
      </w:r>
      <w:r>
        <w:rPr>
          <w:sz w:val="24"/>
        </w:rPr>
        <w:t>子项</w:t>
      </w:r>
      <w:bookmarkEnd w:id="67"/>
      <w:r>
        <w:rPr>
          <w:sz w:val="24"/>
        </w:rPr>
        <w:t>，项目总占地面积约158.61hm</w:t>
      </w:r>
      <w:r>
        <w:rPr>
          <w:sz w:val="24"/>
          <w:vertAlign w:val="superscript"/>
        </w:rPr>
        <w:t>2</w:t>
      </w:r>
      <w:r>
        <w:rPr>
          <w:sz w:val="24"/>
        </w:rPr>
        <w:t>。</w:t>
      </w:r>
    </w:p>
    <w:p>
      <w:pPr>
        <w:spacing w:line="360" w:lineRule="auto"/>
        <w:ind w:firstLine="480" w:firstLineChars="200"/>
        <w:rPr>
          <w:sz w:val="24"/>
        </w:rPr>
      </w:pPr>
      <w:r>
        <w:rPr>
          <w:rFonts w:hint="eastAsia"/>
          <w:sz w:val="24"/>
        </w:rPr>
        <w:t>详细见表2.2-1，项目平面布置见第三章方案比选。</w:t>
      </w:r>
    </w:p>
    <w:p>
      <w:pPr>
        <w:spacing w:line="360" w:lineRule="auto"/>
        <w:jc w:val="center"/>
        <w:rPr>
          <w:b/>
        </w:rPr>
      </w:pPr>
      <w:r>
        <w:rPr>
          <w:b/>
        </w:rPr>
        <w:t>表</w:t>
      </w:r>
      <w:r>
        <w:rPr>
          <w:rFonts w:hint="eastAsia"/>
          <w:b/>
        </w:rPr>
        <w:t>2.2-1</w:t>
      </w:r>
      <w:r>
        <w:rPr>
          <w:b/>
        </w:rPr>
        <w:t xml:space="preserve"> 项目建设内容一览表</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1"/>
        <w:gridCol w:w="1649"/>
        <w:gridCol w:w="6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70" w:hRule="atLeast"/>
          <w:tblHeader/>
        </w:trPr>
        <w:tc>
          <w:tcPr>
            <w:tcW w:w="80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Ansi="宋体"/>
                <w:b/>
                <w:bCs/>
                <w:szCs w:val="21"/>
              </w:rPr>
            </w:pPr>
            <w:r>
              <w:rPr>
                <w:rFonts w:hAnsi="宋体"/>
                <w:b/>
                <w:bCs/>
                <w:szCs w:val="21"/>
              </w:rPr>
              <w:t>编号</w:t>
            </w:r>
          </w:p>
        </w:tc>
        <w:tc>
          <w:tcPr>
            <w:tcW w:w="164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Ansi="宋体"/>
                <w:b/>
                <w:bCs/>
                <w:szCs w:val="21"/>
              </w:rPr>
            </w:pPr>
            <w:r>
              <w:rPr>
                <w:rFonts w:hAnsi="宋体"/>
                <w:b/>
                <w:bCs/>
                <w:szCs w:val="21"/>
              </w:rPr>
              <w:t>子项目名称</w:t>
            </w:r>
          </w:p>
        </w:tc>
        <w:tc>
          <w:tcPr>
            <w:tcW w:w="659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Ansi="宋体"/>
                <w:b/>
                <w:bCs/>
                <w:szCs w:val="21"/>
              </w:rPr>
            </w:pPr>
            <w:r>
              <w:rPr>
                <w:rFonts w:hAnsi="宋体"/>
                <w:b/>
                <w:bCs/>
                <w:szCs w:val="21"/>
              </w:rPr>
              <w:t>项目内容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70" w:hRule="atLeast"/>
        </w:trPr>
        <w:tc>
          <w:tcPr>
            <w:tcW w:w="9048" w:type="dxa"/>
            <w:gridSpan w:val="3"/>
            <w:shd w:val="clear" w:color="auto" w:fill="D9D9D9"/>
            <w:vAlign w:val="center"/>
          </w:tcPr>
          <w:p>
            <w:pPr>
              <w:ind w:firstLine="480"/>
              <w:rPr>
                <w:b/>
                <w:bCs/>
                <w:szCs w:val="21"/>
              </w:rPr>
            </w:pPr>
            <w:r>
              <w:rPr>
                <w:b/>
                <w:bCs/>
                <w:szCs w:val="21"/>
              </w:rPr>
              <w:t>A</w:t>
            </w:r>
            <w:r>
              <w:rPr>
                <w:rFonts w:hint="eastAsia"/>
                <w:b/>
                <w:bCs/>
                <w:szCs w:val="21"/>
              </w:rPr>
              <w:t xml:space="preserve"> </w:t>
            </w:r>
            <w:r>
              <w:rPr>
                <w:rFonts w:hint="eastAsia" w:hAnsi="宋体"/>
                <w:b/>
                <w:bCs/>
                <w:szCs w:val="21"/>
              </w:rPr>
              <w:t>白洋</w:t>
            </w:r>
            <w:r>
              <w:rPr>
                <w:rFonts w:hAnsi="宋体"/>
                <w:b/>
                <w:bCs/>
                <w:szCs w:val="21"/>
              </w:rPr>
              <w:t>港口作业区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140" w:hRule="atLeast"/>
        </w:trPr>
        <w:tc>
          <w:tcPr>
            <w:tcW w:w="801" w:type="dxa"/>
            <w:vAlign w:val="center"/>
          </w:tcPr>
          <w:p>
            <w:pPr>
              <w:jc w:val="center"/>
              <w:rPr>
                <w:szCs w:val="21"/>
              </w:rPr>
            </w:pPr>
            <w:r>
              <w:rPr>
                <w:szCs w:val="21"/>
              </w:rPr>
              <w:t>A1</w:t>
            </w:r>
          </w:p>
        </w:tc>
        <w:tc>
          <w:tcPr>
            <w:tcW w:w="1649" w:type="dxa"/>
            <w:vAlign w:val="center"/>
          </w:tcPr>
          <w:p>
            <w:pPr>
              <w:jc w:val="center"/>
              <w:rPr>
                <w:szCs w:val="21"/>
              </w:rPr>
            </w:pPr>
            <w:r>
              <w:rPr>
                <w:rFonts w:hAnsi="宋体"/>
                <w:szCs w:val="21"/>
              </w:rPr>
              <w:t>水域</w:t>
            </w:r>
          </w:p>
        </w:tc>
        <w:tc>
          <w:tcPr>
            <w:tcW w:w="6598" w:type="dxa"/>
            <w:vAlign w:val="center"/>
          </w:tcPr>
          <w:p>
            <w:pPr>
              <w:ind w:firstLine="480"/>
              <w:jc w:val="left"/>
              <w:rPr>
                <w:szCs w:val="21"/>
              </w:rPr>
            </w:pPr>
            <w:r>
              <w:rPr>
                <w:rFonts w:hAnsi="宋体"/>
                <w:szCs w:val="21"/>
              </w:rPr>
              <w:t>本工程水域建设高桩梁板码头、浮码头和斜坡码头各</w:t>
            </w:r>
            <w:r>
              <w:rPr>
                <w:szCs w:val="21"/>
              </w:rPr>
              <w:t>2</w:t>
            </w:r>
            <w:r>
              <w:rPr>
                <w:rFonts w:hAnsi="宋体"/>
                <w:szCs w:val="21"/>
              </w:rPr>
              <w:t>座，其中</w:t>
            </w:r>
            <w:r>
              <w:rPr>
                <w:rFonts w:hAnsi="宋体"/>
                <w:b/>
                <w:szCs w:val="21"/>
              </w:rPr>
              <w:t>高桩梁板码头</w:t>
            </w:r>
            <w:r>
              <w:rPr>
                <w:rFonts w:hAnsi="宋体"/>
                <w:szCs w:val="21"/>
              </w:rPr>
              <w:t>尺寸分别为</w:t>
            </w:r>
            <w:r>
              <w:rPr>
                <w:szCs w:val="21"/>
              </w:rPr>
              <w:t>216×28m</w:t>
            </w:r>
            <w:r>
              <w:rPr>
                <w:rFonts w:hAnsi="宋体"/>
                <w:szCs w:val="21"/>
              </w:rPr>
              <w:t>和</w:t>
            </w:r>
            <w:r>
              <w:rPr>
                <w:szCs w:val="21"/>
              </w:rPr>
              <w:t>102×28m</w:t>
            </w:r>
            <w:r>
              <w:rPr>
                <w:rFonts w:hAnsi="宋体"/>
                <w:szCs w:val="21"/>
              </w:rPr>
              <w:t>，</w:t>
            </w:r>
            <w:r>
              <w:rPr>
                <w:rFonts w:hAnsi="宋体"/>
                <w:b/>
                <w:szCs w:val="21"/>
              </w:rPr>
              <w:t>浮码头</w:t>
            </w:r>
            <w:r>
              <w:rPr>
                <w:rFonts w:hAnsi="宋体"/>
                <w:szCs w:val="21"/>
              </w:rPr>
              <w:t>前方配备</w:t>
            </w:r>
            <w:r>
              <w:rPr>
                <w:szCs w:val="21"/>
              </w:rPr>
              <w:t>90×16m</w:t>
            </w:r>
            <w:r>
              <w:rPr>
                <w:rFonts w:hAnsi="宋体"/>
                <w:szCs w:val="21"/>
              </w:rPr>
              <w:t>钢制趸船，</w:t>
            </w:r>
            <w:r>
              <w:rPr>
                <w:rFonts w:hAnsi="宋体"/>
                <w:b/>
                <w:szCs w:val="21"/>
              </w:rPr>
              <w:t>斜坡码头</w:t>
            </w:r>
            <w:r>
              <w:rPr>
                <w:rFonts w:hAnsi="宋体"/>
                <w:szCs w:val="21"/>
              </w:rPr>
              <w:t>前方配备</w:t>
            </w:r>
            <w:r>
              <w:rPr>
                <w:szCs w:val="21"/>
              </w:rPr>
              <w:t>65×16m</w:t>
            </w:r>
            <w:r>
              <w:rPr>
                <w:rFonts w:hAnsi="宋体"/>
                <w:szCs w:val="21"/>
              </w:rPr>
              <w:t>钢制趸船。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90" w:hRule="atLeast"/>
        </w:trPr>
        <w:tc>
          <w:tcPr>
            <w:tcW w:w="801" w:type="dxa"/>
            <w:tcBorders>
              <w:bottom w:val="single" w:color="auto" w:sz="4" w:space="0"/>
            </w:tcBorders>
            <w:vAlign w:val="center"/>
          </w:tcPr>
          <w:p>
            <w:pPr>
              <w:jc w:val="center"/>
              <w:rPr>
                <w:szCs w:val="21"/>
              </w:rPr>
            </w:pPr>
            <w:r>
              <w:rPr>
                <w:szCs w:val="21"/>
              </w:rPr>
              <w:t>A2</w:t>
            </w:r>
          </w:p>
        </w:tc>
        <w:tc>
          <w:tcPr>
            <w:tcW w:w="1649" w:type="dxa"/>
            <w:tcBorders>
              <w:bottom w:val="single" w:color="auto" w:sz="4" w:space="0"/>
            </w:tcBorders>
            <w:vAlign w:val="center"/>
          </w:tcPr>
          <w:p>
            <w:pPr>
              <w:jc w:val="center"/>
              <w:rPr>
                <w:szCs w:val="21"/>
              </w:rPr>
            </w:pPr>
            <w:r>
              <w:rPr>
                <w:rFonts w:hAnsi="宋体"/>
                <w:szCs w:val="21"/>
              </w:rPr>
              <w:t>陆域</w:t>
            </w:r>
          </w:p>
        </w:tc>
        <w:tc>
          <w:tcPr>
            <w:tcW w:w="6598" w:type="dxa"/>
            <w:tcBorders>
              <w:bottom w:val="single" w:color="auto" w:sz="4" w:space="0"/>
            </w:tcBorders>
            <w:vAlign w:val="center"/>
          </w:tcPr>
          <w:p>
            <w:pPr>
              <w:ind w:firstLine="480"/>
              <w:jc w:val="left"/>
              <w:rPr>
                <w:szCs w:val="21"/>
              </w:rPr>
            </w:pPr>
            <w:r>
              <w:rPr>
                <w:rFonts w:hAnsi="宋体"/>
                <w:szCs w:val="21"/>
              </w:rPr>
              <w:t>建设</w:t>
            </w:r>
            <w:r>
              <w:rPr>
                <w:szCs w:val="21"/>
              </w:rPr>
              <w:t>3000</w:t>
            </w:r>
            <w:r>
              <w:rPr>
                <w:rFonts w:hAnsi="宋体"/>
                <w:szCs w:val="21"/>
              </w:rPr>
              <w:t>吨级</w:t>
            </w:r>
            <w:r>
              <w:rPr>
                <w:rFonts w:hAnsi="宋体"/>
                <w:b/>
                <w:szCs w:val="21"/>
              </w:rPr>
              <w:t>钢铁重件泊位</w:t>
            </w:r>
            <w:r>
              <w:rPr>
                <w:szCs w:val="21"/>
              </w:rPr>
              <w:t>1</w:t>
            </w:r>
            <w:r>
              <w:rPr>
                <w:rFonts w:hAnsi="宋体"/>
                <w:szCs w:val="21"/>
              </w:rPr>
              <w:t>个、</w:t>
            </w:r>
            <w:r>
              <w:rPr>
                <w:rFonts w:hAnsi="宋体"/>
                <w:b/>
                <w:szCs w:val="21"/>
              </w:rPr>
              <w:t>散货泊位</w:t>
            </w:r>
            <w:r>
              <w:rPr>
                <w:szCs w:val="21"/>
              </w:rPr>
              <w:t>4</w:t>
            </w:r>
            <w:r>
              <w:rPr>
                <w:rFonts w:hAnsi="宋体"/>
                <w:szCs w:val="21"/>
              </w:rPr>
              <w:t>个、</w:t>
            </w:r>
            <w:r>
              <w:rPr>
                <w:rFonts w:hAnsi="宋体"/>
                <w:b/>
                <w:szCs w:val="21"/>
              </w:rPr>
              <w:t>多用途泊位</w:t>
            </w:r>
            <w:r>
              <w:rPr>
                <w:szCs w:val="21"/>
              </w:rPr>
              <w:t>2</w:t>
            </w:r>
            <w:r>
              <w:rPr>
                <w:rFonts w:hAnsi="宋体"/>
                <w:szCs w:val="21"/>
              </w:rPr>
              <w:t>个，占用岸线长度</w:t>
            </w:r>
            <w:r>
              <w:rPr>
                <w:szCs w:val="21"/>
              </w:rPr>
              <w:t>1036m</w:t>
            </w:r>
            <w:r>
              <w:rPr>
                <w:rFonts w:hAnsi="宋体"/>
                <w:szCs w:val="21"/>
              </w:rPr>
              <w:t>，港区陆域总占地面积</w:t>
            </w:r>
            <w:r>
              <w:rPr>
                <w:rFonts w:hint="eastAsia" w:hAnsi="宋体"/>
                <w:szCs w:val="21"/>
              </w:rPr>
              <w:t>44.9hm</w:t>
            </w:r>
            <w:r>
              <w:rPr>
                <w:rFonts w:hint="eastAsia" w:hAnsi="宋体"/>
                <w:szCs w:val="21"/>
                <w:vertAlign w:val="superscript"/>
              </w:rPr>
              <w:t>2</w:t>
            </w:r>
            <w:r>
              <w:rPr>
                <w:rFonts w:hAnsi="宋体"/>
                <w:szCs w:val="21"/>
              </w:rPr>
              <w:t>（含大堤）；</w:t>
            </w:r>
            <w:r>
              <w:rPr>
                <w:rFonts w:hint="eastAsia" w:hAnsi="宋体"/>
                <w:szCs w:val="21"/>
              </w:rPr>
              <w:t>设计吞吐量为700万吨/年（其中件杂120万吨/年，散货500万吨/年，集装箱8万TEU（折合80万吨）/年；</w:t>
            </w:r>
            <w:r>
              <w:rPr>
                <w:rFonts w:hAnsi="宋体"/>
                <w:szCs w:val="21"/>
              </w:rPr>
              <w:t>配备相应的装卸工艺设备；配套建设堆场、道路、生产及生产辅助设施。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30" w:hRule="atLeast"/>
        </w:trPr>
        <w:tc>
          <w:tcPr>
            <w:tcW w:w="9048" w:type="dxa"/>
            <w:gridSpan w:val="3"/>
            <w:shd w:val="clear" w:color="auto" w:fill="D9D9D9"/>
            <w:vAlign w:val="center"/>
          </w:tcPr>
          <w:p>
            <w:pPr>
              <w:rPr>
                <w:b/>
                <w:bCs/>
                <w:szCs w:val="21"/>
              </w:rPr>
            </w:pPr>
            <w:r>
              <w:rPr>
                <w:b/>
                <w:bCs/>
                <w:szCs w:val="21"/>
              </w:rPr>
              <w:t>B</w:t>
            </w:r>
            <w:r>
              <w:rPr>
                <w:rFonts w:hint="eastAsia"/>
                <w:b/>
                <w:bCs/>
                <w:szCs w:val="21"/>
              </w:rPr>
              <w:t xml:space="preserve"> </w:t>
            </w:r>
            <w:r>
              <w:rPr>
                <w:rFonts w:hint="eastAsia" w:hAnsi="宋体"/>
                <w:b/>
                <w:bCs/>
                <w:szCs w:val="21"/>
              </w:rPr>
              <w:t>白洋</w:t>
            </w:r>
            <w:r>
              <w:rPr>
                <w:rFonts w:hAnsi="宋体"/>
                <w:b/>
                <w:bCs/>
                <w:szCs w:val="21"/>
              </w:rPr>
              <w:t>物流园区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485" w:hRule="atLeast"/>
        </w:trPr>
        <w:tc>
          <w:tcPr>
            <w:tcW w:w="801" w:type="dxa"/>
            <w:vAlign w:val="center"/>
          </w:tcPr>
          <w:p>
            <w:pPr>
              <w:jc w:val="center"/>
              <w:rPr>
                <w:szCs w:val="21"/>
              </w:rPr>
            </w:pPr>
            <w:r>
              <w:rPr>
                <w:szCs w:val="21"/>
              </w:rPr>
              <w:t>B1</w:t>
            </w:r>
          </w:p>
        </w:tc>
        <w:tc>
          <w:tcPr>
            <w:tcW w:w="1649" w:type="dxa"/>
            <w:vAlign w:val="center"/>
          </w:tcPr>
          <w:p>
            <w:pPr>
              <w:ind w:leftChars="-43" w:hanging="90" w:hangingChars="43"/>
              <w:jc w:val="center"/>
              <w:rPr>
                <w:szCs w:val="21"/>
              </w:rPr>
            </w:pPr>
            <w:r>
              <w:rPr>
                <w:rFonts w:hAnsi="宋体"/>
                <w:szCs w:val="21"/>
              </w:rPr>
              <w:t>综合物流区</w:t>
            </w:r>
          </w:p>
        </w:tc>
        <w:tc>
          <w:tcPr>
            <w:tcW w:w="6598" w:type="dxa"/>
            <w:vAlign w:val="center"/>
          </w:tcPr>
          <w:p>
            <w:pPr>
              <w:ind w:firstLine="480"/>
              <w:jc w:val="left"/>
              <w:rPr>
                <w:szCs w:val="21"/>
              </w:rPr>
            </w:pPr>
            <w:r>
              <w:rPr>
                <w:rFonts w:hAnsi="宋体"/>
                <w:szCs w:val="21"/>
              </w:rPr>
              <w:t>位于</w:t>
            </w:r>
            <w:r>
              <w:rPr>
                <w:rFonts w:hint="eastAsia" w:hAnsi="宋体"/>
                <w:szCs w:val="21"/>
              </w:rPr>
              <w:t>白洋</w:t>
            </w:r>
            <w:r>
              <w:rPr>
                <w:rFonts w:hAnsi="宋体"/>
                <w:szCs w:val="21"/>
              </w:rPr>
              <w:t>港口作业区的后方，</w:t>
            </w:r>
            <w:r>
              <w:rPr>
                <w:rFonts w:hint="eastAsia" w:hAnsi="宋体"/>
                <w:szCs w:val="21"/>
              </w:rPr>
              <w:t>占地面积</w:t>
            </w:r>
            <w:r>
              <w:rPr>
                <w:rFonts w:hint="eastAsia" w:asciiTheme="minorEastAsia" w:hAnsiTheme="minorEastAsia" w:eastAsiaTheme="minorEastAsia"/>
                <w:szCs w:val="21"/>
              </w:rPr>
              <w:t>518</w:t>
            </w:r>
            <w:r>
              <w:rPr>
                <w:rFonts w:hint="eastAsia" w:hAnsi="宋体"/>
                <w:szCs w:val="21"/>
              </w:rPr>
              <w:t>亩</w:t>
            </w:r>
            <w:r>
              <w:rPr>
                <w:rFonts w:hAnsi="宋体"/>
                <w:szCs w:val="21"/>
              </w:rPr>
              <w:t>。包括：</w:t>
            </w:r>
            <w:r>
              <w:rPr>
                <w:rFonts w:hint="eastAsia" w:hAnsi="宋体"/>
                <w:szCs w:val="21"/>
              </w:rPr>
              <w:t>城市配送区、食品仓储区、中转快运区、停车场、智能化货运集散中心(第三方、第四方物流企业)、综合管理与物流信息中心、生活配套区、辅助作业区</w:t>
            </w:r>
            <w:r>
              <w:rPr>
                <w:rFonts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050" w:hRule="atLeast"/>
        </w:trPr>
        <w:tc>
          <w:tcPr>
            <w:tcW w:w="801" w:type="dxa"/>
            <w:vAlign w:val="center"/>
          </w:tcPr>
          <w:p>
            <w:pPr>
              <w:jc w:val="center"/>
              <w:rPr>
                <w:szCs w:val="21"/>
              </w:rPr>
            </w:pPr>
            <w:r>
              <w:rPr>
                <w:szCs w:val="21"/>
              </w:rPr>
              <w:t>B2</w:t>
            </w:r>
          </w:p>
        </w:tc>
        <w:tc>
          <w:tcPr>
            <w:tcW w:w="1649" w:type="dxa"/>
            <w:vAlign w:val="center"/>
          </w:tcPr>
          <w:p>
            <w:pPr>
              <w:ind w:leftChars="-43" w:hanging="90" w:hangingChars="43"/>
              <w:jc w:val="center"/>
              <w:rPr>
                <w:szCs w:val="21"/>
              </w:rPr>
            </w:pPr>
            <w:r>
              <w:rPr>
                <w:rFonts w:hAnsi="宋体"/>
                <w:szCs w:val="21"/>
              </w:rPr>
              <w:t>商贸物流</w:t>
            </w:r>
            <w:r>
              <w:rPr>
                <w:rFonts w:hint="eastAsia" w:hAnsi="宋体"/>
                <w:szCs w:val="21"/>
              </w:rPr>
              <w:t>A</w:t>
            </w:r>
            <w:r>
              <w:rPr>
                <w:rFonts w:hAnsi="宋体"/>
                <w:szCs w:val="21"/>
              </w:rPr>
              <w:t>区</w:t>
            </w:r>
          </w:p>
        </w:tc>
        <w:tc>
          <w:tcPr>
            <w:tcW w:w="6598" w:type="dxa"/>
            <w:vAlign w:val="center"/>
          </w:tcPr>
          <w:p>
            <w:pPr>
              <w:ind w:firstLine="480"/>
              <w:jc w:val="left"/>
              <w:rPr>
                <w:szCs w:val="21"/>
              </w:rPr>
            </w:pPr>
            <w:r>
              <w:rPr>
                <w:rFonts w:hint="eastAsia"/>
                <w:szCs w:val="21"/>
              </w:rPr>
              <w:t>占地面积</w:t>
            </w:r>
            <w:r>
              <w:rPr>
                <w:rFonts w:hint="eastAsia" w:asciiTheme="minorEastAsia" w:hAnsiTheme="minorEastAsia" w:eastAsiaTheme="minorEastAsia"/>
                <w:szCs w:val="21"/>
              </w:rPr>
              <w:t>357亩</w:t>
            </w:r>
            <w:r>
              <w:rPr>
                <w:rFonts w:hAnsi="宋体"/>
                <w:szCs w:val="21"/>
              </w:rPr>
              <w:t>。包括：</w:t>
            </w:r>
            <w:r>
              <w:rPr>
                <w:rFonts w:hint="eastAsia" w:hAnsi="宋体"/>
                <w:szCs w:val="21"/>
              </w:rPr>
              <w:t>仓储区、流通加工区、展示交易区、辅助作业区、堆场</w:t>
            </w:r>
            <w:r>
              <w:rPr>
                <w:rFonts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90" w:hRule="atLeast"/>
        </w:trPr>
        <w:tc>
          <w:tcPr>
            <w:tcW w:w="801" w:type="dxa"/>
            <w:tcBorders>
              <w:bottom w:val="single" w:color="auto" w:sz="4" w:space="0"/>
            </w:tcBorders>
            <w:vAlign w:val="center"/>
          </w:tcPr>
          <w:p>
            <w:pPr>
              <w:jc w:val="center"/>
              <w:rPr>
                <w:szCs w:val="21"/>
              </w:rPr>
            </w:pPr>
            <w:r>
              <w:rPr>
                <w:szCs w:val="21"/>
              </w:rPr>
              <w:t>B3</w:t>
            </w:r>
          </w:p>
        </w:tc>
        <w:tc>
          <w:tcPr>
            <w:tcW w:w="1649" w:type="dxa"/>
            <w:tcBorders>
              <w:bottom w:val="single" w:color="auto" w:sz="4" w:space="0"/>
            </w:tcBorders>
            <w:vAlign w:val="center"/>
          </w:tcPr>
          <w:p>
            <w:pPr>
              <w:ind w:leftChars="-43" w:hanging="90" w:hangingChars="43"/>
              <w:jc w:val="center"/>
              <w:rPr>
                <w:szCs w:val="21"/>
              </w:rPr>
            </w:pPr>
            <w:r>
              <w:rPr>
                <w:rFonts w:hAnsi="宋体"/>
                <w:szCs w:val="21"/>
              </w:rPr>
              <w:t>商贸物流</w:t>
            </w:r>
            <w:r>
              <w:rPr>
                <w:rFonts w:hint="eastAsia" w:hAnsi="宋体"/>
                <w:szCs w:val="21"/>
              </w:rPr>
              <w:t>B</w:t>
            </w:r>
            <w:r>
              <w:rPr>
                <w:rFonts w:hAnsi="宋体"/>
                <w:szCs w:val="21"/>
              </w:rPr>
              <w:t>区</w:t>
            </w:r>
          </w:p>
        </w:tc>
        <w:tc>
          <w:tcPr>
            <w:tcW w:w="6598" w:type="dxa"/>
            <w:tcBorders>
              <w:bottom w:val="single" w:color="auto" w:sz="4" w:space="0"/>
            </w:tcBorders>
            <w:vAlign w:val="center"/>
          </w:tcPr>
          <w:p>
            <w:pPr>
              <w:ind w:firstLine="480"/>
              <w:jc w:val="left"/>
              <w:rPr>
                <w:szCs w:val="21"/>
              </w:rPr>
            </w:pPr>
            <w:r>
              <w:rPr>
                <w:rFonts w:hint="eastAsia" w:hAnsi="宋体"/>
                <w:szCs w:val="21"/>
              </w:rPr>
              <w:t>占地面积</w:t>
            </w:r>
            <w:r>
              <w:rPr>
                <w:rFonts w:hint="eastAsia" w:asciiTheme="minorEastAsia" w:hAnsiTheme="minorEastAsia" w:eastAsiaTheme="minorEastAsia"/>
                <w:szCs w:val="21"/>
              </w:rPr>
              <w:t>473</w:t>
            </w:r>
            <w:r>
              <w:rPr>
                <w:rFonts w:hint="eastAsia" w:hAnsi="宋体"/>
                <w:szCs w:val="21"/>
              </w:rPr>
              <w:t>亩</w:t>
            </w:r>
            <w:r>
              <w:rPr>
                <w:rFonts w:hAnsi="宋体"/>
                <w:szCs w:val="21"/>
              </w:rPr>
              <w:t>。包括：</w:t>
            </w:r>
            <w:r>
              <w:rPr>
                <w:rFonts w:hint="eastAsia" w:hAnsi="宋体"/>
                <w:szCs w:val="21"/>
              </w:rPr>
              <w:t>仓储区、流通加工区、辅助作业区、堆场</w:t>
            </w:r>
            <w:r>
              <w:rPr>
                <w:rFonts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30" w:hRule="atLeast"/>
        </w:trPr>
        <w:tc>
          <w:tcPr>
            <w:tcW w:w="9048" w:type="dxa"/>
            <w:gridSpan w:val="3"/>
            <w:shd w:val="clear" w:color="auto" w:fill="D9D9D9"/>
            <w:vAlign w:val="center"/>
          </w:tcPr>
          <w:p>
            <w:pPr>
              <w:rPr>
                <w:b/>
                <w:bCs/>
                <w:szCs w:val="21"/>
              </w:rPr>
            </w:pPr>
            <w:r>
              <w:rPr>
                <w:szCs w:val="21"/>
              </w:rPr>
              <w:t>C</w:t>
            </w:r>
            <w:r>
              <w:rPr>
                <w:rFonts w:hint="eastAsia"/>
                <w:szCs w:val="21"/>
              </w:rPr>
              <w:t xml:space="preserve"> </w:t>
            </w:r>
            <w:r>
              <w:rPr>
                <w:rFonts w:hAnsi="宋体"/>
                <w:b/>
                <w:bCs/>
                <w:szCs w:val="21"/>
              </w:rPr>
              <w:t>道路交通工程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vAlign w:val="center"/>
          </w:tcPr>
          <w:p>
            <w:pPr>
              <w:jc w:val="center"/>
              <w:rPr>
                <w:szCs w:val="21"/>
              </w:rPr>
            </w:pPr>
            <w:r>
              <w:rPr>
                <w:szCs w:val="21"/>
              </w:rPr>
              <w:t>C1</w:t>
            </w:r>
          </w:p>
        </w:tc>
        <w:tc>
          <w:tcPr>
            <w:tcW w:w="1649" w:type="dxa"/>
            <w:vAlign w:val="center"/>
          </w:tcPr>
          <w:p>
            <w:pPr>
              <w:ind w:hanging="92"/>
              <w:jc w:val="center"/>
              <w:rPr>
                <w:szCs w:val="21"/>
              </w:rPr>
            </w:pPr>
            <w:r>
              <w:rPr>
                <w:rFonts w:hAnsi="宋体"/>
                <w:szCs w:val="21"/>
              </w:rPr>
              <w:t>对外通道工程</w:t>
            </w:r>
          </w:p>
        </w:tc>
        <w:tc>
          <w:tcPr>
            <w:tcW w:w="6598" w:type="dxa"/>
            <w:vAlign w:val="center"/>
          </w:tcPr>
          <w:p>
            <w:pPr>
              <w:ind w:firstLine="480"/>
              <w:jc w:val="left"/>
              <w:rPr>
                <w:szCs w:val="21"/>
              </w:rPr>
            </w:pPr>
            <w:r>
              <w:rPr>
                <w:rFonts w:hAnsi="宋体"/>
                <w:b/>
                <w:szCs w:val="21"/>
              </w:rPr>
              <w:t>沙湾路上跨桥工程</w:t>
            </w:r>
            <w:r>
              <w:rPr>
                <w:rFonts w:hint="eastAsia" w:hAnsi="宋体"/>
                <w:szCs w:val="21"/>
              </w:rPr>
              <w:t>：</w:t>
            </w:r>
            <w:r>
              <w:rPr>
                <w:rFonts w:hAnsi="宋体"/>
                <w:szCs w:val="21"/>
              </w:rPr>
              <w:t>起于松岗二路北侧，向北上跨白洋大道，终点止于</w:t>
            </w:r>
            <w:r>
              <w:rPr>
                <w:rFonts w:hint="eastAsia" w:hAnsi="宋体"/>
                <w:szCs w:val="21"/>
              </w:rPr>
              <w:t>紫云铁路编组站东侧进场道路处</w:t>
            </w:r>
            <w:r>
              <w:rPr>
                <w:rFonts w:hAnsi="宋体"/>
                <w:szCs w:val="21"/>
              </w:rPr>
              <w:t>，</w:t>
            </w:r>
            <w:r>
              <w:rPr>
                <w:rFonts w:hint="eastAsia" w:hAnsi="宋体"/>
                <w:szCs w:val="21"/>
              </w:rPr>
              <w:t>城市次干路，</w:t>
            </w:r>
            <w:r>
              <w:rPr>
                <w:rFonts w:hAnsi="宋体"/>
                <w:szCs w:val="21"/>
              </w:rPr>
              <w:t>线路全长</w:t>
            </w:r>
            <w:r>
              <w:rPr>
                <w:szCs w:val="21"/>
              </w:rPr>
              <w:t>675m</w:t>
            </w:r>
            <w:r>
              <w:rPr>
                <w:rFonts w:hAnsi="宋体"/>
                <w:szCs w:val="21"/>
              </w:rPr>
              <w:t>；上跨桥为架空结构，桥面宽</w:t>
            </w:r>
            <w:r>
              <w:rPr>
                <w:szCs w:val="21"/>
              </w:rPr>
              <w:t>1</w:t>
            </w:r>
            <w:r>
              <w:rPr>
                <w:rFonts w:hint="eastAsia"/>
                <w:szCs w:val="21"/>
              </w:rPr>
              <w:t>7</w:t>
            </w:r>
            <w:r>
              <w:rPr>
                <w:szCs w:val="21"/>
              </w:rPr>
              <w:t>m</w:t>
            </w:r>
            <w:r>
              <w:rPr>
                <w:rFonts w:hAnsi="宋体"/>
                <w:szCs w:val="21"/>
              </w:rPr>
              <w:t>，双向</w:t>
            </w:r>
            <w:r>
              <w:rPr>
                <w:rFonts w:hint="eastAsia" w:hAnsi="宋体"/>
                <w:szCs w:val="21"/>
              </w:rPr>
              <w:t>4</w:t>
            </w:r>
            <w:r>
              <w:rPr>
                <w:rFonts w:hAnsi="宋体"/>
                <w:szCs w:val="21"/>
              </w:rPr>
              <w:t>车道，全长</w:t>
            </w:r>
            <w:r>
              <w:rPr>
                <w:rFonts w:hint="eastAsia"/>
                <w:szCs w:val="21"/>
              </w:rPr>
              <w:t>280</w:t>
            </w:r>
            <w:r>
              <w:rPr>
                <w:szCs w:val="21"/>
              </w:rPr>
              <w:t>m</w:t>
            </w:r>
            <w:r>
              <w:rPr>
                <w:rFonts w:hAnsi="宋体"/>
                <w:szCs w:val="21"/>
              </w:rPr>
              <w:t>；上跨桥段最小平曲线半径</w:t>
            </w:r>
            <w:r>
              <w:rPr>
                <w:szCs w:val="21"/>
              </w:rPr>
              <w:t>120m</w:t>
            </w:r>
            <w:r>
              <w:rPr>
                <w:rFonts w:hAnsi="宋体"/>
                <w:szCs w:val="21"/>
              </w:rPr>
              <w:t>，路段最大纵坡</w:t>
            </w:r>
            <w:r>
              <w:rPr>
                <w:szCs w:val="21"/>
              </w:rPr>
              <w:t>4.8%</w:t>
            </w:r>
            <w:r>
              <w:rPr>
                <w:rFonts w:hAnsi="宋体"/>
                <w:szCs w:val="21"/>
              </w:rPr>
              <w:t>，最小净空</w:t>
            </w:r>
            <w:r>
              <w:rPr>
                <w:szCs w:val="21"/>
              </w:rPr>
              <w:t>5m</w:t>
            </w:r>
            <w:r>
              <w:rPr>
                <w:rFonts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vMerge w:val="restart"/>
            <w:vAlign w:val="center"/>
          </w:tcPr>
          <w:p>
            <w:pPr>
              <w:jc w:val="center"/>
              <w:rPr>
                <w:szCs w:val="21"/>
              </w:rPr>
            </w:pPr>
            <w:r>
              <w:rPr>
                <w:szCs w:val="21"/>
              </w:rPr>
              <w:t>C2</w:t>
            </w:r>
          </w:p>
        </w:tc>
        <w:tc>
          <w:tcPr>
            <w:tcW w:w="1649" w:type="dxa"/>
            <w:vMerge w:val="restart"/>
            <w:vAlign w:val="center"/>
          </w:tcPr>
          <w:p>
            <w:pPr>
              <w:ind w:firstLine="480"/>
              <w:jc w:val="center"/>
              <w:rPr>
                <w:szCs w:val="21"/>
              </w:rPr>
            </w:pPr>
            <w:r>
              <w:rPr>
                <w:rFonts w:hAnsi="宋体"/>
                <w:szCs w:val="21"/>
              </w:rPr>
              <w:t>内部道路工程</w:t>
            </w:r>
          </w:p>
        </w:tc>
        <w:tc>
          <w:tcPr>
            <w:tcW w:w="6598" w:type="dxa"/>
            <w:vAlign w:val="center"/>
          </w:tcPr>
          <w:p>
            <w:pPr>
              <w:ind w:firstLine="480"/>
              <w:jc w:val="left"/>
              <w:rPr>
                <w:szCs w:val="21"/>
              </w:rPr>
            </w:pPr>
            <w:r>
              <w:rPr>
                <w:rFonts w:hAnsi="宋体"/>
                <w:b/>
                <w:szCs w:val="21"/>
              </w:rPr>
              <w:t>桂湖路</w:t>
            </w:r>
            <w:r>
              <w:rPr>
                <w:rFonts w:hint="eastAsia" w:hAnsi="宋体"/>
                <w:szCs w:val="21"/>
              </w:rPr>
              <w:t>：</w:t>
            </w:r>
            <w:r>
              <w:rPr>
                <w:rFonts w:hAnsi="宋体"/>
                <w:szCs w:val="21"/>
              </w:rPr>
              <w:t>南北走向，起于沙湾路，终点止于白洋大道</w:t>
            </w:r>
            <w:r>
              <w:rPr>
                <w:rFonts w:hint="eastAsia" w:hAnsi="宋体"/>
                <w:szCs w:val="21"/>
              </w:rPr>
              <w:t>。城市次干路、宽30m、</w:t>
            </w:r>
            <w:r>
              <w:rPr>
                <w:rFonts w:hAnsi="宋体"/>
                <w:szCs w:val="21"/>
              </w:rPr>
              <w:t>双向</w:t>
            </w:r>
            <w:r>
              <w:rPr>
                <w:rFonts w:hint="eastAsia" w:hAnsi="宋体"/>
                <w:szCs w:val="21"/>
              </w:rPr>
              <w:t>4</w:t>
            </w:r>
            <w:r>
              <w:rPr>
                <w:rFonts w:hAnsi="宋体"/>
                <w:szCs w:val="21"/>
              </w:rPr>
              <w:t>车道</w:t>
            </w:r>
            <w:r>
              <w:rPr>
                <w:rFonts w:hint="eastAsia" w:hAnsi="宋体"/>
                <w:szCs w:val="21"/>
              </w:rPr>
              <w:t>、</w:t>
            </w:r>
            <w:r>
              <w:rPr>
                <w:rFonts w:hAnsi="宋体"/>
                <w:szCs w:val="21"/>
              </w:rPr>
              <w:t>全长</w:t>
            </w:r>
            <w:r>
              <w:rPr>
                <w:szCs w:val="21"/>
              </w:rPr>
              <w:t>1126</w:t>
            </w:r>
            <w:r>
              <w:rPr>
                <w:rFonts w:hint="eastAsia" w:hAnsi="宋体"/>
                <w:szCs w:val="21"/>
              </w:rPr>
              <w:t>m</w:t>
            </w:r>
            <w:r>
              <w:rPr>
                <w:rFonts w:hAnsi="宋体"/>
                <w:szCs w:val="21"/>
              </w:rPr>
              <w:t>。</w:t>
            </w:r>
            <w:r>
              <w:rPr>
                <w:rFonts w:hint="eastAsia" w:hAnsi="宋体"/>
                <w:szCs w:val="21"/>
              </w:rPr>
              <w:t>包括道路排水、照明、通信等综合管网基础设施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vMerge w:val="continue"/>
            <w:vAlign w:val="center"/>
          </w:tcPr>
          <w:p>
            <w:pPr>
              <w:jc w:val="center"/>
              <w:rPr>
                <w:szCs w:val="21"/>
              </w:rPr>
            </w:pPr>
          </w:p>
        </w:tc>
        <w:tc>
          <w:tcPr>
            <w:tcW w:w="1649" w:type="dxa"/>
            <w:vMerge w:val="continue"/>
            <w:vAlign w:val="center"/>
          </w:tcPr>
          <w:p>
            <w:pPr>
              <w:ind w:firstLine="480"/>
              <w:jc w:val="center"/>
              <w:rPr>
                <w:szCs w:val="21"/>
              </w:rPr>
            </w:pPr>
          </w:p>
        </w:tc>
        <w:tc>
          <w:tcPr>
            <w:tcW w:w="6598" w:type="dxa"/>
            <w:vAlign w:val="center"/>
          </w:tcPr>
          <w:p>
            <w:pPr>
              <w:ind w:firstLine="480"/>
              <w:jc w:val="left"/>
              <w:rPr>
                <w:szCs w:val="21"/>
              </w:rPr>
            </w:pPr>
            <w:r>
              <w:rPr>
                <w:rFonts w:hAnsi="宋体"/>
                <w:b/>
                <w:szCs w:val="21"/>
              </w:rPr>
              <w:t>松岗二路</w:t>
            </w:r>
            <w:r>
              <w:rPr>
                <w:rFonts w:hint="eastAsia" w:hAnsi="宋体"/>
                <w:szCs w:val="21"/>
              </w:rPr>
              <w:t>：</w:t>
            </w:r>
            <w:r>
              <w:rPr>
                <w:rFonts w:hAnsi="宋体"/>
                <w:szCs w:val="21"/>
              </w:rPr>
              <w:t>东西走向，起于桂湖路，终点止于沙湾路</w:t>
            </w:r>
            <w:r>
              <w:rPr>
                <w:rFonts w:hint="eastAsia" w:hAnsi="宋体"/>
                <w:szCs w:val="21"/>
              </w:rPr>
              <w:t>。城市次干路、宽30m、</w:t>
            </w:r>
            <w:r>
              <w:rPr>
                <w:rFonts w:hAnsi="宋体"/>
                <w:szCs w:val="21"/>
              </w:rPr>
              <w:t>双向</w:t>
            </w:r>
            <w:r>
              <w:rPr>
                <w:rFonts w:hint="eastAsia" w:hAnsi="宋体"/>
                <w:szCs w:val="21"/>
              </w:rPr>
              <w:t>6</w:t>
            </w:r>
            <w:r>
              <w:rPr>
                <w:rFonts w:hAnsi="宋体"/>
                <w:szCs w:val="21"/>
              </w:rPr>
              <w:t>车道</w:t>
            </w:r>
            <w:r>
              <w:rPr>
                <w:rFonts w:hint="eastAsia" w:hAnsi="宋体"/>
                <w:szCs w:val="21"/>
              </w:rPr>
              <w:t>、</w:t>
            </w:r>
            <w:r>
              <w:rPr>
                <w:rFonts w:hAnsi="宋体"/>
                <w:szCs w:val="21"/>
              </w:rPr>
              <w:t>全长</w:t>
            </w:r>
            <w:r>
              <w:rPr>
                <w:szCs w:val="21"/>
              </w:rPr>
              <w:t>900</w:t>
            </w:r>
            <w:r>
              <w:rPr>
                <w:rFonts w:hint="eastAsia" w:hAnsi="宋体"/>
                <w:szCs w:val="21"/>
              </w:rPr>
              <w:t>m</w:t>
            </w:r>
            <w:r>
              <w:rPr>
                <w:rFonts w:hAnsi="宋体"/>
                <w:szCs w:val="21"/>
              </w:rPr>
              <w:t>。</w:t>
            </w:r>
            <w:r>
              <w:rPr>
                <w:rFonts w:hint="eastAsia" w:hAnsi="宋体"/>
                <w:szCs w:val="21"/>
              </w:rPr>
              <w:t>包括道路排水、照明、通信等综合管网基础设施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tcBorders>
              <w:bottom w:val="single" w:color="auto" w:sz="4" w:space="0"/>
            </w:tcBorders>
            <w:vAlign w:val="center"/>
          </w:tcPr>
          <w:p>
            <w:pPr>
              <w:jc w:val="center"/>
              <w:rPr>
                <w:szCs w:val="21"/>
              </w:rPr>
            </w:pPr>
            <w:r>
              <w:rPr>
                <w:szCs w:val="21"/>
              </w:rPr>
              <w:t>C3</w:t>
            </w:r>
          </w:p>
        </w:tc>
        <w:tc>
          <w:tcPr>
            <w:tcW w:w="1649" w:type="dxa"/>
            <w:tcBorders>
              <w:bottom w:val="single" w:color="auto" w:sz="4" w:space="0"/>
            </w:tcBorders>
            <w:vAlign w:val="center"/>
          </w:tcPr>
          <w:p>
            <w:pPr>
              <w:ind w:firstLine="480"/>
              <w:jc w:val="center"/>
              <w:rPr>
                <w:szCs w:val="21"/>
              </w:rPr>
            </w:pPr>
            <w:r>
              <w:rPr>
                <w:rFonts w:hAnsi="宋体"/>
                <w:szCs w:val="21"/>
              </w:rPr>
              <w:t>交通工程</w:t>
            </w:r>
          </w:p>
        </w:tc>
        <w:tc>
          <w:tcPr>
            <w:tcW w:w="6598" w:type="dxa"/>
            <w:tcBorders>
              <w:bottom w:val="single" w:color="auto" w:sz="4" w:space="0"/>
            </w:tcBorders>
            <w:vAlign w:val="center"/>
          </w:tcPr>
          <w:p>
            <w:pPr>
              <w:ind w:firstLine="480"/>
              <w:jc w:val="left"/>
              <w:rPr>
                <w:szCs w:val="21"/>
              </w:rPr>
            </w:pPr>
            <w:r>
              <w:rPr>
                <w:rFonts w:hAnsi="宋体"/>
                <w:szCs w:val="21"/>
              </w:rPr>
              <w:t>园区内部交叉口精细化设计、园区内部停车设施建设、园区通勤交通建设、园区交通组织。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55" w:hRule="atLeast"/>
        </w:trPr>
        <w:tc>
          <w:tcPr>
            <w:tcW w:w="9048" w:type="dxa"/>
            <w:gridSpan w:val="3"/>
            <w:shd w:val="clear" w:color="auto" w:fill="D9D9D9"/>
            <w:vAlign w:val="center"/>
          </w:tcPr>
          <w:p>
            <w:pPr>
              <w:rPr>
                <w:szCs w:val="21"/>
              </w:rPr>
            </w:pPr>
            <w:r>
              <w:rPr>
                <w:szCs w:val="21"/>
              </w:rPr>
              <w:t>D</w:t>
            </w:r>
            <w:r>
              <w:rPr>
                <w:rFonts w:hint="eastAsia"/>
                <w:szCs w:val="21"/>
              </w:rPr>
              <w:t xml:space="preserve"> </w:t>
            </w:r>
            <w:r>
              <w:rPr>
                <w:rFonts w:hint="eastAsia"/>
                <w:b/>
                <w:szCs w:val="21"/>
              </w:rPr>
              <w:t>三峡现代物流</w:t>
            </w:r>
            <w:r>
              <w:rPr>
                <w:rFonts w:hAnsi="宋体"/>
                <w:b/>
                <w:bCs/>
                <w:szCs w:val="21"/>
              </w:rPr>
              <w:t>信息中心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vAlign w:val="center"/>
          </w:tcPr>
          <w:p>
            <w:pPr>
              <w:jc w:val="center"/>
              <w:rPr>
                <w:szCs w:val="21"/>
              </w:rPr>
            </w:pPr>
            <w:r>
              <w:rPr>
                <w:szCs w:val="21"/>
              </w:rPr>
              <w:t>D1</w:t>
            </w:r>
          </w:p>
        </w:tc>
        <w:tc>
          <w:tcPr>
            <w:tcW w:w="1649" w:type="dxa"/>
            <w:vAlign w:val="center"/>
          </w:tcPr>
          <w:p>
            <w:pPr>
              <w:adjustRightInd w:val="0"/>
              <w:snapToGrid w:val="0"/>
              <w:ind w:firstLine="480"/>
              <w:jc w:val="center"/>
              <w:rPr>
                <w:rFonts w:asciiTheme="minorEastAsia" w:hAnsiTheme="minorEastAsia" w:eastAsiaTheme="minorEastAsia"/>
                <w:szCs w:val="21"/>
              </w:rPr>
            </w:pPr>
            <w:r>
              <w:rPr>
                <w:rFonts w:hint="eastAsia" w:asciiTheme="minorEastAsia" w:hAnsiTheme="minorEastAsia" w:eastAsiaTheme="minorEastAsia"/>
                <w:szCs w:val="21"/>
              </w:rPr>
              <w:t>应用业务系统</w:t>
            </w:r>
          </w:p>
        </w:tc>
        <w:tc>
          <w:tcPr>
            <w:tcW w:w="6598" w:type="dxa"/>
            <w:vAlign w:val="center"/>
          </w:tcPr>
          <w:p>
            <w:pPr>
              <w:adjustRightInd w:val="0"/>
              <w:snapToGrid w:val="0"/>
              <w:ind w:firstLine="480"/>
              <w:rPr>
                <w:rFonts w:asciiTheme="minorEastAsia" w:hAnsiTheme="minorEastAsia" w:eastAsiaTheme="minorEastAsia"/>
                <w:szCs w:val="21"/>
              </w:rPr>
            </w:pPr>
            <w:r>
              <w:rPr>
                <w:rFonts w:hint="eastAsia" w:asciiTheme="minorEastAsia" w:hAnsiTheme="minorEastAsia" w:eastAsiaTheme="minorEastAsia"/>
                <w:szCs w:val="21"/>
              </w:rPr>
              <w:t>办公自动化系统、园区综合监管服务、物流综合信息服务、商务信息服务，区域物流大数据分析平台。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30" w:hRule="atLeast"/>
        </w:trPr>
        <w:tc>
          <w:tcPr>
            <w:tcW w:w="801" w:type="dxa"/>
            <w:vAlign w:val="center"/>
          </w:tcPr>
          <w:p>
            <w:pPr>
              <w:jc w:val="center"/>
              <w:rPr>
                <w:szCs w:val="21"/>
              </w:rPr>
            </w:pPr>
            <w:r>
              <w:rPr>
                <w:szCs w:val="21"/>
              </w:rPr>
              <w:t>D2</w:t>
            </w:r>
          </w:p>
        </w:tc>
        <w:tc>
          <w:tcPr>
            <w:tcW w:w="1649" w:type="dxa"/>
            <w:vAlign w:val="center"/>
          </w:tcPr>
          <w:p>
            <w:pPr>
              <w:adjustRightInd w:val="0"/>
              <w:snapToGrid w:val="0"/>
              <w:ind w:firstLine="480"/>
              <w:jc w:val="center"/>
              <w:rPr>
                <w:rFonts w:asciiTheme="minorEastAsia" w:hAnsiTheme="minorEastAsia" w:eastAsiaTheme="minorEastAsia"/>
                <w:szCs w:val="21"/>
              </w:rPr>
            </w:pPr>
            <w:r>
              <w:rPr>
                <w:rFonts w:hint="eastAsia" w:asciiTheme="minorEastAsia" w:hAnsiTheme="minorEastAsia" w:eastAsiaTheme="minorEastAsia"/>
                <w:szCs w:val="21"/>
              </w:rPr>
              <w:t>主机及</w:t>
            </w:r>
          </w:p>
          <w:p>
            <w:pPr>
              <w:adjustRightInd w:val="0"/>
              <w:snapToGrid w:val="0"/>
              <w:ind w:firstLine="480"/>
              <w:jc w:val="center"/>
              <w:rPr>
                <w:rFonts w:asciiTheme="minorEastAsia" w:hAnsiTheme="minorEastAsia" w:eastAsiaTheme="minorEastAsia"/>
                <w:szCs w:val="21"/>
              </w:rPr>
            </w:pPr>
            <w:r>
              <w:rPr>
                <w:rFonts w:hint="eastAsia" w:asciiTheme="minorEastAsia" w:hAnsiTheme="minorEastAsia" w:eastAsiaTheme="minorEastAsia"/>
                <w:szCs w:val="21"/>
              </w:rPr>
              <w:t>存储系统</w:t>
            </w:r>
          </w:p>
        </w:tc>
        <w:tc>
          <w:tcPr>
            <w:tcW w:w="6598" w:type="dxa"/>
            <w:vAlign w:val="center"/>
          </w:tcPr>
          <w:p>
            <w:pPr>
              <w:adjustRightInd w:val="0"/>
              <w:snapToGrid w:val="0"/>
              <w:ind w:firstLine="480"/>
              <w:rPr>
                <w:rFonts w:asciiTheme="minorEastAsia" w:hAnsiTheme="minorEastAsia" w:eastAsiaTheme="minorEastAsia"/>
                <w:szCs w:val="21"/>
              </w:rPr>
            </w:pPr>
            <w:r>
              <w:rPr>
                <w:rFonts w:hint="eastAsia" w:asciiTheme="minorEastAsia" w:hAnsiTheme="minorEastAsia" w:eastAsiaTheme="minorEastAsia"/>
                <w:szCs w:val="21"/>
              </w:rPr>
              <w:t>计算服务器、数据服务器、存储</w:t>
            </w:r>
            <w:r>
              <w:rPr>
                <w:rFonts w:asciiTheme="minorEastAsia" w:hAnsiTheme="minorEastAsia" w:eastAsiaTheme="minorEastAsia"/>
                <w:szCs w:val="21"/>
              </w:rPr>
              <w:t>系统、</w:t>
            </w:r>
            <w:r>
              <w:rPr>
                <w:rFonts w:hint="eastAsia" w:asciiTheme="minorEastAsia" w:hAnsiTheme="minorEastAsia" w:eastAsiaTheme="minorEastAsia"/>
                <w:szCs w:val="21"/>
              </w:rPr>
              <w:t>容灾备份系统、虚拟化资源平台、</w:t>
            </w:r>
            <w:r>
              <w:rPr>
                <w:rFonts w:asciiTheme="minorEastAsia" w:hAnsiTheme="minorEastAsia" w:eastAsiaTheme="minorEastAsia"/>
                <w:szCs w:val="21"/>
              </w:rPr>
              <w:t>网路通信</w:t>
            </w:r>
            <w:r>
              <w:rPr>
                <w:rFonts w:hint="eastAsia" w:asciiTheme="minorEastAsia" w:hAnsiTheme="minorEastAsia" w:eastAsiaTheme="minorEastAsia"/>
                <w:szCs w:val="21"/>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60" w:hRule="atLeast"/>
        </w:trPr>
        <w:tc>
          <w:tcPr>
            <w:tcW w:w="801" w:type="dxa"/>
            <w:vAlign w:val="center"/>
          </w:tcPr>
          <w:p>
            <w:pPr>
              <w:jc w:val="center"/>
              <w:rPr>
                <w:szCs w:val="21"/>
              </w:rPr>
            </w:pPr>
            <w:r>
              <w:rPr>
                <w:szCs w:val="21"/>
              </w:rPr>
              <w:t>D3</w:t>
            </w:r>
          </w:p>
        </w:tc>
        <w:tc>
          <w:tcPr>
            <w:tcW w:w="1649" w:type="dxa"/>
            <w:vAlign w:val="center"/>
          </w:tcPr>
          <w:p>
            <w:pPr>
              <w:adjustRightInd w:val="0"/>
              <w:snapToGrid w:val="0"/>
              <w:ind w:firstLine="480"/>
              <w:jc w:val="center"/>
              <w:rPr>
                <w:rFonts w:asciiTheme="minorEastAsia" w:hAnsiTheme="minorEastAsia" w:eastAsiaTheme="minorEastAsia"/>
                <w:szCs w:val="21"/>
              </w:rPr>
            </w:pPr>
            <w:r>
              <w:rPr>
                <w:rFonts w:asciiTheme="minorEastAsia" w:hAnsiTheme="minorEastAsia" w:eastAsiaTheme="minorEastAsia"/>
                <w:szCs w:val="21"/>
              </w:rPr>
              <w:t>中心机房</w:t>
            </w:r>
          </w:p>
        </w:tc>
        <w:tc>
          <w:tcPr>
            <w:tcW w:w="6598" w:type="dxa"/>
            <w:vAlign w:val="center"/>
          </w:tcPr>
          <w:p>
            <w:pPr>
              <w:adjustRightInd w:val="0"/>
              <w:snapToGrid w:val="0"/>
              <w:ind w:firstLine="480"/>
              <w:rPr>
                <w:rFonts w:asciiTheme="minorEastAsia" w:hAnsiTheme="minorEastAsia" w:eastAsiaTheme="minorEastAsia"/>
                <w:szCs w:val="21"/>
              </w:rPr>
            </w:pPr>
            <w:r>
              <w:rPr>
                <w:rFonts w:hint="eastAsia" w:asciiTheme="minorEastAsia" w:hAnsiTheme="minorEastAsia" w:eastAsiaTheme="minorEastAsia"/>
                <w:szCs w:val="21"/>
              </w:rPr>
              <w:t>主机房、空间、机柜系统、电源系统、消防系统等。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30" w:hRule="atLeast"/>
        </w:trPr>
        <w:tc>
          <w:tcPr>
            <w:tcW w:w="9048" w:type="dxa"/>
            <w:gridSpan w:val="3"/>
            <w:tcBorders>
              <w:bottom w:val="single" w:color="auto" w:sz="4" w:space="0"/>
            </w:tcBorders>
            <w:shd w:val="clear" w:color="auto" w:fill="D9D9D9"/>
            <w:vAlign w:val="center"/>
          </w:tcPr>
          <w:p>
            <w:pPr>
              <w:rPr>
                <w:b/>
                <w:bCs/>
                <w:szCs w:val="21"/>
              </w:rPr>
            </w:pPr>
            <w:r>
              <w:rPr>
                <w:szCs w:val="21"/>
              </w:rPr>
              <w:t>E</w:t>
            </w:r>
            <w:r>
              <w:rPr>
                <w:rFonts w:hAnsi="宋体"/>
                <w:b/>
                <w:bCs/>
                <w:szCs w:val="21"/>
              </w:rPr>
              <w:t>项目管理和机构能力</w:t>
            </w:r>
          </w:p>
        </w:tc>
      </w:tr>
    </w:tbl>
    <w:p>
      <w:pPr>
        <w:pStyle w:val="3"/>
        <w:tabs>
          <w:tab w:val="left" w:pos="426"/>
          <w:tab w:val="left" w:pos="2200"/>
          <w:tab w:val="clear" w:pos="3695"/>
        </w:tabs>
        <w:spacing w:beforeLines="0" w:afterLines="0"/>
        <w:ind w:left="0" w:firstLine="0"/>
      </w:pPr>
      <w:bookmarkStart w:id="68" w:name="_Toc442195670"/>
      <w:r>
        <w:rPr>
          <w:rFonts w:hint="eastAsia"/>
        </w:rPr>
        <w:t>建设方案和工艺流程</w:t>
      </w:r>
      <w:bookmarkEnd w:id="68"/>
    </w:p>
    <w:p>
      <w:pPr>
        <w:pStyle w:val="5"/>
        <w:tabs>
          <w:tab w:val="left" w:pos="900"/>
          <w:tab w:val="left" w:pos="1210"/>
        </w:tabs>
        <w:ind w:left="843" w:hanging="843" w:hangingChars="300"/>
        <w:rPr>
          <w:rFonts w:ascii="宋体" w:hAnsi="宋体" w:eastAsia="宋体"/>
          <w:b/>
          <w:sz w:val="28"/>
          <w:szCs w:val="28"/>
        </w:rPr>
      </w:pPr>
      <w:bookmarkStart w:id="69" w:name="_Toc442195671"/>
      <w:r>
        <w:rPr>
          <w:rFonts w:hint="eastAsia" w:ascii="宋体" w:hAnsi="宋体" w:eastAsia="宋体"/>
          <w:b/>
          <w:sz w:val="28"/>
          <w:szCs w:val="28"/>
        </w:rPr>
        <w:t>白洋作业区</w:t>
      </w:r>
      <w:bookmarkEnd w:id="69"/>
    </w:p>
    <w:p>
      <w:pPr>
        <w:pStyle w:val="6"/>
        <w:tabs>
          <w:tab w:val="left" w:pos="-489"/>
        </w:tabs>
        <w:spacing w:beforeLines="0" w:afterLines="0"/>
        <w:ind w:left="0" w:firstLine="0"/>
        <w:rPr>
          <w:rFonts w:ascii="Times New Roman" w:hAnsi="Times New Roman"/>
        </w:rPr>
      </w:pPr>
      <w:r>
        <w:rPr>
          <w:rFonts w:hint="eastAsia" w:ascii="Times New Roman" w:hAnsi="Times New Roman"/>
        </w:rPr>
        <w:t>装卸工艺</w:t>
      </w:r>
    </w:p>
    <w:p>
      <w:pPr>
        <w:spacing w:line="360" w:lineRule="auto"/>
        <w:ind w:firstLine="480" w:firstLineChars="200"/>
        <w:rPr>
          <w:sz w:val="24"/>
        </w:rPr>
      </w:pPr>
      <w:r>
        <w:rPr>
          <w:sz w:val="24"/>
        </w:rPr>
        <w:t>（1）设计运量</w:t>
      </w:r>
    </w:p>
    <w:p>
      <w:pPr>
        <w:spacing w:line="360" w:lineRule="auto"/>
        <w:ind w:firstLine="480" w:firstLineChars="200"/>
        <w:rPr>
          <w:sz w:val="24"/>
        </w:rPr>
      </w:pPr>
      <w:r>
        <w:rPr>
          <w:sz w:val="24"/>
        </w:rPr>
        <w:t>白洋港口作业区设计吞吐量见</w:t>
      </w:r>
      <w:r>
        <w:rPr>
          <w:rFonts w:hint="eastAsia"/>
          <w:sz w:val="24"/>
        </w:rPr>
        <w:t>表2.3-1</w:t>
      </w:r>
      <w:r>
        <w:rPr>
          <w:sz w:val="24"/>
        </w:rPr>
        <w:t>。</w:t>
      </w:r>
    </w:p>
    <w:p>
      <w:pPr>
        <w:jc w:val="center"/>
        <w:rPr>
          <w:b/>
        </w:rPr>
      </w:pPr>
      <w:bookmarkStart w:id="70" w:name="_Ref431959709"/>
      <w:r>
        <w:rPr>
          <w:b/>
        </w:rPr>
        <w:t>表</w:t>
      </w:r>
      <w:bookmarkEnd w:id="70"/>
      <w:r>
        <w:rPr>
          <w:rFonts w:hint="eastAsia"/>
          <w:b/>
        </w:rPr>
        <w:t>2.3-1</w:t>
      </w:r>
      <w:r>
        <w:rPr>
          <w:b/>
        </w:rPr>
        <w:tab/>
      </w:r>
      <w:r>
        <w:rPr>
          <w:b/>
        </w:rPr>
        <w:t>货物种类及运量表</w:t>
      </w:r>
    </w:p>
    <w:tbl>
      <w:tblPr>
        <w:tblStyle w:val="104"/>
        <w:tblW w:w="87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3387"/>
        <w:gridCol w:w="1250"/>
        <w:gridCol w:w="15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asciiTheme="minorEastAsia" w:hAnsiTheme="minorEastAsia" w:eastAsiaTheme="minorEastAsia"/>
                <w:b/>
                <w:sz w:val="21"/>
                <w:szCs w:val="21"/>
              </w:rPr>
              <w:t>序号</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货种</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单位</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数量</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asciiTheme="minorEastAsia" w:hAnsiTheme="minorEastAsia" w:eastAsiaTheme="minorEastAsia"/>
                <w:b/>
                <w:sz w:val="21"/>
                <w:szCs w:val="21"/>
              </w:rPr>
              <w:t>1</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集装箱</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万TEU/年</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8</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asciiTheme="minorEastAsia" w:hAnsiTheme="minorEastAsia" w:eastAsiaTheme="minorEastAsia"/>
                <w:b/>
                <w:sz w:val="21"/>
                <w:szCs w:val="21"/>
              </w:rPr>
              <w:t>2</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钢铁件杂</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万吨/年</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120</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hint="eastAsia" w:asciiTheme="minorEastAsia" w:hAnsiTheme="minorEastAsia" w:eastAsiaTheme="minorEastAsia"/>
                <w:b/>
                <w:sz w:val="21"/>
                <w:szCs w:val="21"/>
              </w:rPr>
              <w:t>3</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散货（砂石料、陶土、玻璃用砂岩）</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万吨/年</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260</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进口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hint="eastAsia" w:asciiTheme="minorEastAsia" w:hAnsiTheme="minorEastAsia" w:eastAsiaTheme="minorEastAsia"/>
                <w:b/>
                <w:sz w:val="21"/>
                <w:szCs w:val="21"/>
              </w:rPr>
              <w:t>4</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散货（磷矿石、石灰矿）</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万吨/年</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240</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出口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trPr>
        <w:tc>
          <w:tcPr>
            <w:tcW w:w="69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jc w:val="both"/>
              <w:rPr>
                <w:rFonts w:asciiTheme="minorEastAsia" w:hAnsiTheme="minorEastAsia" w:eastAsiaTheme="minorEastAsia"/>
                <w:b/>
                <w:sz w:val="21"/>
                <w:szCs w:val="21"/>
              </w:rPr>
            </w:pPr>
            <w:r>
              <w:rPr>
                <w:rFonts w:hint="eastAsia" w:asciiTheme="minorEastAsia" w:hAnsiTheme="minorEastAsia" w:eastAsiaTheme="minorEastAsia"/>
                <w:b/>
                <w:sz w:val="21"/>
                <w:szCs w:val="21"/>
              </w:rPr>
              <w:t>5</w:t>
            </w:r>
          </w:p>
        </w:tc>
        <w:tc>
          <w:tcPr>
            <w:tcW w:w="3387"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合计</w:t>
            </w:r>
          </w:p>
        </w:tc>
        <w:tc>
          <w:tcPr>
            <w:tcW w:w="1250"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万吨/年</w:t>
            </w:r>
          </w:p>
        </w:tc>
        <w:tc>
          <w:tcPr>
            <w:tcW w:w="1594"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r>
              <w:rPr>
                <w:rFonts w:asciiTheme="minorEastAsia" w:hAnsiTheme="minorEastAsia" w:eastAsiaTheme="minorEastAsia"/>
                <w:b/>
                <w:sz w:val="21"/>
                <w:szCs w:val="21"/>
              </w:rPr>
              <w:t>700</w:t>
            </w:r>
          </w:p>
        </w:tc>
        <w:tc>
          <w:tcPr>
            <w:tcW w:w="1826" w:type="dxa"/>
            <w:tcBorders>
              <w:top w:val="single" w:color="auto" w:sz="4" w:space="0"/>
              <w:left w:val="single" w:color="auto" w:sz="4" w:space="0"/>
              <w:bottom w:val="single" w:color="auto" w:sz="4" w:space="0"/>
              <w:right w:val="single" w:color="auto" w:sz="4" w:space="0"/>
            </w:tcBorders>
            <w:vAlign w:val="center"/>
          </w:tcPr>
          <w:p>
            <w:pPr>
              <w:pStyle w:val="1073"/>
              <w:spacing w:line="240" w:lineRule="auto"/>
              <w:rPr>
                <w:rFonts w:asciiTheme="minorEastAsia" w:hAnsiTheme="minorEastAsia" w:eastAsiaTheme="minorEastAsia"/>
                <w:b/>
                <w:sz w:val="21"/>
                <w:szCs w:val="21"/>
              </w:rPr>
            </w:pPr>
          </w:p>
        </w:tc>
      </w:tr>
    </w:tbl>
    <w:p>
      <w:pPr>
        <w:spacing w:line="360" w:lineRule="auto"/>
        <w:ind w:firstLine="422" w:firstLineChars="200"/>
        <w:rPr>
          <w:b/>
        </w:rPr>
      </w:pPr>
      <w:r>
        <w:rPr>
          <w:b/>
        </w:rPr>
        <w:t>（2）工艺方案</w:t>
      </w:r>
    </w:p>
    <w:p>
      <w:pPr>
        <w:spacing w:line="360" w:lineRule="auto"/>
        <w:ind w:firstLine="480" w:firstLineChars="200"/>
        <w:rPr>
          <w:sz w:val="24"/>
        </w:rPr>
      </w:pPr>
      <w:r>
        <w:rPr>
          <w:rFonts w:hint="eastAsia"/>
          <w:sz w:val="24"/>
        </w:rPr>
        <w:t>本次新建3000吨级泊位7个，其中散货进口泊位和散货出口泊位各2个，件杂兼顾重件泊位1个，多用途泊位2个。码头后方配套建设散货堆场、件杂堆场、集装箱堆场等生产设施。件杂仓库、拆装箱库均依托后方中转物流园。</w:t>
      </w:r>
    </w:p>
    <w:p>
      <w:pPr>
        <w:spacing w:line="360" w:lineRule="auto"/>
        <w:ind w:firstLine="480" w:firstLineChars="200"/>
        <w:rPr>
          <w:sz w:val="24"/>
        </w:rPr>
      </w:pPr>
      <w:r>
        <w:rPr>
          <w:sz w:val="24"/>
        </w:rPr>
        <w:t>主要装卸工艺方案描述如下：</w:t>
      </w:r>
    </w:p>
    <w:p>
      <w:pPr>
        <w:spacing w:line="360" w:lineRule="auto"/>
        <w:ind w:firstLine="480" w:firstLineChars="200"/>
        <w:rPr>
          <w:sz w:val="24"/>
        </w:rPr>
      </w:pPr>
      <w:r>
        <w:rPr>
          <w:rFonts w:hint="eastAsia"/>
          <w:sz w:val="24"/>
        </w:rPr>
        <w:t>① 7号泊位码头及后方陆域</w:t>
      </w:r>
    </w:p>
    <w:p>
      <w:pPr>
        <w:spacing w:line="360" w:lineRule="auto"/>
        <w:ind w:firstLine="480" w:firstLineChars="200"/>
        <w:rPr>
          <w:sz w:val="24"/>
        </w:rPr>
      </w:pPr>
      <w:r>
        <w:rPr>
          <w:rFonts w:hint="eastAsia"/>
          <w:sz w:val="24"/>
        </w:rPr>
        <w:t>7号泊位为件杂兼顾重件泊位，码头采用直立式结构型式，码头平台装备2台40t-30m门座起重机作业。钢铁、建材及重量小于40t的机械设备采用门座起重机作业，重量为40t～80t的机械设备租用起重船作业。机械设备均不落场，后方配套建设钢铁件杂堆场，堤外堆场采用轮胎起重机作业，堤内堆场配备轨道龙门起重机作业。件杂水平运输采用牵引车、平板车，其中重量大于40t的机械设备所需水平运输设备由货主自行配备。</w:t>
      </w:r>
    </w:p>
    <w:p>
      <w:pPr>
        <w:spacing w:line="360" w:lineRule="auto"/>
        <w:ind w:firstLine="492" w:firstLineChars="204"/>
        <w:rPr>
          <w:rFonts w:ascii="微软雅黑" w:hAnsi="微软雅黑"/>
          <w:b/>
          <w:sz w:val="24"/>
        </w:rPr>
      </w:pPr>
      <w:r>
        <w:rPr>
          <w:rFonts w:hint="eastAsia" w:ascii="微软雅黑" w:hAnsi="微软雅黑"/>
          <w:b/>
          <w:sz w:val="24"/>
        </w:rPr>
        <w:t>工艺流程：</w:t>
      </w:r>
    </w:p>
    <w:p>
      <w:pPr>
        <w:spacing w:line="360" w:lineRule="auto"/>
        <w:ind w:firstLine="490" w:firstLineChars="204"/>
        <w:rPr>
          <w:rFonts w:ascii="微软雅黑" w:hAnsi="微软雅黑"/>
          <w:sz w:val="24"/>
        </w:rPr>
      </w:pPr>
      <w:r>
        <w:rPr>
          <w:rFonts w:hint="eastAsia" w:ascii="微软雅黑" w:hAnsi="微软雅黑"/>
          <w:sz w:val="24"/>
        </w:rPr>
        <w:t>钢铁件杂（件杂兼顾重件泊位）：船←→门座起重机←→牵引车、平板车←→轮胎起重机、龙门起重机←→钢铁件杂堆场</w:t>
      </w:r>
    </w:p>
    <w:p>
      <w:pPr>
        <w:spacing w:line="360" w:lineRule="auto"/>
        <w:ind w:firstLine="490" w:firstLineChars="204"/>
        <w:rPr>
          <w:rFonts w:ascii="微软雅黑" w:hAnsi="微软雅黑"/>
          <w:sz w:val="24"/>
        </w:rPr>
      </w:pPr>
      <w:r>
        <w:rPr>
          <w:rFonts w:hint="eastAsia" w:ascii="微软雅黑" w:hAnsi="微软雅黑"/>
          <w:sz w:val="24"/>
        </w:rPr>
        <w:t>40吨及以下机械设备（件杂兼顾重件泊位）：船←→门座起重机←→牵引车、平板车←→港外</w:t>
      </w:r>
    </w:p>
    <w:p>
      <w:pPr>
        <w:spacing w:line="360" w:lineRule="auto"/>
        <w:ind w:firstLine="490" w:firstLineChars="204"/>
        <w:rPr>
          <w:rFonts w:ascii="微软雅黑" w:hAnsi="微软雅黑"/>
          <w:sz w:val="24"/>
        </w:rPr>
      </w:pPr>
      <w:r>
        <w:rPr>
          <w:rFonts w:hint="eastAsia" w:ascii="微软雅黑" w:hAnsi="微软雅黑"/>
          <w:sz w:val="24"/>
        </w:rPr>
        <w:t>40吨以上机械设备（件杂兼顾重件泊位）：船←→起重船（租用）←→牵引车、平板车←→港外</w:t>
      </w:r>
    </w:p>
    <w:p>
      <w:pPr>
        <w:spacing w:line="360" w:lineRule="auto"/>
        <w:ind w:firstLine="480" w:firstLineChars="200"/>
        <w:rPr>
          <w:sz w:val="24"/>
        </w:rPr>
      </w:pPr>
      <w:r>
        <w:rPr>
          <w:rFonts w:hint="eastAsia"/>
          <w:sz w:val="24"/>
        </w:rPr>
        <w:t>② 8、9号泊位码头及后方陆域</w:t>
      </w:r>
    </w:p>
    <w:p>
      <w:pPr>
        <w:spacing w:line="360" w:lineRule="auto"/>
        <w:ind w:firstLine="480" w:firstLineChars="200"/>
        <w:rPr>
          <w:sz w:val="24"/>
        </w:rPr>
      </w:pPr>
      <w:r>
        <w:rPr>
          <w:rFonts w:hint="eastAsia"/>
          <w:sz w:val="24"/>
        </w:rPr>
        <w:t>8号、9号泊位为散货出口泊位，采用浮码头型式，码头前方各布置一艘90m×16m趸船，每艘趸船上装备一台圆弧轨道装船机。码头后方配套建设散货堆场，出口物料由港外汽车运输至散货堆场，采用自卸方式卸车，通过单斗装载机完成堆高作业，堆场内配备固定带式输送机系统与8、9号泊位散货出口带式输送机连通，散货出口时，单斗装载机在堆场取料，通过固定接料漏斗给堆场固定带式输送机供料，通过固定带式输送机系统进入装船机装船。</w:t>
      </w:r>
    </w:p>
    <w:p>
      <w:pPr>
        <w:spacing w:line="360" w:lineRule="auto"/>
        <w:ind w:firstLine="492" w:firstLineChars="204"/>
        <w:rPr>
          <w:rFonts w:ascii="微软雅黑" w:hAnsi="微软雅黑"/>
          <w:b/>
          <w:sz w:val="24"/>
        </w:rPr>
      </w:pPr>
      <w:r>
        <w:rPr>
          <w:rFonts w:hint="eastAsia" w:ascii="微软雅黑" w:hAnsi="微软雅黑"/>
          <w:b/>
          <w:sz w:val="24"/>
        </w:rPr>
        <w:t>工艺流程：</w:t>
      </w:r>
    </w:p>
    <w:p>
      <w:pPr>
        <w:spacing w:line="360" w:lineRule="auto"/>
        <w:ind w:firstLine="490" w:firstLineChars="204"/>
        <w:rPr>
          <w:rFonts w:ascii="微软雅黑" w:hAnsi="微软雅黑"/>
          <w:sz w:val="24"/>
        </w:rPr>
      </w:pPr>
      <w:r>
        <w:rPr>
          <w:rFonts w:hint="eastAsia" w:ascii="微软雅黑" w:hAnsi="微软雅黑"/>
          <w:sz w:val="24"/>
        </w:rPr>
        <w:t>散货（散货出口泊位）：港外→自卸汽车→堆场→单斗装载机→固定接料漏斗→固定带式输送机系统→圆弧轨道装船机→船</w:t>
      </w:r>
    </w:p>
    <w:p>
      <w:pPr>
        <w:spacing w:line="360" w:lineRule="auto"/>
        <w:ind w:firstLine="492" w:firstLineChars="204"/>
        <w:rPr>
          <w:b/>
          <w:sz w:val="24"/>
        </w:rPr>
      </w:pPr>
      <w:r>
        <w:rPr>
          <w:rFonts w:hint="eastAsia"/>
          <w:b/>
          <w:sz w:val="24"/>
        </w:rPr>
        <w:t>③ 10、11号泊位码头及后方陆域</w:t>
      </w:r>
    </w:p>
    <w:p>
      <w:pPr>
        <w:spacing w:line="360" w:lineRule="auto"/>
        <w:ind w:firstLine="490" w:firstLineChars="204"/>
        <w:rPr>
          <w:sz w:val="24"/>
        </w:rPr>
      </w:pPr>
      <w:r>
        <w:rPr>
          <w:rFonts w:hint="eastAsia"/>
          <w:sz w:val="24"/>
        </w:rPr>
        <w:t>10号、11号泊位为散货进口泊位，采用斜坡码头型式，下河坡道坡度1:10，码头前方各布置一艘65m×16m趸船，每艘趸船上装备两台10t-25m浮式起重机及固定带式输送机作业。码头后方配套建设散货堆场，进口物料从码头通过固定带式输送机系统和移动皮带机系统进入堆场，在堆场设置转运平台，平台下布置移动皮带机，由移动皮带机完成散货堆高作业，进口物料装汽车采用单斗装载机作业。</w:t>
      </w:r>
    </w:p>
    <w:p>
      <w:pPr>
        <w:spacing w:line="360" w:lineRule="auto"/>
        <w:ind w:firstLine="492" w:firstLineChars="204"/>
        <w:rPr>
          <w:rFonts w:ascii="微软雅黑" w:hAnsi="微软雅黑"/>
          <w:b/>
          <w:sz w:val="24"/>
        </w:rPr>
      </w:pPr>
      <w:r>
        <w:rPr>
          <w:rFonts w:hint="eastAsia" w:ascii="微软雅黑" w:hAnsi="微软雅黑"/>
          <w:b/>
          <w:sz w:val="24"/>
        </w:rPr>
        <w:t>工艺流程：</w:t>
      </w:r>
    </w:p>
    <w:p>
      <w:pPr>
        <w:spacing w:line="360" w:lineRule="auto"/>
        <w:ind w:firstLine="490" w:firstLineChars="204"/>
        <w:rPr>
          <w:rFonts w:ascii="微软雅黑" w:hAnsi="微软雅黑"/>
          <w:sz w:val="24"/>
        </w:rPr>
      </w:pPr>
      <w:r>
        <w:rPr>
          <w:rFonts w:hint="eastAsia" w:ascii="微软雅黑" w:hAnsi="微软雅黑"/>
          <w:sz w:val="24"/>
        </w:rPr>
        <w:t>散货（散货进口泊位）：船→浮式起重机→固定接料漏斗→固定带式输送机系统→移动皮带机系统→固定带式输送机系统→移动皮带机系统→堆场→单斗装载机→自卸汽车→港外</w:t>
      </w:r>
    </w:p>
    <w:p>
      <w:pPr>
        <w:spacing w:line="360" w:lineRule="auto"/>
        <w:ind w:firstLine="492" w:firstLineChars="204"/>
        <w:rPr>
          <w:b/>
          <w:sz w:val="24"/>
        </w:rPr>
      </w:pPr>
      <w:r>
        <w:rPr>
          <w:rFonts w:hint="eastAsia"/>
          <w:b/>
          <w:sz w:val="24"/>
        </w:rPr>
        <w:t>④</w:t>
      </w:r>
      <w:r>
        <w:rPr>
          <w:rFonts w:hint="eastAsia"/>
          <w:sz w:val="24"/>
        </w:rPr>
        <w:t xml:space="preserve"> </w:t>
      </w:r>
      <w:r>
        <w:rPr>
          <w:rFonts w:hint="eastAsia"/>
          <w:b/>
          <w:sz w:val="24"/>
        </w:rPr>
        <w:t>12、13号泊位码头及后方陆域</w:t>
      </w:r>
    </w:p>
    <w:p>
      <w:pPr>
        <w:spacing w:line="360" w:lineRule="auto"/>
        <w:ind w:firstLine="490" w:firstLineChars="204"/>
        <w:rPr>
          <w:sz w:val="24"/>
        </w:rPr>
      </w:pPr>
      <w:r>
        <w:rPr>
          <w:rFonts w:hint="eastAsia"/>
          <w:sz w:val="24"/>
        </w:rPr>
        <w:t>12、13号泊位为多用途泊位，两个泊位连片布置，采用直立码头结构。12号泊位前方配备一台45t-24m岸边集装箱起重机和一台45t-30m多用途门座起重机进行集装箱装卸作业，多用途门座起重机同时还兼顾钢材作业。13号泊位采用两台16t-30m门座起重机作业。12、13号泊位后方配套建设集装箱堆场和件杂堆场。件杂货主要在件杂堆场堆存，件杂堆场配备轮胎起重机作业，需入库堆存的建材等进入中转物流区仓库堆存。多用途泊位集装箱进入堤外集装箱堆场和中转物流区集装箱堆场堆存，堤外集装箱堆场采用集装箱跨运车作业，中转物流区重箱堆场装备轨道式集装箱龙门起重机作业，空箱堆场采用空箱堆高机作业。</w:t>
      </w:r>
    </w:p>
    <w:p>
      <w:pPr>
        <w:spacing w:line="360" w:lineRule="auto"/>
        <w:ind w:firstLine="492" w:firstLineChars="204"/>
        <w:rPr>
          <w:rFonts w:ascii="微软雅黑" w:hAnsi="微软雅黑"/>
          <w:b/>
          <w:sz w:val="24"/>
        </w:rPr>
      </w:pPr>
      <w:r>
        <w:rPr>
          <w:rFonts w:hint="eastAsia" w:ascii="微软雅黑" w:hAnsi="微软雅黑"/>
          <w:b/>
          <w:sz w:val="24"/>
        </w:rPr>
        <w:t>工艺流程：</w:t>
      </w:r>
    </w:p>
    <w:p>
      <w:pPr>
        <w:spacing w:line="360" w:lineRule="auto"/>
        <w:ind w:firstLine="490" w:firstLineChars="204"/>
        <w:rPr>
          <w:rFonts w:ascii="微软雅黑" w:hAnsi="微软雅黑"/>
          <w:sz w:val="24"/>
        </w:rPr>
      </w:pPr>
      <w:r>
        <w:rPr>
          <w:rFonts w:hint="eastAsia" w:ascii="微软雅黑" w:hAnsi="微软雅黑"/>
          <w:sz w:val="24"/>
        </w:rPr>
        <w:t>集装箱（多用途泊位）：船←→岸桥、多用途门座起重机←→集装箱牵引车、半挂车←→集装箱跨运车←→堤外集装箱堆场</w:t>
      </w:r>
    </w:p>
    <w:p>
      <w:pPr>
        <w:spacing w:line="360" w:lineRule="auto"/>
        <w:ind w:firstLine="490" w:firstLineChars="204"/>
        <w:rPr>
          <w:rFonts w:ascii="微软雅黑" w:hAnsi="微软雅黑"/>
          <w:sz w:val="24"/>
        </w:rPr>
      </w:pPr>
      <w:r>
        <w:rPr>
          <w:rFonts w:hint="eastAsia" w:ascii="微软雅黑" w:hAnsi="微软雅黑"/>
          <w:sz w:val="24"/>
        </w:rPr>
        <w:t>钢材（多用途泊位）：船←→多用途门座起重机←→牵引车、平板车←→轮胎起重机←→件杂堆场</w:t>
      </w:r>
    </w:p>
    <w:p>
      <w:pPr>
        <w:spacing w:line="360" w:lineRule="auto"/>
        <w:ind w:firstLine="490" w:firstLineChars="204"/>
        <w:rPr>
          <w:rFonts w:ascii="微软雅黑" w:hAnsi="微软雅黑"/>
          <w:sz w:val="24"/>
        </w:rPr>
      </w:pPr>
      <w:r>
        <w:rPr>
          <w:rFonts w:hint="eastAsia" w:ascii="微软雅黑" w:hAnsi="微软雅黑"/>
          <w:sz w:val="24"/>
        </w:rPr>
        <w:t>件杂货（多用途泊位）：船←→门座起重机←→牵引车、平板车←→轮胎起重机←→件杂堆场</w:t>
      </w:r>
    </w:p>
    <w:p>
      <w:pPr>
        <w:spacing w:line="360" w:lineRule="auto"/>
        <w:ind w:firstLine="490" w:firstLineChars="204"/>
        <w:rPr>
          <w:rFonts w:ascii="微软雅黑" w:hAnsi="微软雅黑"/>
          <w:sz w:val="24"/>
        </w:rPr>
      </w:pPr>
      <w:r>
        <w:rPr>
          <w:rFonts w:hint="eastAsia" w:ascii="微软雅黑" w:hAnsi="微软雅黑"/>
          <w:sz w:val="24"/>
        </w:rPr>
        <w:t>件杂货（多用途泊位）：船←→门座起重机←→牵引车、平板车←→叉车←→中转物流区仓库</w:t>
      </w:r>
    </w:p>
    <w:p>
      <w:pPr>
        <w:pStyle w:val="6"/>
        <w:tabs>
          <w:tab w:val="left" w:pos="-489"/>
        </w:tabs>
        <w:spacing w:beforeLines="0" w:afterLines="0"/>
        <w:ind w:left="0" w:firstLine="0"/>
        <w:rPr>
          <w:rFonts w:ascii="Times New Roman" w:hAnsi="Times New Roman"/>
        </w:rPr>
      </w:pPr>
      <w:r>
        <w:rPr>
          <w:rFonts w:hint="eastAsia" w:ascii="Times New Roman" w:hAnsi="Times New Roman"/>
        </w:rPr>
        <w:t>水工建筑</w:t>
      </w:r>
    </w:p>
    <w:p>
      <w:pPr>
        <w:pStyle w:val="4"/>
        <w:spacing w:line="360" w:lineRule="auto"/>
        <w:ind w:firstLine="482"/>
        <w:rPr>
          <w:rFonts w:hAnsi="宋体"/>
          <w:b/>
          <w:sz w:val="24"/>
        </w:rPr>
      </w:pPr>
      <w:r>
        <w:rPr>
          <w:rFonts w:hint="eastAsia" w:hAnsi="宋体"/>
          <w:b/>
          <w:sz w:val="24"/>
        </w:rPr>
        <w:t>（1）7号泊位（件杂兼顾重件）码头</w:t>
      </w:r>
    </w:p>
    <w:p>
      <w:pPr>
        <w:pStyle w:val="4"/>
        <w:spacing w:line="360" w:lineRule="auto"/>
        <w:ind w:firstLine="480"/>
        <w:rPr>
          <w:rFonts w:hAnsi="宋体"/>
          <w:sz w:val="24"/>
        </w:rPr>
      </w:pPr>
      <w:r>
        <w:rPr>
          <w:rFonts w:hint="eastAsia" w:hAnsi="宋体"/>
          <w:sz w:val="24"/>
        </w:rPr>
        <w:t>由一座码头平台、一座变电平台及一条引桥组成，码头平台总长为102m，宽度28m，排架间距为8m，共分两个结构段，采用横梁悬臂分缝结构。</w:t>
      </w:r>
    </w:p>
    <w:p>
      <w:pPr>
        <w:pStyle w:val="4"/>
        <w:spacing w:line="360" w:lineRule="auto"/>
        <w:ind w:firstLine="480"/>
        <w:rPr>
          <w:rFonts w:hAnsi="宋体"/>
          <w:sz w:val="24"/>
        </w:rPr>
      </w:pPr>
      <w:r>
        <w:rPr>
          <w:rFonts w:hint="eastAsia" w:hAnsi="宋体"/>
          <w:sz w:val="24"/>
        </w:rPr>
        <w:t>桩台后沿设一条引桥与陆域连接，堤外引桥顶面高程与码头面平齐为50.50m，长度为32.5m，宽度均为12m，采用架空排架结构。</w:t>
      </w:r>
    </w:p>
    <w:p>
      <w:pPr>
        <w:pStyle w:val="4"/>
        <w:spacing w:line="360" w:lineRule="auto"/>
        <w:ind w:firstLine="482"/>
        <w:rPr>
          <w:rFonts w:hAnsi="宋体"/>
          <w:b/>
          <w:sz w:val="24"/>
        </w:rPr>
      </w:pPr>
      <w:r>
        <w:rPr>
          <w:rFonts w:hint="eastAsia" w:hAnsi="宋体"/>
          <w:b/>
          <w:sz w:val="24"/>
        </w:rPr>
        <w:t>（2）8、9号泊位（散货出口）</w:t>
      </w:r>
    </w:p>
    <w:p>
      <w:pPr>
        <w:pStyle w:val="4"/>
        <w:spacing w:line="360" w:lineRule="auto"/>
        <w:ind w:firstLine="480"/>
        <w:rPr>
          <w:rFonts w:hAnsi="宋体"/>
          <w:sz w:val="24"/>
        </w:rPr>
      </w:pPr>
      <w:r>
        <w:rPr>
          <w:rFonts w:hint="eastAsia" w:hAnsi="宋体"/>
          <w:sz w:val="24"/>
        </w:rPr>
        <w:t>均采用浮式码头结构，码头结构基本相同，均由一艘趸船、一座钢引桥及一座转运站平台组成，趸船平面尺度均为90×16m，后方各通过一座48×4m的钢引桥与转运站墩台相接。</w:t>
      </w:r>
    </w:p>
    <w:p>
      <w:pPr>
        <w:pStyle w:val="4"/>
        <w:spacing w:line="360" w:lineRule="auto"/>
        <w:ind w:firstLine="482"/>
        <w:rPr>
          <w:rFonts w:hAnsi="宋体"/>
          <w:b/>
          <w:sz w:val="24"/>
        </w:rPr>
      </w:pPr>
      <w:r>
        <w:rPr>
          <w:rFonts w:hint="eastAsia" w:hAnsi="宋体"/>
          <w:b/>
          <w:sz w:val="24"/>
        </w:rPr>
        <w:t>（3）10、11号泊位（散货进口）</w:t>
      </w:r>
    </w:p>
    <w:p>
      <w:pPr>
        <w:pStyle w:val="4"/>
        <w:spacing w:line="360" w:lineRule="auto"/>
        <w:ind w:firstLine="480"/>
        <w:rPr>
          <w:rFonts w:hAnsi="宋体"/>
          <w:sz w:val="24"/>
        </w:rPr>
      </w:pPr>
      <w:r>
        <w:rPr>
          <w:rFonts w:hint="eastAsia" w:hAnsi="宋体"/>
          <w:sz w:val="24"/>
        </w:rPr>
        <w:t>码头均由一条实体斜坡道、一艘趸船及一座钢引桥组成，趸船平面尺度均为65×16m，后方通过一座13×4m的钢引桥与实体斜坡道相接，两条斜坡道平行、顺岸布置，与堤呈约11度夹角伸向下游，斜坡道水平投影长度分别为130m、140m，宽度均为9m，坡度为1:10。</w:t>
      </w:r>
    </w:p>
    <w:p>
      <w:pPr>
        <w:pStyle w:val="4"/>
        <w:spacing w:line="360" w:lineRule="auto"/>
        <w:ind w:firstLine="482"/>
        <w:rPr>
          <w:rFonts w:hAnsi="宋体"/>
          <w:b/>
          <w:sz w:val="24"/>
        </w:rPr>
      </w:pPr>
      <w:r>
        <w:rPr>
          <w:rFonts w:hint="eastAsia" w:hAnsi="宋体"/>
          <w:b/>
          <w:sz w:val="24"/>
        </w:rPr>
        <w:t>（4）12、13号泊位（多用途泊位）</w:t>
      </w:r>
    </w:p>
    <w:p>
      <w:pPr>
        <w:pStyle w:val="4"/>
        <w:spacing w:line="360" w:lineRule="auto"/>
        <w:ind w:firstLine="480"/>
        <w:rPr>
          <w:rFonts w:hAnsi="宋体"/>
          <w:sz w:val="24"/>
        </w:rPr>
      </w:pPr>
      <w:r>
        <w:rPr>
          <w:rFonts w:hint="eastAsia" w:hAnsi="宋体"/>
          <w:sz w:val="24"/>
        </w:rPr>
        <w:t>码头由一座码头平台、一座变电平台及两条引桥组成，码头平台总长为216m，宽度28m，引桥顶面高程与码头面平齐为50.50m，长度为26.8m，上游侧引桥宽度15m，下游侧引桥宽12m，码头、变电平台及引桥结构与7号泊位相同。</w:t>
      </w:r>
    </w:p>
    <w:p>
      <w:pPr>
        <w:pStyle w:val="6"/>
        <w:tabs>
          <w:tab w:val="left" w:pos="-489"/>
        </w:tabs>
        <w:spacing w:beforeLines="0" w:afterLines="0"/>
        <w:ind w:left="0" w:firstLine="0"/>
        <w:rPr>
          <w:rFonts w:ascii="Times New Roman" w:hAnsi="Times New Roman"/>
        </w:rPr>
      </w:pPr>
      <w:r>
        <w:rPr>
          <w:rFonts w:hint="eastAsia" w:ascii="Times New Roman" w:hAnsi="Times New Roman"/>
        </w:rPr>
        <w:t>陆域形成和道路堆场</w:t>
      </w:r>
    </w:p>
    <w:p>
      <w:pPr>
        <w:pStyle w:val="4"/>
        <w:spacing w:line="360" w:lineRule="auto"/>
        <w:ind w:firstLine="482"/>
        <w:rPr>
          <w:b/>
          <w:sz w:val="24"/>
        </w:rPr>
      </w:pPr>
      <w:r>
        <w:rPr>
          <w:b/>
          <w:sz w:val="24"/>
        </w:rPr>
        <w:t>（1）陆域形成</w:t>
      </w:r>
    </w:p>
    <w:p>
      <w:pPr>
        <w:pStyle w:val="4"/>
        <w:spacing w:line="360" w:lineRule="auto"/>
        <w:ind w:firstLine="480"/>
        <w:rPr>
          <w:sz w:val="24"/>
        </w:rPr>
      </w:pPr>
      <w:r>
        <w:rPr>
          <w:sz w:val="24"/>
        </w:rPr>
        <w:t>陆域标高为48.5m</w:t>
      </w:r>
      <w:r>
        <w:rPr>
          <w:rFonts w:hint="eastAsia"/>
          <w:sz w:val="24"/>
        </w:rPr>
        <w:t>，需借方</w:t>
      </w:r>
      <w:r>
        <w:rPr>
          <w:sz w:val="24"/>
        </w:rPr>
        <w:t>。</w:t>
      </w:r>
    </w:p>
    <w:p>
      <w:pPr>
        <w:pStyle w:val="4"/>
        <w:spacing w:line="360" w:lineRule="auto"/>
        <w:ind w:firstLine="482"/>
        <w:rPr>
          <w:b/>
          <w:sz w:val="24"/>
        </w:rPr>
      </w:pPr>
      <w:r>
        <w:rPr>
          <w:b/>
          <w:sz w:val="24"/>
        </w:rPr>
        <w:t>（2）</w:t>
      </w:r>
      <w:r>
        <w:rPr>
          <w:rFonts w:hint="eastAsia"/>
          <w:b/>
          <w:sz w:val="24"/>
        </w:rPr>
        <w:t>道路</w:t>
      </w:r>
    </w:p>
    <w:p>
      <w:pPr>
        <w:pStyle w:val="4"/>
        <w:spacing w:line="360" w:lineRule="auto"/>
        <w:ind w:firstLine="480"/>
        <w:rPr>
          <w:sz w:val="24"/>
        </w:rPr>
      </w:pPr>
      <w:r>
        <w:rPr>
          <w:rFonts w:hint="eastAsia"/>
          <w:sz w:val="24"/>
        </w:rPr>
        <w:t>港内道路呈环形布置，港区大道宽24.5～36m，港区内道路宽7m～12m</w:t>
      </w:r>
      <w:r>
        <w:rPr>
          <w:sz w:val="24"/>
        </w:rPr>
        <w:t>。</w:t>
      </w:r>
    </w:p>
    <w:p>
      <w:pPr>
        <w:pStyle w:val="4"/>
        <w:spacing w:line="360" w:lineRule="auto"/>
        <w:ind w:firstLine="482"/>
        <w:rPr>
          <w:b/>
          <w:sz w:val="24"/>
        </w:rPr>
      </w:pPr>
      <w:r>
        <w:rPr>
          <w:rFonts w:hint="eastAsia"/>
          <w:b/>
          <w:sz w:val="24"/>
        </w:rPr>
        <w:t>（3）堆场</w:t>
      </w:r>
    </w:p>
    <w:p>
      <w:pPr>
        <w:pStyle w:val="4"/>
        <w:spacing w:line="360" w:lineRule="auto"/>
        <w:ind w:firstLine="480"/>
        <w:rPr>
          <w:sz w:val="24"/>
        </w:rPr>
      </w:pPr>
      <w:r>
        <w:rPr>
          <w:rFonts w:hint="eastAsia"/>
          <w:sz w:val="24"/>
        </w:rPr>
        <w:t>港内堆场主要为集装箱重箱堆场、空箱堆场、件杂集装箱通用堆场、散货堆场、件杂堆场以及停车场等，各堆场、场地均选用联锁块结构。</w:t>
      </w:r>
    </w:p>
    <w:p>
      <w:pPr>
        <w:pStyle w:val="6"/>
        <w:tabs>
          <w:tab w:val="left" w:pos="-489"/>
        </w:tabs>
        <w:spacing w:beforeLines="0" w:afterLines="0"/>
        <w:ind w:left="0" w:firstLine="0"/>
        <w:rPr>
          <w:rFonts w:ascii="Times New Roman" w:hAnsi="Times New Roman"/>
        </w:rPr>
      </w:pPr>
      <w:r>
        <w:rPr>
          <w:rFonts w:hint="eastAsia" w:ascii="Times New Roman" w:hAnsi="Times New Roman"/>
        </w:rPr>
        <w:t>信息与通信</w:t>
      </w:r>
    </w:p>
    <w:p>
      <w:pPr>
        <w:pStyle w:val="4"/>
        <w:spacing w:line="360" w:lineRule="auto"/>
        <w:ind w:firstLine="480"/>
        <w:rPr>
          <w:sz w:val="24"/>
        </w:rPr>
      </w:pPr>
      <w:r>
        <w:rPr>
          <w:rFonts w:hint="eastAsia"/>
          <w:sz w:val="24"/>
        </w:rPr>
        <w:t>信息与通信包括有线通信（自动电话）系统、无线通信、 船岸通信系统。</w:t>
      </w:r>
    </w:p>
    <w:p>
      <w:pPr>
        <w:pStyle w:val="6"/>
        <w:tabs>
          <w:tab w:val="left" w:pos="-489"/>
        </w:tabs>
        <w:spacing w:beforeLines="0" w:afterLines="0"/>
        <w:ind w:left="0" w:firstLine="0"/>
        <w:rPr>
          <w:rFonts w:ascii="Times New Roman" w:hAnsi="Times New Roman"/>
        </w:rPr>
      </w:pPr>
      <w:r>
        <w:rPr>
          <w:rFonts w:hint="eastAsia" w:ascii="Times New Roman" w:hAnsi="Times New Roman"/>
        </w:rPr>
        <w:t>给排水及消防</w:t>
      </w:r>
    </w:p>
    <w:p>
      <w:pPr>
        <w:pStyle w:val="4"/>
        <w:spacing w:line="360" w:lineRule="auto"/>
        <w:ind w:firstLine="482"/>
        <w:rPr>
          <w:b/>
          <w:sz w:val="24"/>
        </w:rPr>
      </w:pPr>
      <w:r>
        <w:rPr>
          <w:rFonts w:hint="eastAsia"/>
          <w:b/>
          <w:sz w:val="24"/>
        </w:rPr>
        <w:t>（1）供水水源</w:t>
      </w:r>
    </w:p>
    <w:p>
      <w:pPr>
        <w:pStyle w:val="4"/>
        <w:spacing w:line="360" w:lineRule="auto"/>
        <w:ind w:firstLine="480"/>
        <w:rPr>
          <w:sz w:val="24"/>
        </w:rPr>
      </w:pPr>
      <w:r>
        <w:rPr>
          <w:rFonts w:hint="eastAsia"/>
          <w:sz w:val="24"/>
        </w:rPr>
        <w:t>供水水源：港区生活、船舶上水、消防用水均采用城市自来水，水质符合现行《生活饮用水卫生标准》（GB5749-2006）。</w:t>
      </w:r>
    </w:p>
    <w:p>
      <w:pPr>
        <w:pStyle w:val="4"/>
        <w:spacing w:line="360" w:lineRule="auto"/>
        <w:ind w:firstLine="480"/>
        <w:rPr>
          <w:sz w:val="24"/>
        </w:rPr>
      </w:pPr>
      <w:r>
        <w:rPr>
          <w:rFonts w:hint="eastAsia"/>
          <w:sz w:val="24"/>
        </w:rPr>
        <w:t>（2）用水量</w:t>
      </w:r>
    </w:p>
    <w:p>
      <w:pPr>
        <w:pStyle w:val="4"/>
        <w:spacing w:line="360" w:lineRule="auto"/>
        <w:ind w:firstLine="480"/>
        <w:rPr>
          <w:sz w:val="24"/>
        </w:rPr>
      </w:pPr>
      <w:r>
        <w:rPr>
          <w:rFonts w:hint="eastAsia"/>
          <w:sz w:val="24"/>
        </w:rPr>
        <w:t>用水量见表2.3-2~2.3-4。</w:t>
      </w:r>
    </w:p>
    <w:p>
      <w:pPr>
        <w:pStyle w:val="4"/>
        <w:ind w:firstLine="422"/>
        <w:jc w:val="center"/>
        <w:rPr>
          <w:b/>
          <w:sz w:val="30"/>
          <w:szCs w:val="30"/>
        </w:rPr>
      </w:pPr>
      <w:r>
        <w:rPr>
          <w:b/>
        </w:rPr>
        <w:t>表</w:t>
      </w:r>
      <w:r>
        <w:rPr>
          <w:rFonts w:hint="eastAsia"/>
          <w:b/>
        </w:rPr>
        <w:t>2.3-2</w:t>
      </w:r>
      <w:r>
        <w:rPr>
          <w:b/>
        </w:rPr>
        <w:t xml:space="preserve">  7号~11号泊位及其陆域最高日自来水用水量表</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6"/>
        <w:gridCol w:w="1708"/>
        <w:gridCol w:w="2204"/>
        <w:gridCol w:w="2023"/>
        <w:gridCol w:w="2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b/>
                <w:spacing w:val="4"/>
                <w:szCs w:val="21"/>
              </w:rPr>
            </w:pPr>
            <w:r>
              <w:rPr>
                <w:b/>
                <w:spacing w:val="4"/>
                <w:szCs w:val="21"/>
              </w:rPr>
              <w:t>序号</w:t>
            </w:r>
          </w:p>
        </w:tc>
        <w:tc>
          <w:tcPr>
            <w:tcW w:w="1708" w:type="dxa"/>
            <w:vAlign w:val="center"/>
          </w:tcPr>
          <w:p>
            <w:pPr>
              <w:jc w:val="center"/>
              <w:rPr>
                <w:b/>
                <w:spacing w:val="4"/>
                <w:szCs w:val="21"/>
              </w:rPr>
            </w:pPr>
            <w:r>
              <w:rPr>
                <w:b/>
                <w:spacing w:val="4"/>
                <w:szCs w:val="21"/>
              </w:rPr>
              <w:t>单位名称</w:t>
            </w:r>
          </w:p>
        </w:tc>
        <w:tc>
          <w:tcPr>
            <w:tcW w:w="2204" w:type="dxa"/>
            <w:vAlign w:val="center"/>
          </w:tcPr>
          <w:p>
            <w:pPr>
              <w:jc w:val="center"/>
              <w:rPr>
                <w:b/>
                <w:spacing w:val="4"/>
                <w:szCs w:val="21"/>
              </w:rPr>
            </w:pPr>
            <w:r>
              <w:rPr>
                <w:b/>
                <w:spacing w:val="4"/>
                <w:szCs w:val="21"/>
              </w:rPr>
              <w:t>用水量标准</w:t>
            </w:r>
          </w:p>
        </w:tc>
        <w:tc>
          <w:tcPr>
            <w:tcW w:w="2023" w:type="dxa"/>
            <w:vAlign w:val="center"/>
          </w:tcPr>
          <w:p>
            <w:pPr>
              <w:jc w:val="center"/>
              <w:rPr>
                <w:b/>
                <w:spacing w:val="4"/>
                <w:szCs w:val="21"/>
              </w:rPr>
            </w:pPr>
            <w:r>
              <w:rPr>
                <w:b/>
                <w:spacing w:val="4"/>
                <w:szCs w:val="21"/>
              </w:rPr>
              <w:t>用水量</w:t>
            </w:r>
          </w:p>
        </w:tc>
        <w:tc>
          <w:tcPr>
            <w:tcW w:w="2517" w:type="dxa"/>
            <w:vAlign w:val="center"/>
          </w:tcPr>
          <w:p>
            <w:pPr>
              <w:jc w:val="center"/>
              <w:rPr>
                <w:b/>
                <w:spacing w:val="4"/>
                <w:szCs w:val="21"/>
              </w:rPr>
            </w:pPr>
            <w:r>
              <w:rPr>
                <w:b/>
                <w:spacing w:val="4"/>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Merge w:val="restart"/>
            <w:vAlign w:val="center"/>
          </w:tcPr>
          <w:p>
            <w:pPr>
              <w:jc w:val="center"/>
              <w:rPr>
                <w:spacing w:val="4"/>
                <w:szCs w:val="21"/>
              </w:rPr>
            </w:pPr>
            <w:r>
              <w:rPr>
                <w:rFonts w:hint="eastAsia"/>
                <w:spacing w:val="4"/>
                <w:szCs w:val="21"/>
              </w:rPr>
              <w:t>1</w:t>
            </w:r>
          </w:p>
        </w:tc>
        <w:tc>
          <w:tcPr>
            <w:tcW w:w="1708" w:type="dxa"/>
            <w:vMerge w:val="restart"/>
            <w:vAlign w:val="center"/>
          </w:tcPr>
          <w:p>
            <w:pPr>
              <w:jc w:val="center"/>
              <w:rPr>
                <w:spacing w:val="4"/>
                <w:szCs w:val="21"/>
              </w:rPr>
            </w:pPr>
            <w:r>
              <w:rPr>
                <w:spacing w:val="4"/>
                <w:szCs w:val="21"/>
              </w:rPr>
              <w:t>船舶供水</w:t>
            </w:r>
          </w:p>
        </w:tc>
        <w:tc>
          <w:tcPr>
            <w:tcW w:w="2204" w:type="dxa"/>
            <w:vAlign w:val="center"/>
          </w:tcPr>
          <w:p>
            <w:pPr>
              <w:jc w:val="center"/>
              <w:rPr>
                <w:spacing w:val="4"/>
                <w:szCs w:val="21"/>
              </w:rPr>
            </w:pPr>
            <w:r>
              <w:rPr>
                <w:spacing w:val="4"/>
                <w:szCs w:val="21"/>
              </w:rPr>
              <w:t>60m³/艘·d</w:t>
            </w:r>
          </w:p>
        </w:tc>
        <w:tc>
          <w:tcPr>
            <w:tcW w:w="2023" w:type="dxa"/>
            <w:vAlign w:val="center"/>
          </w:tcPr>
          <w:p>
            <w:pPr>
              <w:jc w:val="center"/>
              <w:rPr>
                <w:spacing w:val="4"/>
                <w:szCs w:val="21"/>
              </w:rPr>
            </w:pPr>
            <w:r>
              <w:rPr>
                <w:spacing w:val="4"/>
                <w:szCs w:val="21"/>
              </w:rPr>
              <w:t>240m</w:t>
            </w:r>
            <w:r>
              <w:rPr>
                <w:spacing w:val="4"/>
                <w:szCs w:val="21"/>
                <w:vertAlign w:val="superscript"/>
              </w:rPr>
              <w:t>3</w:t>
            </w:r>
          </w:p>
        </w:tc>
        <w:tc>
          <w:tcPr>
            <w:tcW w:w="2517" w:type="dxa"/>
            <w:vAlign w:val="center"/>
          </w:tcPr>
          <w:p>
            <w:pPr>
              <w:jc w:val="center"/>
              <w:rPr>
                <w:spacing w:val="4"/>
                <w:szCs w:val="21"/>
              </w:rPr>
            </w:pPr>
            <w:r>
              <w:rPr>
                <w:spacing w:val="4"/>
                <w:szCs w:val="21"/>
              </w:rPr>
              <w:t>Kh=1.2,T=24h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Merge w:val="continue"/>
            <w:vAlign w:val="center"/>
          </w:tcPr>
          <w:p>
            <w:pPr>
              <w:jc w:val="center"/>
              <w:rPr>
                <w:spacing w:val="4"/>
                <w:szCs w:val="21"/>
              </w:rPr>
            </w:pPr>
          </w:p>
        </w:tc>
        <w:tc>
          <w:tcPr>
            <w:tcW w:w="1708" w:type="dxa"/>
            <w:vMerge w:val="continue"/>
            <w:vAlign w:val="center"/>
          </w:tcPr>
          <w:p>
            <w:pPr>
              <w:jc w:val="center"/>
              <w:rPr>
                <w:spacing w:val="4"/>
                <w:szCs w:val="21"/>
              </w:rPr>
            </w:pPr>
          </w:p>
        </w:tc>
        <w:tc>
          <w:tcPr>
            <w:tcW w:w="2204" w:type="dxa"/>
            <w:vAlign w:val="center"/>
          </w:tcPr>
          <w:p>
            <w:pPr>
              <w:jc w:val="center"/>
              <w:rPr>
                <w:spacing w:val="4"/>
                <w:szCs w:val="21"/>
              </w:rPr>
            </w:pPr>
            <w:r>
              <w:rPr>
                <w:spacing w:val="4"/>
                <w:szCs w:val="21"/>
              </w:rPr>
              <w:t>70m³/艘·d</w:t>
            </w:r>
          </w:p>
        </w:tc>
        <w:tc>
          <w:tcPr>
            <w:tcW w:w="2023" w:type="dxa"/>
            <w:vAlign w:val="center"/>
          </w:tcPr>
          <w:p>
            <w:pPr>
              <w:jc w:val="center"/>
              <w:rPr>
                <w:spacing w:val="4"/>
                <w:szCs w:val="21"/>
              </w:rPr>
            </w:pPr>
            <w:r>
              <w:rPr>
                <w:spacing w:val="4"/>
                <w:szCs w:val="21"/>
              </w:rPr>
              <w:t>70 m</w:t>
            </w:r>
            <w:r>
              <w:rPr>
                <w:spacing w:val="4"/>
                <w:szCs w:val="21"/>
                <w:vertAlign w:val="superscript"/>
              </w:rPr>
              <w:t>3</w:t>
            </w:r>
          </w:p>
        </w:tc>
        <w:tc>
          <w:tcPr>
            <w:tcW w:w="2517" w:type="dxa"/>
            <w:vAlign w:val="center"/>
          </w:tcPr>
          <w:p>
            <w:pPr>
              <w:jc w:val="center"/>
              <w:rPr>
                <w:spacing w:val="4"/>
                <w:szCs w:val="21"/>
              </w:rPr>
            </w:pPr>
            <w:r>
              <w:rPr>
                <w:spacing w:val="4"/>
                <w:szCs w:val="21"/>
              </w:rPr>
              <w:t>Kh=1.2,T=24h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2</w:t>
            </w:r>
          </w:p>
        </w:tc>
        <w:tc>
          <w:tcPr>
            <w:tcW w:w="1708" w:type="dxa"/>
            <w:vAlign w:val="center"/>
          </w:tcPr>
          <w:p>
            <w:pPr>
              <w:jc w:val="center"/>
              <w:rPr>
                <w:spacing w:val="4"/>
                <w:szCs w:val="21"/>
              </w:rPr>
            </w:pPr>
            <w:r>
              <w:rPr>
                <w:spacing w:val="4"/>
                <w:szCs w:val="21"/>
              </w:rPr>
              <w:t>人员生活用水</w:t>
            </w:r>
          </w:p>
        </w:tc>
        <w:tc>
          <w:tcPr>
            <w:tcW w:w="2204" w:type="dxa"/>
            <w:vAlign w:val="center"/>
          </w:tcPr>
          <w:p>
            <w:pPr>
              <w:jc w:val="center"/>
              <w:rPr>
                <w:spacing w:val="4"/>
                <w:szCs w:val="21"/>
              </w:rPr>
            </w:pPr>
            <w:r>
              <w:rPr>
                <w:spacing w:val="4"/>
                <w:szCs w:val="21"/>
              </w:rPr>
              <w:t>50L/人·天</w:t>
            </w:r>
          </w:p>
        </w:tc>
        <w:tc>
          <w:tcPr>
            <w:tcW w:w="2023" w:type="dxa"/>
            <w:vAlign w:val="center"/>
          </w:tcPr>
          <w:p>
            <w:pPr>
              <w:jc w:val="center"/>
              <w:rPr>
                <w:spacing w:val="4"/>
                <w:szCs w:val="21"/>
              </w:rPr>
            </w:pPr>
            <w:r>
              <w:rPr>
                <w:spacing w:val="4"/>
                <w:szCs w:val="21"/>
              </w:rPr>
              <w:t>20.3 m</w:t>
            </w:r>
            <w:r>
              <w:rPr>
                <w:spacing w:val="4"/>
                <w:szCs w:val="21"/>
                <w:vertAlign w:val="superscript"/>
              </w:rPr>
              <w:t>3</w:t>
            </w:r>
          </w:p>
        </w:tc>
        <w:tc>
          <w:tcPr>
            <w:tcW w:w="2517" w:type="dxa"/>
            <w:vAlign w:val="center"/>
          </w:tcPr>
          <w:p>
            <w:pPr>
              <w:jc w:val="center"/>
              <w:rPr>
                <w:spacing w:val="4"/>
                <w:szCs w:val="21"/>
              </w:rPr>
            </w:pPr>
            <w:r>
              <w:rPr>
                <w:spacing w:val="4"/>
                <w:szCs w:val="21"/>
              </w:rPr>
              <w:t>Kh=2.0，T=24h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3</w:t>
            </w:r>
          </w:p>
        </w:tc>
        <w:tc>
          <w:tcPr>
            <w:tcW w:w="1708" w:type="dxa"/>
            <w:vAlign w:val="center"/>
          </w:tcPr>
          <w:p>
            <w:pPr>
              <w:jc w:val="center"/>
              <w:rPr>
                <w:spacing w:val="4"/>
                <w:szCs w:val="21"/>
              </w:rPr>
            </w:pPr>
            <w:r>
              <w:rPr>
                <w:spacing w:val="4"/>
                <w:szCs w:val="21"/>
              </w:rPr>
              <w:t>生产用水</w:t>
            </w:r>
          </w:p>
        </w:tc>
        <w:tc>
          <w:tcPr>
            <w:tcW w:w="2204" w:type="dxa"/>
            <w:vAlign w:val="center"/>
          </w:tcPr>
          <w:p>
            <w:pPr>
              <w:jc w:val="center"/>
              <w:rPr>
                <w:spacing w:val="4"/>
                <w:szCs w:val="21"/>
              </w:rPr>
            </w:pPr>
            <w:r>
              <w:rPr>
                <w:spacing w:val="4"/>
                <w:szCs w:val="21"/>
              </w:rPr>
              <w:t>机修及洗车</w:t>
            </w:r>
          </w:p>
        </w:tc>
        <w:tc>
          <w:tcPr>
            <w:tcW w:w="2023" w:type="dxa"/>
            <w:vAlign w:val="center"/>
          </w:tcPr>
          <w:p>
            <w:pPr>
              <w:jc w:val="center"/>
              <w:rPr>
                <w:spacing w:val="4"/>
                <w:szCs w:val="21"/>
              </w:rPr>
            </w:pPr>
            <w:r>
              <w:rPr>
                <w:spacing w:val="4"/>
                <w:szCs w:val="21"/>
              </w:rPr>
              <w:t>6 m</w:t>
            </w:r>
            <w:r>
              <w:rPr>
                <w:spacing w:val="4"/>
                <w:szCs w:val="21"/>
                <w:vertAlign w:val="superscript"/>
              </w:rPr>
              <w:t>3</w:t>
            </w:r>
          </w:p>
        </w:tc>
        <w:tc>
          <w:tcPr>
            <w:tcW w:w="2517" w:type="dxa"/>
            <w:vAlign w:val="center"/>
          </w:tcPr>
          <w:p>
            <w:pPr>
              <w:jc w:val="center"/>
              <w:rPr>
                <w:spacing w:val="4"/>
                <w:szCs w:val="21"/>
              </w:rPr>
            </w:pPr>
            <w:r>
              <w:rPr>
                <w:spacing w:val="4"/>
                <w:szCs w:val="21"/>
              </w:rPr>
              <w:t>Kh=1.2，T=6h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4</w:t>
            </w:r>
          </w:p>
        </w:tc>
        <w:tc>
          <w:tcPr>
            <w:tcW w:w="1708" w:type="dxa"/>
            <w:vAlign w:val="center"/>
          </w:tcPr>
          <w:p>
            <w:pPr>
              <w:jc w:val="center"/>
              <w:rPr>
                <w:spacing w:val="4"/>
                <w:szCs w:val="21"/>
              </w:rPr>
            </w:pPr>
            <w:r>
              <w:rPr>
                <w:spacing w:val="4"/>
                <w:szCs w:val="21"/>
              </w:rPr>
              <w:t>未预见水量</w:t>
            </w:r>
          </w:p>
        </w:tc>
        <w:tc>
          <w:tcPr>
            <w:tcW w:w="2204" w:type="dxa"/>
            <w:vAlign w:val="center"/>
          </w:tcPr>
          <w:p>
            <w:pPr>
              <w:jc w:val="center"/>
              <w:rPr>
                <w:spacing w:val="4"/>
                <w:szCs w:val="21"/>
              </w:rPr>
            </w:pPr>
            <w:r>
              <w:rPr>
                <w:spacing w:val="4"/>
                <w:szCs w:val="21"/>
              </w:rPr>
              <w:t>（</w:t>
            </w: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w:t>
            </w:r>
            <w:r>
              <w:rPr>
                <w:rFonts w:hint="eastAsia" w:ascii="宋体" w:hAnsi="宋体" w:cs="宋体"/>
                <w:spacing w:val="4"/>
                <w:szCs w:val="21"/>
              </w:rPr>
              <w:t>⑤</w:t>
            </w:r>
            <w:r>
              <w:rPr>
                <w:spacing w:val="4"/>
                <w:szCs w:val="21"/>
              </w:rPr>
              <w:t>）×0.25</w:t>
            </w:r>
          </w:p>
        </w:tc>
        <w:tc>
          <w:tcPr>
            <w:tcW w:w="2023" w:type="dxa"/>
            <w:vAlign w:val="center"/>
          </w:tcPr>
          <w:p>
            <w:pPr>
              <w:jc w:val="center"/>
              <w:rPr>
                <w:spacing w:val="4"/>
                <w:szCs w:val="21"/>
              </w:rPr>
            </w:pPr>
            <w:r>
              <w:rPr>
                <w:spacing w:val="4"/>
                <w:szCs w:val="21"/>
              </w:rPr>
              <w:t>84 m</w:t>
            </w:r>
            <w:r>
              <w:rPr>
                <w:spacing w:val="4"/>
                <w:szCs w:val="21"/>
                <w:vertAlign w:val="superscript"/>
              </w:rPr>
              <w:t>3</w:t>
            </w:r>
          </w:p>
        </w:tc>
        <w:tc>
          <w:tcPr>
            <w:tcW w:w="2517"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5</w:t>
            </w:r>
          </w:p>
        </w:tc>
        <w:tc>
          <w:tcPr>
            <w:tcW w:w="1708" w:type="dxa"/>
            <w:vAlign w:val="center"/>
          </w:tcPr>
          <w:p>
            <w:pPr>
              <w:jc w:val="center"/>
              <w:rPr>
                <w:spacing w:val="4"/>
                <w:szCs w:val="21"/>
              </w:rPr>
            </w:pPr>
            <w:r>
              <w:rPr>
                <w:spacing w:val="4"/>
                <w:szCs w:val="21"/>
              </w:rPr>
              <w:t>最高日用水量</w:t>
            </w:r>
          </w:p>
        </w:tc>
        <w:tc>
          <w:tcPr>
            <w:tcW w:w="2204" w:type="dxa"/>
            <w:vAlign w:val="center"/>
          </w:tcPr>
          <w:p>
            <w:pPr>
              <w:jc w:val="center"/>
              <w:rPr>
                <w:spacing w:val="4"/>
                <w:szCs w:val="21"/>
              </w:rPr>
            </w:pP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w:t>
            </w:r>
            <w:r>
              <w:rPr>
                <w:rFonts w:hint="eastAsia" w:ascii="宋体" w:hAnsi="宋体" w:cs="宋体"/>
                <w:spacing w:val="4"/>
                <w:szCs w:val="21"/>
              </w:rPr>
              <w:t>⑤</w:t>
            </w:r>
            <w:r>
              <w:rPr>
                <w:spacing w:val="4"/>
                <w:szCs w:val="21"/>
              </w:rPr>
              <w:t>+</w:t>
            </w:r>
            <w:r>
              <w:rPr>
                <w:rFonts w:hint="eastAsia" w:ascii="宋体" w:hAnsi="宋体" w:cs="宋体"/>
                <w:spacing w:val="4"/>
                <w:szCs w:val="21"/>
              </w:rPr>
              <w:t>⑥</w:t>
            </w:r>
          </w:p>
        </w:tc>
        <w:tc>
          <w:tcPr>
            <w:tcW w:w="2023" w:type="dxa"/>
            <w:vAlign w:val="center"/>
          </w:tcPr>
          <w:p>
            <w:pPr>
              <w:jc w:val="center"/>
              <w:rPr>
                <w:spacing w:val="4"/>
                <w:szCs w:val="21"/>
              </w:rPr>
            </w:pPr>
            <w:r>
              <w:rPr>
                <w:spacing w:val="4"/>
                <w:szCs w:val="21"/>
              </w:rPr>
              <w:t>420.3 m</w:t>
            </w:r>
            <w:r>
              <w:rPr>
                <w:spacing w:val="4"/>
                <w:szCs w:val="21"/>
                <w:vertAlign w:val="superscript"/>
              </w:rPr>
              <w:t>3</w:t>
            </w:r>
            <w:r>
              <w:rPr>
                <w:spacing w:val="4"/>
                <w:szCs w:val="21"/>
              </w:rPr>
              <w:t>/d</w:t>
            </w:r>
          </w:p>
        </w:tc>
        <w:tc>
          <w:tcPr>
            <w:tcW w:w="2517"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6</w:t>
            </w:r>
          </w:p>
        </w:tc>
        <w:tc>
          <w:tcPr>
            <w:tcW w:w="1708" w:type="dxa"/>
            <w:vAlign w:val="center"/>
          </w:tcPr>
          <w:p>
            <w:pPr>
              <w:jc w:val="center"/>
              <w:rPr>
                <w:spacing w:val="4"/>
                <w:szCs w:val="21"/>
              </w:rPr>
            </w:pPr>
            <w:r>
              <w:rPr>
                <w:spacing w:val="4"/>
                <w:szCs w:val="21"/>
              </w:rPr>
              <w:t>最大时用水量</w:t>
            </w:r>
          </w:p>
        </w:tc>
        <w:tc>
          <w:tcPr>
            <w:tcW w:w="2204" w:type="dxa"/>
            <w:vAlign w:val="center"/>
          </w:tcPr>
          <w:p>
            <w:pPr>
              <w:jc w:val="center"/>
              <w:rPr>
                <w:spacing w:val="4"/>
                <w:szCs w:val="21"/>
              </w:rPr>
            </w:pPr>
          </w:p>
        </w:tc>
        <w:tc>
          <w:tcPr>
            <w:tcW w:w="2023" w:type="dxa"/>
            <w:vAlign w:val="center"/>
          </w:tcPr>
          <w:p>
            <w:pPr>
              <w:jc w:val="center"/>
              <w:rPr>
                <w:spacing w:val="4"/>
                <w:szCs w:val="21"/>
              </w:rPr>
            </w:pPr>
            <w:r>
              <w:rPr>
                <w:spacing w:val="4"/>
                <w:szCs w:val="21"/>
              </w:rPr>
              <w:t>18.8 m</w:t>
            </w:r>
            <w:r>
              <w:rPr>
                <w:spacing w:val="4"/>
                <w:szCs w:val="21"/>
                <w:vertAlign w:val="superscript"/>
              </w:rPr>
              <w:t>3</w:t>
            </w:r>
            <w:r>
              <w:rPr>
                <w:spacing w:val="4"/>
                <w:szCs w:val="21"/>
              </w:rPr>
              <w:t>/h</w:t>
            </w:r>
          </w:p>
        </w:tc>
        <w:tc>
          <w:tcPr>
            <w:tcW w:w="2517"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596" w:type="dxa"/>
            <w:vAlign w:val="center"/>
          </w:tcPr>
          <w:p>
            <w:pPr>
              <w:jc w:val="center"/>
              <w:rPr>
                <w:spacing w:val="4"/>
                <w:szCs w:val="21"/>
              </w:rPr>
            </w:pPr>
            <w:r>
              <w:rPr>
                <w:rFonts w:hint="eastAsia"/>
                <w:spacing w:val="4"/>
                <w:szCs w:val="21"/>
              </w:rPr>
              <w:t>7</w:t>
            </w:r>
          </w:p>
        </w:tc>
        <w:tc>
          <w:tcPr>
            <w:tcW w:w="1708" w:type="dxa"/>
            <w:vAlign w:val="center"/>
          </w:tcPr>
          <w:p>
            <w:pPr>
              <w:jc w:val="center"/>
              <w:rPr>
                <w:spacing w:val="4"/>
                <w:szCs w:val="21"/>
              </w:rPr>
            </w:pPr>
            <w:r>
              <w:rPr>
                <w:spacing w:val="4"/>
                <w:szCs w:val="21"/>
              </w:rPr>
              <w:t>一次消防水量</w:t>
            </w:r>
          </w:p>
        </w:tc>
        <w:tc>
          <w:tcPr>
            <w:tcW w:w="2204" w:type="dxa"/>
            <w:vAlign w:val="center"/>
          </w:tcPr>
          <w:p>
            <w:pPr>
              <w:jc w:val="center"/>
              <w:rPr>
                <w:spacing w:val="4"/>
                <w:szCs w:val="21"/>
              </w:rPr>
            </w:pPr>
          </w:p>
        </w:tc>
        <w:tc>
          <w:tcPr>
            <w:tcW w:w="2023" w:type="dxa"/>
            <w:vAlign w:val="center"/>
          </w:tcPr>
          <w:p>
            <w:pPr>
              <w:jc w:val="center"/>
              <w:rPr>
                <w:spacing w:val="4"/>
                <w:szCs w:val="21"/>
              </w:rPr>
            </w:pPr>
            <w:r>
              <w:rPr>
                <w:spacing w:val="4"/>
                <w:szCs w:val="21"/>
              </w:rPr>
              <w:t>310 m</w:t>
            </w:r>
            <w:r>
              <w:rPr>
                <w:spacing w:val="4"/>
                <w:szCs w:val="21"/>
                <w:vertAlign w:val="superscript"/>
              </w:rPr>
              <w:t>3</w:t>
            </w:r>
          </w:p>
        </w:tc>
        <w:tc>
          <w:tcPr>
            <w:tcW w:w="2517" w:type="dxa"/>
            <w:vAlign w:val="center"/>
          </w:tcPr>
          <w:p>
            <w:pPr>
              <w:jc w:val="center"/>
              <w:rPr>
                <w:spacing w:val="4"/>
                <w:szCs w:val="21"/>
              </w:rPr>
            </w:pPr>
            <w:r>
              <w:rPr>
                <w:spacing w:val="4"/>
                <w:szCs w:val="21"/>
              </w:rPr>
              <w:t>同一时间1次火灾</w:t>
            </w:r>
          </w:p>
        </w:tc>
      </w:tr>
    </w:tbl>
    <w:p>
      <w:pPr>
        <w:pStyle w:val="4"/>
        <w:ind w:firstLine="422"/>
        <w:jc w:val="center"/>
        <w:rPr>
          <w:b/>
        </w:rPr>
      </w:pPr>
      <w:r>
        <w:rPr>
          <w:b/>
        </w:rPr>
        <w:t>表</w:t>
      </w:r>
      <w:r>
        <w:rPr>
          <w:rFonts w:hint="eastAsia"/>
          <w:b/>
        </w:rPr>
        <w:t>2.3-3</w:t>
      </w:r>
      <w:r>
        <w:rPr>
          <w:b/>
        </w:rPr>
        <w:t xml:space="preserve">  7号~11号泊位及其陆域最高日杂用水用水量表</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3"/>
        <w:gridCol w:w="1945"/>
        <w:gridCol w:w="2439"/>
        <w:gridCol w:w="1455"/>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b/>
                <w:spacing w:val="4"/>
                <w:szCs w:val="21"/>
              </w:rPr>
            </w:pPr>
            <w:r>
              <w:rPr>
                <w:b/>
                <w:spacing w:val="4"/>
                <w:szCs w:val="21"/>
              </w:rPr>
              <w:t>序号</w:t>
            </w:r>
          </w:p>
        </w:tc>
        <w:tc>
          <w:tcPr>
            <w:tcW w:w="1945" w:type="dxa"/>
            <w:vAlign w:val="center"/>
          </w:tcPr>
          <w:p>
            <w:pPr>
              <w:jc w:val="center"/>
              <w:rPr>
                <w:b/>
                <w:spacing w:val="4"/>
                <w:szCs w:val="21"/>
              </w:rPr>
            </w:pPr>
            <w:r>
              <w:rPr>
                <w:b/>
                <w:spacing w:val="4"/>
                <w:szCs w:val="21"/>
              </w:rPr>
              <w:t>单位名称</w:t>
            </w:r>
          </w:p>
        </w:tc>
        <w:tc>
          <w:tcPr>
            <w:tcW w:w="2439" w:type="dxa"/>
            <w:vAlign w:val="center"/>
          </w:tcPr>
          <w:p>
            <w:pPr>
              <w:jc w:val="center"/>
              <w:rPr>
                <w:b/>
                <w:spacing w:val="4"/>
                <w:szCs w:val="21"/>
              </w:rPr>
            </w:pPr>
            <w:r>
              <w:rPr>
                <w:b/>
                <w:spacing w:val="4"/>
                <w:szCs w:val="21"/>
              </w:rPr>
              <w:t>用水量标准</w:t>
            </w:r>
          </w:p>
        </w:tc>
        <w:tc>
          <w:tcPr>
            <w:tcW w:w="1455" w:type="dxa"/>
            <w:vAlign w:val="center"/>
          </w:tcPr>
          <w:p>
            <w:pPr>
              <w:jc w:val="center"/>
              <w:rPr>
                <w:b/>
                <w:spacing w:val="4"/>
                <w:szCs w:val="21"/>
              </w:rPr>
            </w:pPr>
            <w:r>
              <w:rPr>
                <w:b/>
                <w:spacing w:val="4"/>
                <w:szCs w:val="21"/>
              </w:rPr>
              <w:t>用水量</w:t>
            </w:r>
          </w:p>
        </w:tc>
        <w:tc>
          <w:tcPr>
            <w:tcW w:w="2376" w:type="dxa"/>
            <w:vAlign w:val="center"/>
          </w:tcPr>
          <w:p>
            <w:pPr>
              <w:jc w:val="center"/>
              <w:rPr>
                <w:b/>
                <w:spacing w:val="4"/>
                <w:szCs w:val="21"/>
              </w:rPr>
            </w:pPr>
            <w:r>
              <w:rPr>
                <w:b/>
                <w:spacing w:val="4"/>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1</w:t>
            </w:r>
          </w:p>
        </w:tc>
        <w:tc>
          <w:tcPr>
            <w:tcW w:w="1945" w:type="dxa"/>
            <w:vAlign w:val="center"/>
          </w:tcPr>
          <w:p>
            <w:pPr>
              <w:jc w:val="center"/>
              <w:rPr>
                <w:spacing w:val="4"/>
                <w:szCs w:val="21"/>
              </w:rPr>
            </w:pPr>
            <w:r>
              <w:rPr>
                <w:spacing w:val="4"/>
                <w:szCs w:val="21"/>
              </w:rPr>
              <w:t>散货堆场高压喷洒用水</w:t>
            </w:r>
          </w:p>
        </w:tc>
        <w:tc>
          <w:tcPr>
            <w:tcW w:w="2439" w:type="dxa"/>
            <w:vAlign w:val="center"/>
          </w:tcPr>
          <w:p>
            <w:pPr>
              <w:jc w:val="center"/>
              <w:rPr>
                <w:spacing w:val="4"/>
                <w:szCs w:val="21"/>
              </w:rPr>
            </w:pPr>
            <w:r>
              <w:rPr>
                <w:spacing w:val="4"/>
                <w:szCs w:val="21"/>
              </w:rPr>
              <w:t>4.0L/（m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222 m</w:t>
            </w:r>
            <w:r>
              <w:rPr>
                <w:spacing w:val="4"/>
                <w:szCs w:val="21"/>
                <w:vertAlign w:val="superscript"/>
              </w:rPr>
              <w:t>3</w:t>
            </w:r>
          </w:p>
        </w:tc>
        <w:tc>
          <w:tcPr>
            <w:tcW w:w="2376" w:type="dxa"/>
            <w:vAlign w:val="center"/>
          </w:tcPr>
          <w:p>
            <w:pPr>
              <w:jc w:val="center"/>
              <w:rPr>
                <w:spacing w:val="4"/>
                <w:szCs w:val="21"/>
              </w:rPr>
            </w:pPr>
            <w:r>
              <w:rPr>
                <w:spacing w:val="4"/>
                <w:szCs w:val="21"/>
              </w:rPr>
              <w:t>Kh=1，T=8h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2</w:t>
            </w:r>
          </w:p>
        </w:tc>
        <w:tc>
          <w:tcPr>
            <w:tcW w:w="1945" w:type="dxa"/>
            <w:vAlign w:val="center"/>
          </w:tcPr>
          <w:p>
            <w:pPr>
              <w:jc w:val="center"/>
              <w:rPr>
                <w:spacing w:val="4"/>
                <w:szCs w:val="21"/>
              </w:rPr>
            </w:pPr>
            <w:r>
              <w:rPr>
                <w:spacing w:val="4"/>
                <w:szCs w:val="21"/>
              </w:rPr>
              <w:t>转运站喷洒用水</w:t>
            </w:r>
          </w:p>
        </w:tc>
        <w:tc>
          <w:tcPr>
            <w:tcW w:w="2439" w:type="dxa"/>
            <w:vAlign w:val="center"/>
          </w:tcPr>
          <w:p>
            <w:pPr>
              <w:jc w:val="center"/>
              <w:rPr>
                <w:spacing w:val="4"/>
                <w:szCs w:val="21"/>
              </w:rPr>
            </w:pPr>
            <w:r>
              <w:rPr>
                <w:spacing w:val="4"/>
                <w:szCs w:val="21"/>
              </w:rPr>
              <w:t>8.64m³/h</w:t>
            </w:r>
          </w:p>
        </w:tc>
        <w:tc>
          <w:tcPr>
            <w:tcW w:w="1455" w:type="dxa"/>
            <w:vAlign w:val="center"/>
          </w:tcPr>
          <w:p>
            <w:pPr>
              <w:jc w:val="center"/>
              <w:rPr>
                <w:spacing w:val="4"/>
                <w:szCs w:val="21"/>
              </w:rPr>
            </w:pPr>
            <w:r>
              <w:rPr>
                <w:spacing w:val="4"/>
                <w:szCs w:val="21"/>
              </w:rPr>
              <w:t>86.4 m</w:t>
            </w:r>
            <w:r>
              <w:rPr>
                <w:spacing w:val="4"/>
                <w:szCs w:val="21"/>
                <w:vertAlign w:val="superscript"/>
              </w:rPr>
              <w:t>3</w:t>
            </w:r>
          </w:p>
        </w:tc>
        <w:tc>
          <w:tcPr>
            <w:tcW w:w="2376" w:type="dxa"/>
            <w:vAlign w:val="center"/>
          </w:tcPr>
          <w:p>
            <w:pPr>
              <w:jc w:val="center"/>
              <w:rPr>
                <w:spacing w:val="4"/>
                <w:szCs w:val="21"/>
              </w:rPr>
            </w:pPr>
            <w:r>
              <w:rPr>
                <w:spacing w:val="4"/>
                <w:szCs w:val="21"/>
              </w:rPr>
              <w:t>Kh=1，T=10h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3</w:t>
            </w:r>
          </w:p>
        </w:tc>
        <w:tc>
          <w:tcPr>
            <w:tcW w:w="1945" w:type="dxa"/>
            <w:vAlign w:val="center"/>
          </w:tcPr>
          <w:p>
            <w:pPr>
              <w:jc w:val="center"/>
              <w:rPr>
                <w:spacing w:val="4"/>
                <w:szCs w:val="21"/>
              </w:rPr>
            </w:pPr>
            <w:r>
              <w:rPr>
                <w:spacing w:val="4"/>
                <w:szCs w:val="21"/>
              </w:rPr>
              <w:t>道路喷洒用水</w:t>
            </w:r>
          </w:p>
        </w:tc>
        <w:tc>
          <w:tcPr>
            <w:tcW w:w="2439" w:type="dxa"/>
            <w:vAlign w:val="center"/>
          </w:tcPr>
          <w:p>
            <w:pPr>
              <w:jc w:val="center"/>
              <w:rPr>
                <w:spacing w:val="4"/>
                <w:szCs w:val="21"/>
              </w:rPr>
            </w:pPr>
            <w:r>
              <w:rPr>
                <w:spacing w:val="4"/>
                <w:szCs w:val="21"/>
              </w:rPr>
              <w:t>0.5L/（m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16.9 m</w:t>
            </w:r>
            <w:r>
              <w:rPr>
                <w:spacing w:val="4"/>
                <w:szCs w:val="21"/>
                <w:vertAlign w:val="superscript"/>
              </w:rPr>
              <w:t>3</w:t>
            </w:r>
          </w:p>
        </w:tc>
        <w:tc>
          <w:tcPr>
            <w:tcW w:w="2376" w:type="dxa"/>
            <w:vAlign w:val="center"/>
          </w:tcPr>
          <w:p>
            <w:pPr>
              <w:jc w:val="center"/>
              <w:rPr>
                <w:spacing w:val="4"/>
                <w:szCs w:val="21"/>
              </w:rPr>
            </w:pPr>
            <w:r>
              <w:rPr>
                <w:spacing w:val="4"/>
                <w:szCs w:val="21"/>
              </w:rPr>
              <w:t>Kh=1，T=4h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4</w:t>
            </w:r>
          </w:p>
        </w:tc>
        <w:tc>
          <w:tcPr>
            <w:tcW w:w="1945" w:type="dxa"/>
            <w:vAlign w:val="center"/>
          </w:tcPr>
          <w:p>
            <w:pPr>
              <w:jc w:val="center"/>
              <w:rPr>
                <w:spacing w:val="4"/>
                <w:szCs w:val="21"/>
              </w:rPr>
            </w:pPr>
            <w:r>
              <w:rPr>
                <w:spacing w:val="4"/>
                <w:szCs w:val="21"/>
              </w:rPr>
              <w:t>绿化用水</w:t>
            </w:r>
          </w:p>
        </w:tc>
        <w:tc>
          <w:tcPr>
            <w:tcW w:w="2439" w:type="dxa"/>
            <w:vAlign w:val="center"/>
          </w:tcPr>
          <w:p>
            <w:pPr>
              <w:jc w:val="center"/>
              <w:rPr>
                <w:spacing w:val="4"/>
                <w:szCs w:val="21"/>
              </w:rPr>
            </w:pPr>
            <w:r>
              <w:rPr>
                <w:spacing w:val="4"/>
                <w:szCs w:val="21"/>
              </w:rPr>
              <w:t>2.0L/（m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16.7 m</w:t>
            </w:r>
            <w:r>
              <w:rPr>
                <w:spacing w:val="4"/>
                <w:szCs w:val="21"/>
                <w:vertAlign w:val="superscript"/>
              </w:rPr>
              <w:t>3</w:t>
            </w:r>
          </w:p>
        </w:tc>
        <w:tc>
          <w:tcPr>
            <w:tcW w:w="2376" w:type="dxa"/>
            <w:vAlign w:val="center"/>
          </w:tcPr>
          <w:p>
            <w:pPr>
              <w:jc w:val="center"/>
              <w:rPr>
                <w:spacing w:val="4"/>
                <w:szCs w:val="21"/>
              </w:rPr>
            </w:pPr>
            <w:r>
              <w:rPr>
                <w:spacing w:val="4"/>
                <w:szCs w:val="21"/>
              </w:rPr>
              <w:t>Kh=1，T=2h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5</w:t>
            </w:r>
          </w:p>
        </w:tc>
        <w:tc>
          <w:tcPr>
            <w:tcW w:w="1945" w:type="dxa"/>
            <w:vAlign w:val="center"/>
          </w:tcPr>
          <w:p>
            <w:pPr>
              <w:jc w:val="center"/>
              <w:rPr>
                <w:spacing w:val="4"/>
                <w:szCs w:val="21"/>
              </w:rPr>
            </w:pPr>
            <w:r>
              <w:rPr>
                <w:spacing w:val="4"/>
                <w:szCs w:val="21"/>
              </w:rPr>
              <w:t>未预见水量</w:t>
            </w:r>
          </w:p>
        </w:tc>
        <w:tc>
          <w:tcPr>
            <w:tcW w:w="2439" w:type="dxa"/>
            <w:vAlign w:val="center"/>
          </w:tcPr>
          <w:p>
            <w:pPr>
              <w:jc w:val="center"/>
              <w:rPr>
                <w:spacing w:val="4"/>
                <w:szCs w:val="21"/>
              </w:rPr>
            </w:pPr>
            <w:r>
              <w:rPr>
                <w:spacing w:val="4"/>
                <w:szCs w:val="21"/>
              </w:rPr>
              <w:t>（</w:t>
            </w: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）×0.25</w:t>
            </w:r>
          </w:p>
        </w:tc>
        <w:tc>
          <w:tcPr>
            <w:tcW w:w="1455" w:type="dxa"/>
            <w:vAlign w:val="center"/>
          </w:tcPr>
          <w:p>
            <w:pPr>
              <w:jc w:val="center"/>
              <w:rPr>
                <w:spacing w:val="4"/>
                <w:szCs w:val="21"/>
              </w:rPr>
            </w:pPr>
            <w:r>
              <w:rPr>
                <w:spacing w:val="4"/>
                <w:szCs w:val="21"/>
              </w:rPr>
              <w:t>85.5 m</w:t>
            </w:r>
            <w:r>
              <w:rPr>
                <w:spacing w:val="4"/>
                <w:szCs w:val="21"/>
                <w:vertAlign w:val="superscript"/>
              </w:rPr>
              <w:t>3</w:t>
            </w:r>
          </w:p>
        </w:tc>
        <w:tc>
          <w:tcPr>
            <w:tcW w:w="2376"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6</w:t>
            </w:r>
          </w:p>
        </w:tc>
        <w:tc>
          <w:tcPr>
            <w:tcW w:w="1945" w:type="dxa"/>
            <w:vAlign w:val="center"/>
          </w:tcPr>
          <w:p>
            <w:pPr>
              <w:jc w:val="center"/>
              <w:rPr>
                <w:spacing w:val="4"/>
                <w:szCs w:val="21"/>
              </w:rPr>
            </w:pPr>
            <w:r>
              <w:rPr>
                <w:spacing w:val="4"/>
                <w:szCs w:val="21"/>
              </w:rPr>
              <w:t>最高日用水量</w:t>
            </w:r>
          </w:p>
        </w:tc>
        <w:tc>
          <w:tcPr>
            <w:tcW w:w="2439" w:type="dxa"/>
            <w:vAlign w:val="center"/>
          </w:tcPr>
          <w:p>
            <w:pPr>
              <w:jc w:val="center"/>
              <w:rPr>
                <w:spacing w:val="4"/>
                <w:szCs w:val="21"/>
              </w:rPr>
            </w:pP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w:t>
            </w:r>
            <w:r>
              <w:rPr>
                <w:rFonts w:hint="eastAsia" w:ascii="宋体" w:hAnsi="宋体" w:cs="宋体"/>
                <w:spacing w:val="4"/>
                <w:szCs w:val="21"/>
              </w:rPr>
              <w:t>⑤</w:t>
            </w:r>
          </w:p>
        </w:tc>
        <w:tc>
          <w:tcPr>
            <w:tcW w:w="1455" w:type="dxa"/>
            <w:vAlign w:val="center"/>
          </w:tcPr>
          <w:p>
            <w:pPr>
              <w:jc w:val="center"/>
              <w:rPr>
                <w:spacing w:val="4"/>
                <w:szCs w:val="21"/>
              </w:rPr>
            </w:pPr>
            <w:r>
              <w:rPr>
                <w:spacing w:val="4"/>
                <w:szCs w:val="21"/>
              </w:rPr>
              <w:t>427.5 m</w:t>
            </w:r>
            <w:r>
              <w:rPr>
                <w:spacing w:val="4"/>
                <w:szCs w:val="21"/>
                <w:vertAlign w:val="superscript"/>
              </w:rPr>
              <w:t>3</w:t>
            </w:r>
            <w:r>
              <w:rPr>
                <w:spacing w:val="4"/>
                <w:szCs w:val="21"/>
              </w:rPr>
              <w:t>/d</w:t>
            </w:r>
          </w:p>
        </w:tc>
        <w:tc>
          <w:tcPr>
            <w:tcW w:w="2376"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7</w:t>
            </w:r>
          </w:p>
        </w:tc>
        <w:tc>
          <w:tcPr>
            <w:tcW w:w="1945" w:type="dxa"/>
            <w:vAlign w:val="center"/>
          </w:tcPr>
          <w:p>
            <w:pPr>
              <w:jc w:val="center"/>
              <w:rPr>
                <w:spacing w:val="4"/>
                <w:szCs w:val="21"/>
              </w:rPr>
            </w:pPr>
            <w:r>
              <w:rPr>
                <w:spacing w:val="4"/>
                <w:szCs w:val="21"/>
              </w:rPr>
              <w:t>最大时用水量</w:t>
            </w:r>
          </w:p>
        </w:tc>
        <w:tc>
          <w:tcPr>
            <w:tcW w:w="2439" w:type="dxa"/>
            <w:vAlign w:val="center"/>
          </w:tcPr>
          <w:p>
            <w:pPr>
              <w:jc w:val="center"/>
              <w:rPr>
                <w:spacing w:val="4"/>
                <w:szCs w:val="21"/>
              </w:rPr>
            </w:pPr>
          </w:p>
        </w:tc>
        <w:tc>
          <w:tcPr>
            <w:tcW w:w="1455" w:type="dxa"/>
            <w:vAlign w:val="center"/>
          </w:tcPr>
          <w:p>
            <w:pPr>
              <w:jc w:val="center"/>
              <w:rPr>
                <w:spacing w:val="4"/>
                <w:szCs w:val="21"/>
              </w:rPr>
            </w:pPr>
            <w:r>
              <w:rPr>
                <w:spacing w:val="4"/>
                <w:szCs w:val="21"/>
              </w:rPr>
              <w:t>48.9m3/h</w:t>
            </w:r>
          </w:p>
        </w:tc>
        <w:tc>
          <w:tcPr>
            <w:tcW w:w="2376" w:type="dxa"/>
            <w:vAlign w:val="center"/>
          </w:tcPr>
          <w:p>
            <w:pPr>
              <w:jc w:val="center"/>
              <w:rPr>
                <w:spacing w:val="4"/>
                <w:szCs w:val="21"/>
              </w:rPr>
            </w:pPr>
          </w:p>
        </w:tc>
      </w:tr>
    </w:tbl>
    <w:p>
      <w:pPr>
        <w:pStyle w:val="4"/>
        <w:ind w:firstLine="422"/>
        <w:jc w:val="center"/>
        <w:rPr>
          <w:b/>
        </w:rPr>
      </w:pPr>
      <w:r>
        <w:rPr>
          <w:rFonts w:hint="eastAsia"/>
          <w:b/>
        </w:rPr>
        <w:t>表2.3-4 12号~13号泊位及其陆域最高日自来水用水量表</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3"/>
        <w:gridCol w:w="1945"/>
        <w:gridCol w:w="2439"/>
        <w:gridCol w:w="1455"/>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b/>
                <w:spacing w:val="4"/>
                <w:szCs w:val="21"/>
              </w:rPr>
            </w:pPr>
            <w:r>
              <w:rPr>
                <w:b/>
                <w:spacing w:val="4"/>
                <w:szCs w:val="21"/>
              </w:rPr>
              <w:t>序号</w:t>
            </w:r>
          </w:p>
        </w:tc>
        <w:tc>
          <w:tcPr>
            <w:tcW w:w="1945" w:type="dxa"/>
            <w:vAlign w:val="center"/>
          </w:tcPr>
          <w:p>
            <w:pPr>
              <w:jc w:val="center"/>
              <w:rPr>
                <w:b/>
                <w:spacing w:val="4"/>
                <w:szCs w:val="21"/>
              </w:rPr>
            </w:pPr>
            <w:r>
              <w:rPr>
                <w:b/>
                <w:spacing w:val="4"/>
                <w:szCs w:val="21"/>
              </w:rPr>
              <w:t>单位名称</w:t>
            </w:r>
          </w:p>
        </w:tc>
        <w:tc>
          <w:tcPr>
            <w:tcW w:w="2439" w:type="dxa"/>
            <w:vAlign w:val="center"/>
          </w:tcPr>
          <w:p>
            <w:pPr>
              <w:jc w:val="center"/>
              <w:rPr>
                <w:b/>
                <w:spacing w:val="4"/>
                <w:szCs w:val="21"/>
              </w:rPr>
            </w:pPr>
            <w:r>
              <w:rPr>
                <w:b/>
                <w:spacing w:val="4"/>
                <w:szCs w:val="21"/>
              </w:rPr>
              <w:t>用水量标准</w:t>
            </w:r>
          </w:p>
        </w:tc>
        <w:tc>
          <w:tcPr>
            <w:tcW w:w="1455" w:type="dxa"/>
            <w:vAlign w:val="center"/>
          </w:tcPr>
          <w:p>
            <w:pPr>
              <w:jc w:val="center"/>
              <w:rPr>
                <w:b/>
                <w:spacing w:val="4"/>
                <w:szCs w:val="21"/>
              </w:rPr>
            </w:pPr>
            <w:r>
              <w:rPr>
                <w:b/>
                <w:spacing w:val="4"/>
                <w:szCs w:val="21"/>
              </w:rPr>
              <w:t>用水量</w:t>
            </w:r>
          </w:p>
        </w:tc>
        <w:tc>
          <w:tcPr>
            <w:tcW w:w="2376" w:type="dxa"/>
            <w:vAlign w:val="center"/>
          </w:tcPr>
          <w:p>
            <w:pPr>
              <w:jc w:val="center"/>
              <w:rPr>
                <w:b/>
                <w:spacing w:val="4"/>
                <w:szCs w:val="21"/>
              </w:rPr>
            </w:pPr>
            <w:r>
              <w:rPr>
                <w:b/>
                <w:spacing w:val="4"/>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1</w:t>
            </w:r>
          </w:p>
        </w:tc>
        <w:tc>
          <w:tcPr>
            <w:tcW w:w="1945" w:type="dxa"/>
            <w:vAlign w:val="center"/>
          </w:tcPr>
          <w:p>
            <w:pPr>
              <w:jc w:val="center"/>
              <w:rPr>
                <w:spacing w:val="4"/>
                <w:szCs w:val="21"/>
              </w:rPr>
            </w:pPr>
            <w:r>
              <w:rPr>
                <w:spacing w:val="4"/>
                <w:szCs w:val="21"/>
              </w:rPr>
              <w:t>散货堆场高压喷洒用水</w:t>
            </w:r>
          </w:p>
        </w:tc>
        <w:tc>
          <w:tcPr>
            <w:tcW w:w="2439" w:type="dxa"/>
            <w:vAlign w:val="center"/>
          </w:tcPr>
          <w:p>
            <w:pPr>
              <w:jc w:val="center"/>
              <w:rPr>
                <w:spacing w:val="4"/>
                <w:szCs w:val="21"/>
              </w:rPr>
            </w:pPr>
            <w:r>
              <w:rPr>
                <w:spacing w:val="4"/>
                <w:szCs w:val="21"/>
              </w:rPr>
              <w:t>4.0L/（m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222 m</w:t>
            </w:r>
            <w:r>
              <w:rPr>
                <w:spacing w:val="4"/>
                <w:szCs w:val="21"/>
                <w:vertAlign w:val="superscript"/>
              </w:rPr>
              <w:t>3</w:t>
            </w:r>
          </w:p>
        </w:tc>
        <w:tc>
          <w:tcPr>
            <w:tcW w:w="2376" w:type="dxa"/>
            <w:vAlign w:val="center"/>
          </w:tcPr>
          <w:p>
            <w:pPr>
              <w:jc w:val="center"/>
              <w:rPr>
                <w:spacing w:val="4"/>
                <w:szCs w:val="21"/>
              </w:rPr>
            </w:pPr>
            <w:r>
              <w:rPr>
                <w:spacing w:val="4"/>
                <w:szCs w:val="21"/>
              </w:rPr>
              <w:t>Kh=1，T=8h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2</w:t>
            </w:r>
          </w:p>
        </w:tc>
        <w:tc>
          <w:tcPr>
            <w:tcW w:w="1945" w:type="dxa"/>
            <w:vAlign w:val="center"/>
          </w:tcPr>
          <w:p>
            <w:pPr>
              <w:jc w:val="center"/>
              <w:rPr>
                <w:spacing w:val="4"/>
                <w:szCs w:val="21"/>
              </w:rPr>
            </w:pPr>
            <w:r>
              <w:rPr>
                <w:spacing w:val="4"/>
                <w:szCs w:val="21"/>
              </w:rPr>
              <w:t>转运站喷洒用水</w:t>
            </w:r>
          </w:p>
        </w:tc>
        <w:tc>
          <w:tcPr>
            <w:tcW w:w="2439" w:type="dxa"/>
            <w:vAlign w:val="center"/>
          </w:tcPr>
          <w:p>
            <w:pPr>
              <w:jc w:val="center"/>
              <w:rPr>
                <w:spacing w:val="4"/>
                <w:szCs w:val="21"/>
              </w:rPr>
            </w:pPr>
            <w:r>
              <w:rPr>
                <w:spacing w:val="4"/>
                <w:szCs w:val="21"/>
              </w:rPr>
              <w:t>8.64m³/h</w:t>
            </w:r>
          </w:p>
        </w:tc>
        <w:tc>
          <w:tcPr>
            <w:tcW w:w="1455" w:type="dxa"/>
            <w:vAlign w:val="center"/>
          </w:tcPr>
          <w:p>
            <w:pPr>
              <w:jc w:val="center"/>
              <w:rPr>
                <w:spacing w:val="4"/>
                <w:szCs w:val="21"/>
              </w:rPr>
            </w:pPr>
            <w:r>
              <w:rPr>
                <w:spacing w:val="4"/>
                <w:szCs w:val="21"/>
              </w:rPr>
              <w:t>86.4 m</w:t>
            </w:r>
            <w:r>
              <w:rPr>
                <w:spacing w:val="4"/>
                <w:szCs w:val="21"/>
                <w:vertAlign w:val="superscript"/>
              </w:rPr>
              <w:t>3</w:t>
            </w:r>
          </w:p>
        </w:tc>
        <w:tc>
          <w:tcPr>
            <w:tcW w:w="2376" w:type="dxa"/>
            <w:vAlign w:val="center"/>
          </w:tcPr>
          <w:p>
            <w:pPr>
              <w:jc w:val="center"/>
              <w:rPr>
                <w:spacing w:val="4"/>
                <w:szCs w:val="21"/>
              </w:rPr>
            </w:pPr>
            <w:r>
              <w:rPr>
                <w:spacing w:val="4"/>
                <w:szCs w:val="21"/>
              </w:rPr>
              <w:t>Kh=1，T=10h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3</w:t>
            </w:r>
          </w:p>
        </w:tc>
        <w:tc>
          <w:tcPr>
            <w:tcW w:w="1945" w:type="dxa"/>
            <w:vAlign w:val="center"/>
          </w:tcPr>
          <w:p>
            <w:pPr>
              <w:jc w:val="center"/>
              <w:rPr>
                <w:spacing w:val="4"/>
                <w:szCs w:val="21"/>
              </w:rPr>
            </w:pPr>
            <w:r>
              <w:rPr>
                <w:spacing w:val="4"/>
                <w:szCs w:val="21"/>
              </w:rPr>
              <w:t>道路喷洒用水</w:t>
            </w:r>
          </w:p>
        </w:tc>
        <w:tc>
          <w:tcPr>
            <w:tcW w:w="2439" w:type="dxa"/>
            <w:vAlign w:val="center"/>
          </w:tcPr>
          <w:p>
            <w:pPr>
              <w:jc w:val="center"/>
              <w:rPr>
                <w:spacing w:val="4"/>
                <w:szCs w:val="21"/>
              </w:rPr>
            </w:pPr>
            <w:r>
              <w:rPr>
                <w:spacing w:val="4"/>
                <w:szCs w:val="21"/>
              </w:rPr>
              <w:t>0.5L/（m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16.9 m</w:t>
            </w:r>
            <w:r>
              <w:rPr>
                <w:spacing w:val="4"/>
                <w:szCs w:val="21"/>
                <w:vertAlign w:val="superscript"/>
              </w:rPr>
              <w:t>3</w:t>
            </w:r>
          </w:p>
        </w:tc>
        <w:tc>
          <w:tcPr>
            <w:tcW w:w="2376" w:type="dxa"/>
            <w:vAlign w:val="center"/>
          </w:tcPr>
          <w:p>
            <w:pPr>
              <w:jc w:val="center"/>
              <w:rPr>
                <w:spacing w:val="4"/>
                <w:szCs w:val="21"/>
              </w:rPr>
            </w:pPr>
            <w:r>
              <w:rPr>
                <w:spacing w:val="4"/>
                <w:szCs w:val="21"/>
              </w:rPr>
              <w:t>Kh=1，T=4h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4</w:t>
            </w:r>
          </w:p>
        </w:tc>
        <w:tc>
          <w:tcPr>
            <w:tcW w:w="1945" w:type="dxa"/>
            <w:vAlign w:val="center"/>
          </w:tcPr>
          <w:p>
            <w:pPr>
              <w:jc w:val="center"/>
              <w:rPr>
                <w:spacing w:val="4"/>
                <w:szCs w:val="21"/>
              </w:rPr>
            </w:pPr>
            <w:r>
              <w:rPr>
                <w:spacing w:val="4"/>
                <w:szCs w:val="21"/>
              </w:rPr>
              <w:t>绿化用水</w:t>
            </w:r>
          </w:p>
        </w:tc>
        <w:tc>
          <w:tcPr>
            <w:tcW w:w="2439" w:type="dxa"/>
            <w:vAlign w:val="center"/>
          </w:tcPr>
          <w:p>
            <w:pPr>
              <w:jc w:val="center"/>
              <w:rPr>
                <w:spacing w:val="4"/>
                <w:szCs w:val="21"/>
              </w:rPr>
            </w:pPr>
            <w:r>
              <w:rPr>
                <w:spacing w:val="4"/>
                <w:szCs w:val="21"/>
              </w:rPr>
              <w:t>2.0L/（m</w:t>
            </w:r>
            <w:r>
              <w:rPr>
                <w:spacing w:val="4"/>
                <w:szCs w:val="21"/>
                <w:vertAlign w:val="superscript"/>
              </w:rPr>
              <w:t>2</w:t>
            </w:r>
            <w:r>
              <w:rPr>
                <w:spacing w:val="4"/>
                <w:szCs w:val="21"/>
              </w:rPr>
              <w:t>·d）</w:t>
            </w:r>
          </w:p>
        </w:tc>
        <w:tc>
          <w:tcPr>
            <w:tcW w:w="1455" w:type="dxa"/>
            <w:vAlign w:val="center"/>
          </w:tcPr>
          <w:p>
            <w:pPr>
              <w:jc w:val="center"/>
              <w:rPr>
                <w:spacing w:val="4"/>
                <w:szCs w:val="21"/>
              </w:rPr>
            </w:pPr>
            <w:r>
              <w:rPr>
                <w:spacing w:val="4"/>
                <w:szCs w:val="21"/>
              </w:rPr>
              <w:t>16.7 m</w:t>
            </w:r>
            <w:r>
              <w:rPr>
                <w:spacing w:val="4"/>
                <w:szCs w:val="21"/>
                <w:vertAlign w:val="superscript"/>
              </w:rPr>
              <w:t>3</w:t>
            </w:r>
          </w:p>
        </w:tc>
        <w:tc>
          <w:tcPr>
            <w:tcW w:w="2376" w:type="dxa"/>
            <w:vAlign w:val="center"/>
          </w:tcPr>
          <w:p>
            <w:pPr>
              <w:jc w:val="center"/>
              <w:rPr>
                <w:spacing w:val="4"/>
                <w:szCs w:val="21"/>
              </w:rPr>
            </w:pPr>
            <w:r>
              <w:rPr>
                <w:spacing w:val="4"/>
                <w:szCs w:val="21"/>
              </w:rPr>
              <w:t>Kh=1，T=2h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5</w:t>
            </w:r>
          </w:p>
        </w:tc>
        <w:tc>
          <w:tcPr>
            <w:tcW w:w="1945" w:type="dxa"/>
            <w:vAlign w:val="center"/>
          </w:tcPr>
          <w:p>
            <w:pPr>
              <w:jc w:val="center"/>
              <w:rPr>
                <w:spacing w:val="4"/>
                <w:szCs w:val="21"/>
              </w:rPr>
            </w:pPr>
            <w:r>
              <w:rPr>
                <w:spacing w:val="4"/>
                <w:szCs w:val="21"/>
              </w:rPr>
              <w:t>未预见水量</w:t>
            </w:r>
          </w:p>
        </w:tc>
        <w:tc>
          <w:tcPr>
            <w:tcW w:w="2439" w:type="dxa"/>
            <w:vAlign w:val="center"/>
          </w:tcPr>
          <w:p>
            <w:pPr>
              <w:jc w:val="center"/>
              <w:rPr>
                <w:spacing w:val="4"/>
                <w:szCs w:val="21"/>
              </w:rPr>
            </w:pPr>
            <w:r>
              <w:rPr>
                <w:spacing w:val="4"/>
                <w:szCs w:val="21"/>
              </w:rPr>
              <w:t>（</w:t>
            </w: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）×0.25</w:t>
            </w:r>
          </w:p>
        </w:tc>
        <w:tc>
          <w:tcPr>
            <w:tcW w:w="1455" w:type="dxa"/>
            <w:vAlign w:val="center"/>
          </w:tcPr>
          <w:p>
            <w:pPr>
              <w:jc w:val="center"/>
              <w:rPr>
                <w:spacing w:val="4"/>
                <w:szCs w:val="21"/>
              </w:rPr>
            </w:pPr>
            <w:r>
              <w:rPr>
                <w:spacing w:val="4"/>
                <w:szCs w:val="21"/>
              </w:rPr>
              <w:t>85.5 m</w:t>
            </w:r>
            <w:r>
              <w:rPr>
                <w:spacing w:val="4"/>
                <w:szCs w:val="21"/>
                <w:vertAlign w:val="superscript"/>
              </w:rPr>
              <w:t>3</w:t>
            </w:r>
          </w:p>
        </w:tc>
        <w:tc>
          <w:tcPr>
            <w:tcW w:w="2376"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6</w:t>
            </w:r>
          </w:p>
        </w:tc>
        <w:tc>
          <w:tcPr>
            <w:tcW w:w="1945" w:type="dxa"/>
            <w:vAlign w:val="center"/>
          </w:tcPr>
          <w:p>
            <w:pPr>
              <w:jc w:val="center"/>
              <w:rPr>
                <w:spacing w:val="4"/>
                <w:szCs w:val="21"/>
              </w:rPr>
            </w:pPr>
            <w:r>
              <w:rPr>
                <w:spacing w:val="4"/>
                <w:szCs w:val="21"/>
              </w:rPr>
              <w:t>最高日用水量</w:t>
            </w:r>
          </w:p>
        </w:tc>
        <w:tc>
          <w:tcPr>
            <w:tcW w:w="2439" w:type="dxa"/>
            <w:vAlign w:val="center"/>
          </w:tcPr>
          <w:p>
            <w:pPr>
              <w:jc w:val="center"/>
              <w:rPr>
                <w:spacing w:val="4"/>
                <w:szCs w:val="21"/>
              </w:rPr>
            </w:pPr>
            <w:r>
              <w:rPr>
                <w:rFonts w:hint="eastAsia" w:ascii="宋体" w:hAnsi="宋体" w:cs="宋体"/>
                <w:spacing w:val="4"/>
                <w:szCs w:val="21"/>
              </w:rPr>
              <w:t>①</w:t>
            </w:r>
            <w:r>
              <w:rPr>
                <w:spacing w:val="4"/>
                <w:szCs w:val="21"/>
              </w:rPr>
              <w:t>+</w:t>
            </w:r>
            <w:r>
              <w:rPr>
                <w:rFonts w:hint="eastAsia" w:ascii="宋体" w:hAnsi="宋体" w:cs="宋体"/>
                <w:spacing w:val="4"/>
                <w:szCs w:val="21"/>
              </w:rPr>
              <w:t>②</w:t>
            </w:r>
            <w:r>
              <w:rPr>
                <w:spacing w:val="4"/>
                <w:szCs w:val="21"/>
              </w:rPr>
              <w:t>+</w:t>
            </w:r>
            <w:r>
              <w:rPr>
                <w:rFonts w:hint="eastAsia" w:ascii="宋体" w:hAnsi="宋体" w:cs="宋体"/>
                <w:spacing w:val="4"/>
                <w:szCs w:val="21"/>
              </w:rPr>
              <w:t>③</w:t>
            </w:r>
            <w:r>
              <w:rPr>
                <w:spacing w:val="4"/>
                <w:szCs w:val="21"/>
              </w:rPr>
              <w:t>+</w:t>
            </w:r>
            <w:r>
              <w:rPr>
                <w:rFonts w:hint="eastAsia" w:ascii="宋体" w:hAnsi="宋体" w:cs="宋体"/>
                <w:spacing w:val="4"/>
                <w:szCs w:val="21"/>
              </w:rPr>
              <w:t>④</w:t>
            </w:r>
            <w:r>
              <w:rPr>
                <w:spacing w:val="4"/>
                <w:szCs w:val="21"/>
              </w:rPr>
              <w:t>+</w:t>
            </w:r>
            <w:r>
              <w:rPr>
                <w:rFonts w:hint="eastAsia" w:ascii="宋体" w:hAnsi="宋体" w:cs="宋体"/>
                <w:spacing w:val="4"/>
                <w:szCs w:val="21"/>
              </w:rPr>
              <w:t>⑤</w:t>
            </w:r>
          </w:p>
        </w:tc>
        <w:tc>
          <w:tcPr>
            <w:tcW w:w="1455" w:type="dxa"/>
            <w:vAlign w:val="center"/>
          </w:tcPr>
          <w:p>
            <w:pPr>
              <w:jc w:val="center"/>
              <w:rPr>
                <w:spacing w:val="4"/>
                <w:szCs w:val="21"/>
              </w:rPr>
            </w:pPr>
            <w:r>
              <w:rPr>
                <w:spacing w:val="4"/>
                <w:szCs w:val="21"/>
              </w:rPr>
              <w:t>427.5 m</w:t>
            </w:r>
            <w:r>
              <w:rPr>
                <w:spacing w:val="4"/>
                <w:szCs w:val="21"/>
                <w:vertAlign w:val="superscript"/>
              </w:rPr>
              <w:t>3</w:t>
            </w:r>
            <w:r>
              <w:rPr>
                <w:spacing w:val="4"/>
                <w:szCs w:val="21"/>
              </w:rPr>
              <w:t>/d</w:t>
            </w:r>
          </w:p>
        </w:tc>
        <w:tc>
          <w:tcPr>
            <w:tcW w:w="2376" w:type="dxa"/>
            <w:vAlign w:val="center"/>
          </w:tcPr>
          <w:p>
            <w:pPr>
              <w:jc w:val="center"/>
              <w:rPr>
                <w:spacing w:val="4"/>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833" w:type="dxa"/>
            <w:vAlign w:val="center"/>
          </w:tcPr>
          <w:p>
            <w:pPr>
              <w:jc w:val="center"/>
              <w:rPr>
                <w:spacing w:val="4"/>
                <w:szCs w:val="21"/>
              </w:rPr>
            </w:pPr>
            <w:r>
              <w:rPr>
                <w:rFonts w:hint="eastAsia"/>
                <w:spacing w:val="4"/>
                <w:szCs w:val="21"/>
              </w:rPr>
              <w:t>7</w:t>
            </w:r>
          </w:p>
        </w:tc>
        <w:tc>
          <w:tcPr>
            <w:tcW w:w="1945" w:type="dxa"/>
            <w:vAlign w:val="center"/>
          </w:tcPr>
          <w:p>
            <w:pPr>
              <w:jc w:val="center"/>
              <w:rPr>
                <w:spacing w:val="4"/>
                <w:szCs w:val="21"/>
              </w:rPr>
            </w:pPr>
            <w:r>
              <w:rPr>
                <w:spacing w:val="4"/>
                <w:szCs w:val="21"/>
              </w:rPr>
              <w:t>最大时用水量</w:t>
            </w:r>
          </w:p>
        </w:tc>
        <w:tc>
          <w:tcPr>
            <w:tcW w:w="2439" w:type="dxa"/>
            <w:vAlign w:val="center"/>
          </w:tcPr>
          <w:p>
            <w:pPr>
              <w:jc w:val="center"/>
              <w:rPr>
                <w:spacing w:val="4"/>
                <w:szCs w:val="21"/>
              </w:rPr>
            </w:pPr>
          </w:p>
        </w:tc>
        <w:tc>
          <w:tcPr>
            <w:tcW w:w="1455" w:type="dxa"/>
            <w:vAlign w:val="center"/>
          </w:tcPr>
          <w:p>
            <w:pPr>
              <w:jc w:val="center"/>
              <w:rPr>
                <w:spacing w:val="4"/>
                <w:szCs w:val="21"/>
              </w:rPr>
            </w:pPr>
            <w:r>
              <w:rPr>
                <w:spacing w:val="4"/>
                <w:szCs w:val="21"/>
              </w:rPr>
              <w:t>48.9 m</w:t>
            </w:r>
            <w:r>
              <w:rPr>
                <w:spacing w:val="4"/>
                <w:szCs w:val="21"/>
                <w:vertAlign w:val="superscript"/>
              </w:rPr>
              <w:t>3</w:t>
            </w:r>
            <w:r>
              <w:rPr>
                <w:spacing w:val="4"/>
                <w:szCs w:val="21"/>
              </w:rPr>
              <w:t>/h</w:t>
            </w:r>
          </w:p>
        </w:tc>
        <w:tc>
          <w:tcPr>
            <w:tcW w:w="2376" w:type="dxa"/>
            <w:vAlign w:val="center"/>
          </w:tcPr>
          <w:p>
            <w:pPr>
              <w:jc w:val="center"/>
              <w:rPr>
                <w:spacing w:val="4"/>
                <w:szCs w:val="21"/>
              </w:rPr>
            </w:pPr>
          </w:p>
        </w:tc>
      </w:tr>
    </w:tbl>
    <w:p>
      <w:pPr>
        <w:pStyle w:val="4"/>
        <w:spacing w:line="360" w:lineRule="auto"/>
        <w:ind w:firstLine="422"/>
        <w:rPr>
          <w:b/>
        </w:rPr>
      </w:pPr>
      <w:r>
        <w:rPr>
          <w:rFonts w:hint="eastAsia"/>
          <w:b/>
        </w:rPr>
        <w:t>（3）给水系统</w:t>
      </w:r>
    </w:p>
    <w:p>
      <w:pPr>
        <w:pStyle w:val="4"/>
        <w:spacing w:line="360" w:lineRule="auto"/>
        <w:ind w:firstLine="480"/>
        <w:rPr>
          <w:sz w:val="24"/>
        </w:rPr>
      </w:pPr>
      <w:r>
        <w:rPr>
          <w:rFonts w:hint="eastAsia"/>
          <w:sz w:val="24"/>
        </w:rPr>
        <w:t>港区7号~11号泊位及其陆域设两套给水管道系统：生活+船舶上水+生产+室外消防设一套给水管道，散货堆场环保用水另设一套给水管道。其它绿化及道路喷洒用水以环保洒水车供应，洒水车平时从环保回用水池取水，当水量不够时则取自杂用水管网。</w:t>
      </w:r>
    </w:p>
    <w:p>
      <w:pPr>
        <w:pStyle w:val="4"/>
        <w:spacing w:line="360" w:lineRule="auto"/>
        <w:ind w:firstLine="480"/>
        <w:rPr>
          <w:b/>
          <w:sz w:val="24"/>
        </w:rPr>
      </w:pPr>
      <w:r>
        <w:rPr>
          <w:rFonts w:hint="eastAsia"/>
          <w:sz w:val="24"/>
        </w:rPr>
        <w:t>生活+船舶上水+生产+室外消防给水管网环状布置，沿港区道路铺设，干管径DN150。建筑单体的生活给水管由港区环状给水管网引出给水支管，下行上给供水。散货堆场环保给水管网环状布置，管径DN150-DN100，沿散货堆场周边布置。</w:t>
      </w:r>
    </w:p>
    <w:p>
      <w:pPr>
        <w:pStyle w:val="4"/>
        <w:spacing w:line="360" w:lineRule="auto"/>
        <w:ind w:firstLine="482"/>
        <w:rPr>
          <w:b/>
          <w:sz w:val="24"/>
        </w:rPr>
      </w:pPr>
      <w:r>
        <w:rPr>
          <w:rFonts w:hint="eastAsia"/>
          <w:b/>
          <w:sz w:val="24"/>
        </w:rPr>
        <w:t>（4）排水</w:t>
      </w:r>
    </w:p>
    <w:p>
      <w:pPr>
        <w:pStyle w:val="4"/>
        <w:spacing w:line="360" w:lineRule="auto"/>
        <w:ind w:firstLine="480"/>
        <w:rPr>
          <w:sz w:val="24"/>
        </w:rPr>
      </w:pPr>
      <w:r>
        <w:rPr>
          <w:rFonts w:hint="eastAsia"/>
          <w:sz w:val="24"/>
        </w:rPr>
        <w:t>港区采用雨、污分流排水制。</w:t>
      </w:r>
    </w:p>
    <w:p>
      <w:pPr>
        <w:pStyle w:val="4"/>
        <w:spacing w:line="360" w:lineRule="auto"/>
        <w:ind w:firstLine="480"/>
        <w:rPr>
          <w:sz w:val="24"/>
        </w:rPr>
      </w:pPr>
      <w:r>
        <w:rPr>
          <w:rFonts w:hint="eastAsia"/>
          <w:sz w:val="24"/>
        </w:rPr>
        <w:t>港区采用雨、污分流排水制。</w:t>
      </w:r>
    </w:p>
    <w:p>
      <w:pPr>
        <w:pStyle w:val="4"/>
        <w:numPr>
          <w:ilvl w:val="0"/>
          <w:numId w:val="21"/>
        </w:numPr>
        <w:spacing w:line="360" w:lineRule="auto"/>
        <w:ind w:firstLineChars="0"/>
        <w:rPr>
          <w:b/>
          <w:sz w:val="24"/>
        </w:rPr>
      </w:pPr>
      <w:r>
        <w:rPr>
          <w:rFonts w:hint="eastAsia"/>
          <w:b/>
          <w:sz w:val="24"/>
        </w:rPr>
        <w:t>雨水系统</w:t>
      </w:r>
    </w:p>
    <w:p>
      <w:pPr>
        <w:spacing w:line="360" w:lineRule="auto"/>
        <w:ind w:firstLine="480" w:firstLineChars="200"/>
        <w:jc w:val="left"/>
        <w:rPr>
          <w:sz w:val="24"/>
        </w:rPr>
      </w:pPr>
      <w:r>
        <w:rPr>
          <w:rFonts w:hint="eastAsia"/>
          <w:sz w:val="24"/>
        </w:rPr>
        <w:t>7号~11号泊位陆域划分为3个排水区域，为生辅区及钢材堆场、散货堆场、子堤外钢材堆场。干堤内生辅区及钢材堆场均采用有组织暗管系统，收集地面雨水重力自流排至港区雨水管网，排出口管径为D700；散货堆场区雨水采用排水明沟收集后排入调蓄池，经过调蓄池及一体化装置处理达标后进入贮水池回用，调蓄池设置溢流管，场地事故溢流排水排至市政雨水管网，溢流管管径为D800。干堤外钢材堆场雨水直接汇入白洋作业区起步工程陆域区域排水明沟。12号~13号泊位陆域划分为1个排水区域，均采用有组织暗管系统，排出口管径为D1200。雨水通过排水泵提升排入港区东侧明渠。具体见环保措施章节。</w:t>
      </w:r>
    </w:p>
    <w:p>
      <w:pPr>
        <w:pStyle w:val="4"/>
        <w:spacing w:line="360" w:lineRule="auto"/>
        <w:ind w:firstLine="482"/>
        <w:rPr>
          <w:b/>
          <w:sz w:val="24"/>
        </w:rPr>
      </w:pPr>
      <w:r>
        <w:rPr>
          <w:rFonts w:hint="eastAsia"/>
          <w:b/>
          <w:sz w:val="24"/>
        </w:rPr>
        <w:t>②污水系统</w:t>
      </w:r>
    </w:p>
    <w:p>
      <w:pPr>
        <w:pStyle w:val="4"/>
        <w:spacing w:line="360" w:lineRule="auto"/>
        <w:ind w:firstLine="480"/>
        <w:rPr>
          <w:sz w:val="24"/>
        </w:rPr>
      </w:pPr>
      <w:r>
        <w:rPr>
          <w:rFonts w:hint="eastAsia"/>
          <w:sz w:val="24"/>
        </w:rPr>
        <w:t>生活污水：港区建筑单体内部采用污水、废水合流排放的方式。本港区7#—11#泊位陆域最高日生活排水总量约40.3m3/d，12#—13#泊位陆域无生活污水发生。生活污水通过化粪池预处理后排入规划市政污水管网。</w:t>
      </w:r>
    </w:p>
    <w:p>
      <w:pPr>
        <w:pStyle w:val="4"/>
        <w:spacing w:line="360" w:lineRule="auto"/>
        <w:ind w:firstLine="480"/>
        <w:rPr>
          <w:sz w:val="24"/>
        </w:rPr>
      </w:pPr>
      <w:r>
        <w:rPr>
          <w:rFonts w:hint="eastAsia"/>
          <w:sz w:val="24"/>
        </w:rPr>
        <w:t>生产污、废水：港区生产废水主要为污染较轻的道路冲洗废水等，主要污染因子为SS，堆场区的排水出口前设置初期雨水沉淀池，收集堆场的初期雨水及生产废水，经沉淀处理后回用堆场冲洗。</w:t>
      </w:r>
    </w:p>
    <w:p>
      <w:pPr>
        <w:spacing w:line="360" w:lineRule="auto"/>
        <w:ind w:firstLine="480" w:firstLineChars="200"/>
        <w:jc w:val="left"/>
        <w:rPr>
          <w:sz w:val="24"/>
        </w:rPr>
      </w:pPr>
      <w:r>
        <w:rPr>
          <w:rFonts w:hint="eastAsia"/>
          <w:sz w:val="24"/>
        </w:rPr>
        <w:t>生产污水主要为机修车间排出的少量机修污水，上述污水经隔油沉淀池处理后排入港区污水管网，最终排入市政污水管网。</w:t>
      </w:r>
    </w:p>
    <w:p>
      <w:pPr>
        <w:pStyle w:val="4"/>
        <w:spacing w:line="360" w:lineRule="auto"/>
        <w:ind w:firstLine="482"/>
        <w:rPr>
          <w:b/>
          <w:sz w:val="24"/>
        </w:rPr>
      </w:pPr>
      <w:r>
        <w:rPr>
          <w:rFonts w:hint="eastAsia"/>
          <w:b/>
          <w:sz w:val="24"/>
        </w:rPr>
        <w:t>（5）消防</w:t>
      </w:r>
    </w:p>
    <w:p>
      <w:pPr>
        <w:pStyle w:val="4"/>
        <w:spacing w:line="360" w:lineRule="auto"/>
        <w:ind w:firstLine="480"/>
        <w:rPr>
          <w:sz w:val="24"/>
        </w:rPr>
      </w:pPr>
      <w:r>
        <w:rPr>
          <w:rFonts w:hint="eastAsia"/>
          <w:sz w:val="24"/>
        </w:rPr>
        <w:t>距离本项目选址约3km的附近将规划建设一座城市消防站，可为本工程提供消防外援。本港区消防纳入该消防站管辖范围，白洋作业区起步工程设有主干管径为DN200的生活+室外，可提供本工程7号~11号泊位陆域室外消防水源，另设有室内、自喷消防泵房，可满足本工程7号~11号陆域室内消火栓及自喷消防功能要求。12号~13号泊位陆域自沙湾路和下敷设有DN400的市政环状管网，可提供本工程消防水源。</w:t>
      </w:r>
    </w:p>
    <w:p>
      <w:pPr>
        <w:pStyle w:val="6"/>
        <w:tabs>
          <w:tab w:val="left" w:pos="-489"/>
          <w:tab w:val="left" w:pos="864"/>
          <w:tab w:val="clear" w:pos="1290"/>
        </w:tabs>
        <w:spacing w:before="0" w:beforeLines="0" w:after="0" w:afterLines="0"/>
        <w:ind w:left="0" w:firstLine="0"/>
        <w:rPr>
          <w:rFonts w:ascii="Times New Roman" w:hAnsi="Times New Roman"/>
        </w:rPr>
      </w:pPr>
      <w:r>
        <w:rPr>
          <w:rFonts w:hint="eastAsia" w:ascii="Times New Roman" w:hAnsi="Times New Roman"/>
        </w:rPr>
        <w:t>生产与辅助建筑物</w:t>
      </w:r>
    </w:p>
    <w:p>
      <w:pPr>
        <w:pStyle w:val="4"/>
        <w:spacing w:line="360" w:lineRule="auto"/>
        <w:ind w:firstLine="480"/>
        <w:jc w:val="left"/>
        <w:rPr>
          <w:sz w:val="24"/>
        </w:rPr>
      </w:pPr>
      <w:r>
        <w:rPr>
          <w:rFonts w:hint="eastAsia"/>
          <w:sz w:val="24"/>
        </w:rPr>
        <w:t>生产辅助建筑物见表2.3-5。</w:t>
      </w:r>
    </w:p>
    <w:p>
      <w:pPr>
        <w:pStyle w:val="4"/>
        <w:ind w:firstLine="422"/>
        <w:jc w:val="center"/>
        <w:rPr>
          <w:b/>
        </w:rPr>
      </w:pPr>
      <w:r>
        <w:rPr>
          <w:b/>
        </w:rPr>
        <w:t>表</w:t>
      </w:r>
      <w:r>
        <w:rPr>
          <w:rFonts w:hint="eastAsia"/>
          <w:b/>
        </w:rPr>
        <w:t>2.3-5</w:t>
      </w:r>
      <w:r>
        <w:rPr>
          <w:b/>
        </w:rPr>
        <w:t>生产及辅助建筑物建设规模构成一览表</w:t>
      </w:r>
    </w:p>
    <w:tbl>
      <w:tblPr>
        <w:tblStyle w:val="104"/>
        <w:tblW w:w="83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4"/>
        <w:gridCol w:w="1993"/>
        <w:gridCol w:w="2108"/>
        <w:gridCol w:w="3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824" w:type="dxa"/>
            <w:vAlign w:val="center"/>
          </w:tcPr>
          <w:p>
            <w:pPr>
              <w:adjustRightInd w:val="0"/>
              <w:snapToGrid w:val="0"/>
              <w:jc w:val="center"/>
              <w:rPr>
                <w:b/>
                <w:szCs w:val="21"/>
              </w:rPr>
            </w:pPr>
            <w:r>
              <w:rPr>
                <w:b/>
                <w:szCs w:val="21"/>
              </w:rPr>
              <w:t>序号</w:t>
            </w:r>
          </w:p>
        </w:tc>
        <w:tc>
          <w:tcPr>
            <w:tcW w:w="1993" w:type="dxa"/>
            <w:vAlign w:val="center"/>
          </w:tcPr>
          <w:p>
            <w:pPr>
              <w:adjustRightInd w:val="0"/>
              <w:snapToGrid w:val="0"/>
              <w:jc w:val="center"/>
              <w:rPr>
                <w:b/>
                <w:szCs w:val="21"/>
              </w:rPr>
            </w:pPr>
            <w:r>
              <w:rPr>
                <w:b/>
                <w:szCs w:val="21"/>
              </w:rPr>
              <w:t>单项名称</w:t>
            </w:r>
          </w:p>
        </w:tc>
        <w:tc>
          <w:tcPr>
            <w:tcW w:w="2108" w:type="dxa"/>
            <w:vAlign w:val="center"/>
          </w:tcPr>
          <w:p>
            <w:pPr>
              <w:adjustRightInd w:val="0"/>
              <w:snapToGrid w:val="0"/>
              <w:jc w:val="center"/>
              <w:rPr>
                <w:b/>
                <w:szCs w:val="21"/>
              </w:rPr>
            </w:pPr>
            <w:r>
              <w:rPr>
                <w:b/>
                <w:szCs w:val="21"/>
              </w:rPr>
              <w:t>建筑面积（</w:t>
            </w:r>
            <w:r>
              <w:rPr>
                <w:rFonts w:eastAsia="Microsoft JhengHei"/>
                <w:b/>
                <w:szCs w:val="21"/>
              </w:rPr>
              <w:t>㎡</w:t>
            </w:r>
            <w:r>
              <w:rPr>
                <w:b/>
                <w:szCs w:val="21"/>
              </w:rPr>
              <w:t>）</w:t>
            </w:r>
          </w:p>
        </w:tc>
        <w:tc>
          <w:tcPr>
            <w:tcW w:w="3392" w:type="dxa"/>
            <w:vAlign w:val="center"/>
          </w:tcPr>
          <w:p>
            <w:pPr>
              <w:adjustRightInd w:val="0"/>
              <w:snapToGrid w:val="0"/>
              <w:jc w:val="center"/>
              <w:rPr>
                <w:b/>
                <w:szCs w:val="21"/>
              </w:rPr>
            </w:pPr>
            <w:r>
              <w:rPr>
                <w:b/>
                <w:szCs w:val="21"/>
              </w:rPr>
              <w:t>建筑层数及高度或檐口高度（m）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9" w:hRule="atLeast"/>
          <w:jc w:val="center"/>
        </w:trPr>
        <w:tc>
          <w:tcPr>
            <w:tcW w:w="824" w:type="dxa"/>
            <w:vAlign w:val="center"/>
          </w:tcPr>
          <w:p>
            <w:pPr>
              <w:adjustRightInd w:val="0"/>
              <w:snapToGrid w:val="0"/>
              <w:jc w:val="center"/>
              <w:rPr>
                <w:szCs w:val="21"/>
              </w:rPr>
            </w:pPr>
            <w:r>
              <w:rPr>
                <w:szCs w:val="21"/>
              </w:rPr>
              <w:t>1</w:t>
            </w:r>
          </w:p>
        </w:tc>
        <w:tc>
          <w:tcPr>
            <w:tcW w:w="1993" w:type="dxa"/>
            <w:vAlign w:val="center"/>
          </w:tcPr>
          <w:p>
            <w:pPr>
              <w:adjustRightInd w:val="0"/>
              <w:snapToGrid w:val="0"/>
              <w:jc w:val="center"/>
              <w:rPr>
                <w:szCs w:val="21"/>
              </w:rPr>
            </w:pPr>
            <w:r>
              <w:rPr>
                <w:szCs w:val="21"/>
              </w:rPr>
              <w:t>G2-Z01转运站</w:t>
            </w:r>
          </w:p>
        </w:tc>
        <w:tc>
          <w:tcPr>
            <w:tcW w:w="2108" w:type="dxa"/>
            <w:vAlign w:val="center"/>
          </w:tcPr>
          <w:p>
            <w:pPr>
              <w:adjustRightInd w:val="0"/>
              <w:snapToGrid w:val="0"/>
              <w:jc w:val="center"/>
              <w:rPr>
                <w:szCs w:val="21"/>
              </w:rPr>
            </w:pPr>
            <w:r>
              <w:rPr>
                <w:szCs w:val="21"/>
              </w:rPr>
              <w:t>145</w:t>
            </w:r>
          </w:p>
        </w:tc>
        <w:tc>
          <w:tcPr>
            <w:tcW w:w="3392" w:type="dxa"/>
            <w:vAlign w:val="center"/>
          </w:tcPr>
          <w:p>
            <w:pPr>
              <w:adjustRightInd w:val="0"/>
              <w:snapToGrid w:val="0"/>
              <w:jc w:val="center"/>
              <w:rPr>
                <w:szCs w:val="21"/>
              </w:rPr>
            </w:pPr>
            <w:r>
              <w:rPr>
                <w:szCs w:val="21"/>
              </w:rPr>
              <w:t>2层，10.7m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9" w:hRule="atLeast"/>
          <w:jc w:val="center"/>
        </w:trPr>
        <w:tc>
          <w:tcPr>
            <w:tcW w:w="824" w:type="dxa"/>
            <w:vAlign w:val="center"/>
          </w:tcPr>
          <w:p>
            <w:pPr>
              <w:adjustRightInd w:val="0"/>
              <w:snapToGrid w:val="0"/>
              <w:jc w:val="center"/>
              <w:rPr>
                <w:szCs w:val="21"/>
              </w:rPr>
            </w:pPr>
            <w:r>
              <w:rPr>
                <w:szCs w:val="21"/>
              </w:rPr>
              <w:t>2</w:t>
            </w:r>
          </w:p>
        </w:tc>
        <w:tc>
          <w:tcPr>
            <w:tcW w:w="1993" w:type="dxa"/>
            <w:vAlign w:val="center"/>
          </w:tcPr>
          <w:p>
            <w:pPr>
              <w:adjustRightInd w:val="0"/>
              <w:snapToGrid w:val="0"/>
              <w:jc w:val="center"/>
              <w:rPr>
                <w:szCs w:val="21"/>
              </w:rPr>
            </w:pPr>
            <w:r>
              <w:rPr>
                <w:szCs w:val="21"/>
              </w:rPr>
              <w:t>G2-Z02转运站</w:t>
            </w:r>
          </w:p>
        </w:tc>
        <w:tc>
          <w:tcPr>
            <w:tcW w:w="2108" w:type="dxa"/>
            <w:vAlign w:val="center"/>
          </w:tcPr>
          <w:p>
            <w:pPr>
              <w:adjustRightInd w:val="0"/>
              <w:snapToGrid w:val="0"/>
              <w:jc w:val="center"/>
              <w:rPr>
                <w:szCs w:val="21"/>
              </w:rPr>
            </w:pPr>
            <w:r>
              <w:rPr>
                <w:szCs w:val="21"/>
              </w:rPr>
              <w:t>110</w:t>
            </w:r>
          </w:p>
        </w:tc>
        <w:tc>
          <w:tcPr>
            <w:tcW w:w="3392" w:type="dxa"/>
            <w:vAlign w:val="center"/>
          </w:tcPr>
          <w:p>
            <w:pPr>
              <w:adjustRightInd w:val="0"/>
              <w:snapToGrid w:val="0"/>
              <w:jc w:val="center"/>
              <w:rPr>
                <w:szCs w:val="21"/>
              </w:rPr>
            </w:pPr>
            <w:r>
              <w:rPr>
                <w:szCs w:val="21"/>
              </w:rPr>
              <w:t>2层，12.8m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r>
              <w:rPr>
                <w:szCs w:val="21"/>
              </w:rPr>
              <w:t>3</w:t>
            </w:r>
          </w:p>
        </w:tc>
        <w:tc>
          <w:tcPr>
            <w:tcW w:w="1993" w:type="dxa"/>
            <w:vAlign w:val="center"/>
          </w:tcPr>
          <w:p>
            <w:pPr>
              <w:adjustRightInd w:val="0"/>
              <w:snapToGrid w:val="0"/>
              <w:jc w:val="center"/>
              <w:rPr>
                <w:szCs w:val="21"/>
              </w:rPr>
            </w:pPr>
            <w:r>
              <w:rPr>
                <w:szCs w:val="21"/>
              </w:rPr>
              <w:t>G2-1～4#地磅房</w:t>
            </w:r>
          </w:p>
        </w:tc>
        <w:tc>
          <w:tcPr>
            <w:tcW w:w="2108" w:type="dxa"/>
            <w:vAlign w:val="center"/>
          </w:tcPr>
          <w:p>
            <w:pPr>
              <w:adjustRightInd w:val="0"/>
              <w:snapToGrid w:val="0"/>
              <w:jc w:val="center"/>
              <w:rPr>
                <w:szCs w:val="21"/>
              </w:rPr>
            </w:pPr>
            <w:r>
              <w:rPr>
                <w:szCs w:val="21"/>
              </w:rPr>
              <w:t>17*4=68</w:t>
            </w:r>
          </w:p>
        </w:tc>
        <w:tc>
          <w:tcPr>
            <w:tcW w:w="3392" w:type="dxa"/>
            <w:vAlign w:val="center"/>
          </w:tcPr>
          <w:p>
            <w:pPr>
              <w:adjustRightInd w:val="0"/>
              <w:snapToGrid w:val="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bookmarkStart w:id="71" w:name="_Hlk431207877"/>
            <w:r>
              <w:rPr>
                <w:szCs w:val="21"/>
              </w:rPr>
              <w:t>4</w:t>
            </w:r>
          </w:p>
        </w:tc>
        <w:tc>
          <w:tcPr>
            <w:tcW w:w="1993" w:type="dxa"/>
            <w:vAlign w:val="center"/>
          </w:tcPr>
          <w:p>
            <w:pPr>
              <w:adjustRightInd w:val="0"/>
              <w:snapToGrid w:val="0"/>
              <w:jc w:val="center"/>
              <w:rPr>
                <w:szCs w:val="21"/>
              </w:rPr>
            </w:pPr>
            <w:r>
              <w:rPr>
                <w:szCs w:val="21"/>
              </w:rPr>
              <w:t>G2-3～5#门房</w:t>
            </w:r>
          </w:p>
        </w:tc>
        <w:tc>
          <w:tcPr>
            <w:tcW w:w="2108" w:type="dxa"/>
            <w:vAlign w:val="center"/>
          </w:tcPr>
          <w:p>
            <w:pPr>
              <w:adjustRightInd w:val="0"/>
              <w:snapToGrid w:val="0"/>
              <w:jc w:val="center"/>
              <w:rPr>
                <w:szCs w:val="21"/>
              </w:rPr>
            </w:pPr>
            <w:r>
              <w:rPr>
                <w:szCs w:val="21"/>
              </w:rPr>
              <w:t>17*3=51</w:t>
            </w:r>
          </w:p>
        </w:tc>
        <w:tc>
          <w:tcPr>
            <w:tcW w:w="3392" w:type="dxa"/>
            <w:vAlign w:val="center"/>
          </w:tcPr>
          <w:p>
            <w:pPr>
              <w:adjustRightInd w:val="0"/>
              <w:snapToGrid w:val="0"/>
              <w:jc w:val="center"/>
              <w:rPr>
                <w:szCs w:val="21"/>
              </w:rPr>
            </w:pPr>
            <w:r>
              <w:rPr>
                <w:szCs w:val="21"/>
              </w:rPr>
              <w:t>1层，3.6m</w:t>
            </w:r>
          </w:p>
        </w:tc>
      </w:tr>
      <w:bookmarkEnd w:id="7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r>
              <w:rPr>
                <w:szCs w:val="21"/>
              </w:rPr>
              <w:t>5</w:t>
            </w:r>
          </w:p>
        </w:tc>
        <w:tc>
          <w:tcPr>
            <w:tcW w:w="1993" w:type="dxa"/>
            <w:vAlign w:val="center"/>
          </w:tcPr>
          <w:p>
            <w:pPr>
              <w:adjustRightInd w:val="0"/>
              <w:snapToGrid w:val="0"/>
              <w:jc w:val="center"/>
              <w:rPr>
                <w:szCs w:val="21"/>
              </w:rPr>
            </w:pPr>
            <w:r>
              <w:rPr>
                <w:szCs w:val="21"/>
              </w:rPr>
              <w:t>G2-A变电所</w:t>
            </w:r>
          </w:p>
        </w:tc>
        <w:tc>
          <w:tcPr>
            <w:tcW w:w="2108" w:type="dxa"/>
            <w:vAlign w:val="center"/>
          </w:tcPr>
          <w:p>
            <w:pPr>
              <w:adjustRightInd w:val="0"/>
              <w:snapToGrid w:val="0"/>
              <w:jc w:val="center"/>
              <w:rPr>
                <w:szCs w:val="21"/>
              </w:rPr>
            </w:pPr>
            <w:r>
              <w:rPr>
                <w:szCs w:val="21"/>
              </w:rPr>
              <w:t>155</w:t>
            </w:r>
          </w:p>
        </w:tc>
        <w:tc>
          <w:tcPr>
            <w:tcW w:w="3392" w:type="dxa"/>
            <w:vAlign w:val="center"/>
          </w:tcPr>
          <w:p>
            <w:pPr>
              <w:adjustRightInd w:val="0"/>
              <w:snapToGrid w:val="0"/>
              <w:jc w:val="center"/>
              <w:rPr>
                <w:szCs w:val="21"/>
              </w:rPr>
            </w:pPr>
            <w:r>
              <w:rPr>
                <w:szCs w:val="21"/>
              </w:rPr>
              <w:t>1层，3.6m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824" w:type="dxa"/>
            <w:vAlign w:val="center"/>
          </w:tcPr>
          <w:p>
            <w:pPr>
              <w:adjustRightInd w:val="0"/>
              <w:snapToGrid w:val="0"/>
              <w:jc w:val="center"/>
              <w:rPr>
                <w:szCs w:val="21"/>
              </w:rPr>
            </w:pPr>
            <w:r>
              <w:rPr>
                <w:szCs w:val="21"/>
              </w:rPr>
              <w:t>6</w:t>
            </w:r>
          </w:p>
        </w:tc>
        <w:tc>
          <w:tcPr>
            <w:tcW w:w="1993" w:type="dxa"/>
            <w:vAlign w:val="center"/>
          </w:tcPr>
          <w:p>
            <w:pPr>
              <w:adjustRightInd w:val="0"/>
              <w:snapToGrid w:val="0"/>
              <w:jc w:val="center"/>
              <w:rPr>
                <w:szCs w:val="21"/>
              </w:rPr>
            </w:pPr>
            <w:r>
              <w:rPr>
                <w:szCs w:val="21"/>
              </w:rPr>
              <w:t>G2-B变电所</w:t>
            </w:r>
          </w:p>
        </w:tc>
        <w:tc>
          <w:tcPr>
            <w:tcW w:w="2108" w:type="dxa"/>
            <w:vAlign w:val="center"/>
          </w:tcPr>
          <w:p>
            <w:pPr>
              <w:adjustRightInd w:val="0"/>
              <w:snapToGrid w:val="0"/>
              <w:jc w:val="center"/>
              <w:rPr>
                <w:szCs w:val="21"/>
              </w:rPr>
            </w:pPr>
            <w:r>
              <w:rPr>
                <w:szCs w:val="21"/>
              </w:rPr>
              <w:t>155</w:t>
            </w:r>
          </w:p>
        </w:tc>
        <w:tc>
          <w:tcPr>
            <w:tcW w:w="3392" w:type="dxa"/>
            <w:vAlign w:val="center"/>
          </w:tcPr>
          <w:p>
            <w:pPr>
              <w:tabs>
                <w:tab w:val="left" w:pos="3240"/>
              </w:tabs>
              <w:adjustRightInd w:val="0"/>
              <w:snapToGrid w:val="0"/>
              <w:jc w:val="center"/>
              <w:rPr>
                <w:szCs w:val="21"/>
              </w:rPr>
            </w:pPr>
            <w:r>
              <w:rPr>
                <w:szCs w:val="21"/>
              </w:rPr>
              <w:t>1层，5.4m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9" w:hRule="atLeast"/>
          <w:jc w:val="center"/>
        </w:trPr>
        <w:tc>
          <w:tcPr>
            <w:tcW w:w="824" w:type="dxa"/>
            <w:vAlign w:val="center"/>
          </w:tcPr>
          <w:p>
            <w:pPr>
              <w:adjustRightInd w:val="0"/>
              <w:snapToGrid w:val="0"/>
              <w:jc w:val="center"/>
              <w:rPr>
                <w:szCs w:val="21"/>
              </w:rPr>
            </w:pPr>
            <w:r>
              <w:rPr>
                <w:szCs w:val="21"/>
              </w:rPr>
              <w:t>7</w:t>
            </w:r>
          </w:p>
        </w:tc>
        <w:tc>
          <w:tcPr>
            <w:tcW w:w="1993" w:type="dxa"/>
            <w:vAlign w:val="center"/>
          </w:tcPr>
          <w:p>
            <w:pPr>
              <w:adjustRightInd w:val="0"/>
              <w:snapToGrid w:val="0"/>
              <w:jc w:val="center"/>
              <w:rPr>
                <w:szCs w:val="21"/>
              </w:rPr>
            </w:pPr>
            <w:r>
              <w:rPr>
                <w:szCs w:val="21"/>
              </w:rPr>
              <w:t>G2-C变电所</w:t>
            </w:r>
          </w:p>
        </w:tc>
        <w:tc>
          <w:tcPr>
            <w:tcW w:w="2108" w:type="dxa"/>
            <w:vAlign w:val="center"/>
          </w:tcPr>
          <w:p>
            <w:pPr>
              <w:adjustRightInd w:val="0"/>
              <w:snapToGrid w:val="0"/>
              <w:jc w:val="center"/>
              <w:rPr>
                <w:szCs w:val="21"/>
              </w:rPr>
            </w:pPr>
            <w:r>
              <w:rPr>
                <w:szCs w:val="21"/>
              </w:rPr>
              <w:t>133</w:t>
            </w:r>
          </w:p>
        </w:tc>
        <w:tc>
          <w:tcPr>
            <w:tcW w:w="3392" w:type="dxa"/>
            <w:vAlign w:val="center"/>
          </w:tcPr>
          <w:p>
            <w:pPr>
              <w:tabs>
                <w:tab w:val="left" w:pos="3240"/>
              </w:tabs>
              <w:adjustRightInd w:val="0"/>
              <w:snapToGrid w:val="0"/>
              <w:jc w:val="center"/>
              <w:rPr>
                <w:szCs w:val="21"/>
              </w:rPr>
            </w:pPr>
            <w:r>
              <w:rPr>
                <w:szCs w:val="21"/>
              </w:rPr>
              <w:t>1层，5.4m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r>
              <w:rPr>
                <w:szCs w:val="21"/>
              </w:rPr>
              <w:t>8</w:t>
            </w:r>
          </w:p>
        </w:tc>
        <w:tc>
          <w:tcPr>
            <w:tcW w:w="1993" w:type="dxa"/>
            <w:vAlign w:val="center"/>
          </w:tcPr>
          <w:p>
            <w:pPr>
              <w:adjustRightInd w:val="0"/>
              <w:snapToGrid w:val="0"/>
              <w:jc w:val="center"/>
              <w:rPr>
                <w:szCs w:val="21"/>
              </w:rPr>
            </w:pPr>
            <w:r>
              <w:rPr>
                <w:szCs w:val="21"/>
              </w:rPr>
              <w:t>G2-总配变电所</w:t>
            </w:r>
          </w:p>
        </w:tc>
        <w:tc>
          <w:tcPr>
            <w:tcW w:w="2108" w:type="dxa"/>
            <w:vAlign w:val="center"/>
          </w:tcPr>
          <w:p>
            <w:pPr>
              <w:adjustRightInd w:val="0"/>
              <w:snapToGrid w:val="0"/>
              <w:jc w:val="center"/>
              <w:rPr>
                <w:szCs w:val="21"/>
              </w:rPr>
            </w:pPr>
            <w:r>
              <w:rPr>
                <w:szCs w:val="21"/>
              </w:rPr>
              <w:t>165</w:t>
            </w:r>
          </w:p>
        </w:tc>
        <w:tc>
          <w:tcPr>
            <w:tcW w:w="3392" w:type="dxa"/>
            <w:vAlign w:val="center"/>
          </w:tcPr>
          <w:p>
            <w:pPr>
              <w:adjustRightInd w:val="0"/>
              <w:snapToGrid w:val="0"/>
              <w:jc w:val="center"/>
              <w:rPr>
                <w:szCs w:val="21"/>
              </w:rPr>
            </w:pPr>
            <w:r>
              <w:rPr>
                <w:szCs w:val="21"/>
              </w:rPr>
              <w:t>1层，5.4m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r>
              <w:rPr>
                <w:szCs w:val="21"/>
              </w:rPr>
              <w:t>9</w:t>
            </w:r>
          </w:p>
        </w:tc>
        <w:tc>
          <w:tcPr>
            <w:tcW w:w="1993" w:type="dxa"/>
            <w:vAlign w:val="center"/>
          </w:tcPr>
          <w:p>
            <w:pPr>
              <w:adjustRightInd w:val="0"/>
              <w:snapToGrid w:val="0"/>
              <w:jc w:val="center"/>
              <w:rPr>
                <w:szCs w:val="21"/>
              </w:rPr>
            </w:pPr>
            <w:r>
              <w:rPr>
                <w:szCs w:val="21"/>
              </w:rPr>
              <w:t>G2-办公用房</w:t>
            </w:r>
          </w:p>
        </w:tc>
        <w:tc>
          <w:tcPr>
            <w:tcW w:w="2108" w:type="dxa"/>
            <w:vAlign w:val="center"/>
          </w:tcPr>
          <w:p>
            <w:pPr>
              <w:adjustRightInd w:val="0"/>
              <w:snapToGrid w:val="0"/>
              <w:jc w:val="center"/>
              <w:rPr>
                <w:szCs w:val="21"/>
              </w:rPr>
            </w:pPr>
            <w:r>
              <w:rPr>
                <w:szCs w:val="21"/>
              </w:rPr>
              <w:t>3214</w:t>
            </w:r>
          </w:p>
        </w:tc>
        <w:tc>
          <w:tcPr>
            <w:tcW w:w="3392" w:type="dxa"/>
            <w:vAlign w:val="center"/>
          </w:tcPr>
          <w:p>
            <w:pPr>
              <w:adjustRightInd w:val="0"/>
              <w:snapToGrid w:val="0"/>
              <w:jc w:val="center"/>
              <w:rPr>
                <w:szCs w:val="21"/>
              </w:rPr>
            </w:pPr>
            <w:r>
              <w:rPr>
                <w:szCs w:val="21"/>
              </w:rPr>
              <w:t>5层，19.2m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824" w:type="dxa"/>
            <w:vAlign w:val="center"/>
          </w:tcPr>
          <w:p>
            <w:pPr>
              <w:adjustRightInd w:val="0"/>
              <w:snapToGrid w:val="0"/>
              <w:jc w:val="center"/>
              <w:rPr>
                <w:szCs w:val="21"/>
              </w:rPr>
            </w:pPr>
            <w:r>
              <w:rPr>
                <w:szCs w:val="21"/>
              </w:rPr>
              <w:t>10</w:t>
            </w:r>
          </w:p>
        </w:tc>
        <w:tc>
          <w:tcPr>
            <w:tcW w:w="1993" w:type="dxa"/>
            <w:vAlign w:val="center"/>
          </w:tcPr>
          <w:p>
            <w:pPr>
              <w:adjustRightInd w:val="0"/>
              <w:snapToGrid w:val="0"/>
              <w:jc w:val="center"/>
              <w:rPr>
                <w:szCs w:val="21"/>
              </w:rPr>
            </w:pPr>
            <w:r>
              <w:rPr>
                <w:szCs w:val="21"/>
              </w:rPr>
              <w:t>G2-材料工具库</w:t>
            </w:r>
          </w:p>
        </w:tc>
        <w:tc>
          <w:tcPr>
            <w:tcW w:w="2108" w:type="dxa"/>
            <w:vAlign w:val="center"/>
          </w:tcPr>
          <w:p>
            <w:pPr>
              <w:adjustRightInd w:val="0"/>
              <w:snapToGrid w:val="0"/>
              <w:jc w:val="center"/>
              <w:rPr>
                <w:szCs w:val="21"/>
              </w:rPr>
            </w:pPr>
            <w:r>
              <w:rPr>
                <w:szCs w:val="21"/>
              </w:rPr>
              <w:t>333</w:t>
            </w:r>
          </w:p>
        </w:tc>
        <w:tc>
          <w:tcPr>
            <w:tcW w:w="3392" w:type="dxa"/>
            <w:vAlign w:val="center"/>
          </w:tcPr>
          <w:p>
            <w:pPr>
              <w:adjustRightInd w:val="0"/>
              <w:snapToGrid w:val="0"/>
              <w:jc w:val="center"/>
              <w:rPr>
                <w:szCs w:val="21"/>
              </w:rPr>
            </w:pPr>
            <w:r>
              <w:rPr>
                <w:szCs w:val="21"/>
              </w:rPr>
              <w:t>1层，7.5m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3" w:hRule="atLeast"/>
          <w:jc w:val="center"/>
        </w:trPr>
        <w:tc>
          <w:tcPr>
            <w:tcW w:w="824" w:type="dxa"/>
            <w:vAlign w:val="center"/>
          </w:tcPr>
          <w:p>
            <w:pPr>
              <w:adjustRightInd w:val="0"/>
              <w:snapToGrid w:val="0"/>
              <w:jc w:val="center"/>
              <w:rPr>
                <w:szCs w:val="21"/>
              </w:rPr>
            </w:pPr>
            <w:r>
              <w:rPr>
                <w:szCs w:val="21"/>
              </w:rPr>
              <w:t>11</w:t>
            </w:r>
          </w:p>
        </w:tc>
        <w:tc>
          <w:tcPr>
            <w:tcW w:w="1993" w:type="dxa"/>
            <w:vAlign w:val="center"/>
          </w:tcPr>
          <w:p>
            <w:pPr>
              <w:adjustRightInd w:val="0"/>
              <w:snapToGrid w:val="0"/>
              <w:jc w:val="center"/>
              <w:rPr>
                <w:szCs w:val="21"/>
              </w:rPr>
            </w:pPr>
            <w:r>
              <w:rPr>
                <w:szCs w:val="21"/>
              </w:rPr>
              <w:t>G2-流动机械库</w:t>
            </w:r>
          </w:p>
        </w:tc>
        <w:tc>
          <w:tcPr>
            <w:tcW w:w="2108" w:type="dxa"/>
            <w:vAlign w:val="center"/>
          </w:tcPr>
          <w:p>
            <w:pPr>
              <w:adjustRightInd w:val="0"/>
              <w:snapToGrid w:val="0"/>
              <w:jc w:val="center"/>
              <w:rPr>
                <w:szCs w:val="21"/>
              </w:rPr>
            </w:pPr>
            <w:r>
              <w:rPr>
                <w:szCs w:val="21"/>
              </w:rPr>
              <w:t>311</w:t>
            </w:r>
          </w:p>
        </w:tc>
        <w:tc>
          <w:tcPr>
            <w:tcW w:w="3392" w:type="dxa"/>
            <w:vAlign w:val="center"/>
          </w:tcPr>
          <w:p>
            <w:pPr>
              <w:adjustRightInd w:val="0"/>
              <w:snapToGrid w:val="0"/>
              <w:jc w:val="center"/>
              <w:rPr>
                <w:szCs w:val="21"/>
              </w:rPr>
            </w:pPr>
            <w:r>
              <w:rPr>
                <w:szCs w:val="21"/>
              </w:rPr>
              <w:t>1层，7.5m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7" w:hRule="atLeast"/>
          <w:jc w:val="center"/>
        </w:trPr>
        <w:tc>
          <w:tcPr>
            <w:tcW w:w="824" w:type="dxa"/>
            <w:vAlign w:val="center"/>
          </w:tcPr>
          <w:p>
            <w:pPr>
              <w:adjustRightInd w:val="0"/>
              <w:snapToGrid w:val="0"/>
              <w:jc w:val="center"/>
              <w:rPr>
                <w:szCs w:val="21"/>
              </w:rPr>
            </w:pPr>
            <w:r>
              <w:rPr>
                <w:szCs w:val="21"/>
              </w:rPr>
              <w:t>12</w:t>
            </w:r>
          </w:p>
        </w:tc>
        <w:tc>
          <w:tcPr>
            <w:tcW w:w="1993" w:type="dxa"/>
            <w:vAlign w:val="center"/>
          </w:tcPr>
          <w:p>
            <w:pPr>
              <w:adjustRightInd w:val="0"/>
              <w:snapToGrid w:val="0"/>
              <w:jc w:val="center"/>
              <w:rPr>
                <w:szCs w:val="21"/>
              </w:rPr>
            </w:pPr>
            <w:r>
              <w:rPr>
                <w:szCs w:val="21"/>
              </w:rPr>
              <w:t>东大门</w:t>
            </w:r>
          </w:p>
        </w:tc>
        <w:tc>
          <w:tcPr>
            <w:tcW w:w="2108" w:type="dxa"/>
            <w:vAlign w:val="center"/>
          </w:tcPr>
          <w:p>
            <w:pPr>
              <w:adjustRightInd w:val="0"/>
              <w:snapToGrid w:val="0"/>
              <w:jc w:val="center"/>
              <w:rPr>
                <w:szCs w:val="21"/>
              </w:rPr>
            </w:pPr>
            <w:r>
              <w:rPr>
                <w:szCs w:val="21"/>
              </w:rPr>
              <w:t>485</w:t>
            </w:r>
          </w:p>
        </w:tc>
        <w:tc>
          <w:tcPr>
            <w:tcW w:w="3392" w:type="dxa"/>
            <w:vAlign w:val="center"/>
          </w:tcPr>
          <w:p>
            <w:pPr>
              <w:adjustRightInd w:val="0"/>
              <w:snapToGrid w:val="0"/>
              <w:jc w:val="center"/>
              <w:rPr>
                <w:szCs w:val="21"/>
              </w:rPr>
            </w:pPr>
            <w:r>
              <w:rPr>
                <w:szCs w:val="21"/>
              </w:rPr>
              <w:t>1层，12m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2" w:hRule="atLeast"/>
          <w:jc w:val="center"/>
        </w:trPr>
        <w:tc>
          <w:tcPr>
            <w:tcW w:w="824" w:type="dxa"/>
            <w:vAlign w:val="center"/>
          </w:tcPr>
          <w:p>
            <w:pPr>
              <w:adjustRightInd w:val="0"/>
              <w:snapToGrid w:val="0"/>
              <w:jc w:val="center"/>
              <w:rPr>
                <w:szCs w:val="21"/>
              </w:rPr>
            </w:pPr>
            <w:r>
              <w:rPr>
                <w:szCs w:val="21"/>
              </w:rPr>
              <w:t>13</w:t>
            </w:r>
          </w:p>
        </w:tc>
        <w:tc>
          <w:tcPr>
            <w:tcW w:w="1993" w:type="dxa"/>
            <w:vAlign w:val="center"/>
          </w:tcPr>
          <w:p>
            <w:pPr>
              <w:adjustRightInd w:val="0"/>
              <w:snapToGrid w:val="0"/>
              <w:jc w:val="center"/>
              <w:rPr>
                <w:szCs w:val="21"/>
              </w:rPr>
            </w:pPr>
            <w:r>
              <w:rPr>
                <w:szCs w:val="21"/>
              </w:rPr>
              <w:t>G2-E变电所</w:t>
            </w:r>
          </w:p>
        </w:tc>
        <w:tc>
          <w:tcPr>
            <w:tcW w:w="2108" w:type="dxa"/>
            <w:vAlign w:val="center"/>
          </w:tcPr>
          <w:p>
            <w:pPr>
              <w:adjustRightInd w:val="0"/>
              <w:snapToGrid w:val="0"/>
              <w:jc w:val="center"/>
              <w:rPr>
                <w:szCs w:val="21"/>
              </w:rPr>
            </w:pPr>
            <w:r>
              <w:rPr>
                <w:szCs w:val="21"/>
              </w:rPr>
              <w:t>130</w:t>
            </w:r>
          </w:p>
        </w:tc>
        <w:tc>
          <w:tcPr>
            <w:tcW w:w="3392" w:type="dxa"/>
            <w:vAlign w:val="center"/>
          </w:tcPr>
          <w:p>
            <w:pPr>
              <w:tabs>
                <w:tab w:val="left" w:pos="3240"/>
              </w:tabs>
              <w:adjustRightInd w:val="0"/>
              <w:snapToGrid w:val="0"/>
              <w:jc w:val="center"/>
              <w:rPr>
                <w:szCs w:val="21"/>
              </w:rPr>
            </w:pPr>
            <w:r>
              <w:rPr>
                <w:szCs w:val="21"/>
              </w:rPr>
              <w:t>1层，5.4m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atLeast"/>
          <w:jc w:val="center"/>
        </w:trPr>
        <w:tc>
          <w:tcPr>
            <w:tcW w:w="824" w:type="dxa"/>
            <w:vAlign w:val="center"/>
          </w:tcPr>
          <w:p>
            <w:pPr>
              <w:adjustRightInd w:val="0"/>
              <w:snapToGrid w:val="0"/>
              <w:jc w:val="center"/>
              <w:rPr>
                <w:szCs w:val="21"/>
              </w:rPr>
            </w:pPr>
          </w:p>
        </w:tc>
        <w:tc>
          <w:tcPr>
            <w:tcW w:w="1993" w:type="dxa"/>
            <w:vAlign w:val="center"/>
          </w:tcPr>
          <w:p>
            <w:pPr>
              <w:adjustRightInd w:val="0"/>
              <w:snapToGrid w:val="0"/>
              <w:jc w:val="center"/>
              <w:rPr>
                <w:szCs w:val="21"/>
              </w:rPr>
            </w:pPr>
            <w:r>
              <w:rPr>
                <w:szCs w:val="21"/>
              </w:rPr>
              <w:t>合计</w:t>
            </w:r>
          </w:p>
        </w:tc>
        <w:tc>
          <w:tcPr>
            <w:tcW w:w="2108" w:type="dxa"/>
            <w:vAlign w:val="center"/>
          </w:tcPr>
          <w:p>
            <w:pPr>
              <w:adjustRightInd w:val="0"/>
              <w:snapToGrid w:val="0"/>
              <w:jc w:val="center"/>
              <w:rPr>
                <w:szCs w:val="21"/>
              </w:rPr>
            </w:pPr>
            <w:r>
              <w:rPr>
                <w:szCs w:val="21"/>
              </w:rPr>
              <w:t>5455</w:t>
            </w:r>
          </w:p>
        </w:tc>
        <w:tc>
          <w:tcPr>
            <w:tcW w:w="3392" w:type="dxa"/>
            <w:vAlign w:val="center"/>
          </w:tcPr>
          <w:p>
            <w:pPr>
              <w:adjustRightInd w:val="0"/>
              <w:snapToGrid w:val="0"/>
              <w:jc w:val="center"/>
              <w:rPr>
                <w:szCs w:val="21"/>
              </w:rPr>
            </w:pPr>
          </w:p>
        </w:tc>
      </w:tr>
    </w:tbl>
    <w:p>
      <w:pPr>
        <w:pStyle w:val="6"/>
        <w:tabs>
          <w:tab w:val="left" w:pos="-489"/>
        </w:tabs>
        <w:spacing w:beforeLines="0" w:afterLines="0"/>
        <w:ind w:left="0" w:firstLine="0"/>
        <w:rPr>
          <w:rFonts w:ascii="宋体" w:hAnsi="宋体"/>
          <w:b w:val="0"/>
          <w:sz w:val="28"/>
          <w:szCs w:val="28"/>
        </w:rPr>
      </w:pPr>
      <w:r>
        <w:rPr>
          <w:rFonts w:hint="eastAsia" w:ascii="Times New Roman" w:hAnsi="Times New Roman"/>
        </w:rPr>
        <w:t>主要</w:t>
      </w:r>
      <w:r>
        <w:rPr>
          <w:rFonts w:hint="eastAsia" w:ascii="宋体" w:hAnsi="宋体"/>
          <w:sz w:val="28"/>
          <w:szCs w:val="28"/>
        </w:rPr>
        <w:t>技术经济指标</w:t>
      </w:r>
    </w:p>
    <w:p>
      <w:pPr>
        <w:spacing w:line="360" w:lineRule="auto"/>
        <w:ind w:firstLine="480" w:firstLineChars="200"/>
        <w:rPr>
          <w:sz w:val="24"/>
        </w:rPr>
      </w:pPr>
      <w:r>
        <w:rPr>
          <w:rFonts w:hint="eastAsia"/>
          <w:sz w:val="24"/>
        </w:rPr>
        <w:t>白洋港作业区主要技术经济指标见</w:t>
      </w:r>
      <w:r>
        <w:rPr>
          <w:sz w:val="24"/>
        </w:rPr>
        <w:fldChar w:fldCharType="begin"/>
      </w:r>
      <w:r>
        <w:rPr>
          <w:sz w:val="24"/>
        </w:rPr>
        <w:instrText xml:space="preserve"> REF _Ref431958716 \h  \* MERGEFORMAT </w:instrText>
      </w:r>
      <w:r>
        <w:rPr>
          <w:sz w:val="24"/>
        </w:rPr>
        <w:fldChar w:fldCharType="separate"/>
      </w:r>
      <w:r>
        <w:rPr>
          <w:rFonts w:hint="eastAsia"/>
          <w:sz w:val="24"/>
        </w:rPr>
        <w:t xml:space="preserve">表 </w:t>
      </w:r>
      <w:r>
        <w:rPr>
          <w:sz w:val="24"/>
        </w:rPr>
        <w:fldChar w:fldCharType="end"/>
      </w:r>
      <w:r>
        <w:rPr>
          <w:rFonts w:hint="eastAsia"/>
          <w:sz w:val="24"/>
        </w:rPr>
        <w:t>。</w:t>
      </w:r>
    </w:p>
    <w:p>
      <w:pPr>
        <w:pStyle w:val="4"/>
        <w:ind w:firstLine="422"/>
        <w:jc w:val="center"/>
        <w:rPr>
          <w:b/>
        </w:rPr>
      </w:pPr>
      <w:bookmarkStart w:id="72" w:name="_Ref431958716"/>
      <w:r>
        <w:rPr>
          <w:rFonts w:hint="eastAsia"/>
          <w:b/>
        </w:rPr>
        <w:t xml:space="preserve">表 </w:t>
      </w:r>
      <w:bookmarkEnd w:id="72"/>
      <w:r>
        <w:rPr>
          <w:rFonts w:hint="eastAsia"/>
          <w:b/>
        </w:rPr>
        <w:t>2.3-6</w:t>
      </w:r>
      <w:r>
        <w:rPr>
          <w:rFonts w:hint="eastAsia"/>
          <w:b/>
        </w:rPr>
        <w:tab/>
      </w:r>
      <w:r>
        <w:rPr>
          <w:rFonts w:hint="eastAsia"/>
          <w:b/>
        </w:rPr>
        <w:t>白洋港作业区主要技术经济指标</w:t>
      </w:r>
    </w:p>
    <w:tbl>
      <w:tblPr>
        <w:tblStyle w:val="104"/>
        <w:tblW w:w="83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848"/>
        <w:gridCol w:w="2646"/>
        <w:gridCol w:w="1436"/>
        <w:gridCol w:w="1484"/>
        <w:gridCol w:w="13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50" w:hRule="atLeast"/>
          <w:jc w:val="center"/>
        </w:trPr>
        <w:tc>
          <w:tcPr>
            <w:tcW w:w="594" w:type="dxa"/>
            <w:vAlign w:val="center"/>
          </w:tcPr>
          <w:p>
            <w:pPr>
              <w:pStyle w:val="46"/>
              <w:adjustRightInd w:val="0"/>
              <w:snapToGrid w:val="0"/>
              <w:spacing w:line="240" w:lineRule="exact"/>
              <w:ind w:right="-107" w:rightChars="-51"/>
              <w:jc w:val="center"/>
              <w:rPr>
                <w:rFonts w:ascii="Times New Roman" w:hAnsi="Times New Roman"/>
                <w:b/>
                <w:szCs w:val="21"/>
              </w:rPr>
            </w:pPr>
            <w:r>
              <w:rPr>
                <w:rFonts w:ascii="Times New Roman" w:hAnsi="Times New Roman"/>
                <w:b/>
                <w:szCs w:val="21"/>
              </w:rPr>
              <w:t>编号</w:t>
            </w:r>
          </w:p>
        </w:tc>
        <w:tc>
          <w:tcPr>
            <w:tcW w:w="3494" w:type="dxa"/>
            <w:gridSpan w:val="2"/>
            <w:vAlign w:val="center"/>
          </w:tcPr>
          <w:p>
            <w:pPr>
              <w:pStyle w:val="46"/>
              <w:adjustRightInd w:val="0"/>
              <w:snapToGrid w:val="0"/>
              <w:spacing w:line="240" w:lineRule="exact"/>
              <w:jc w:val="center"/>
              <w:rPr>
                <w:rFonts w:ascii="Times New Roman" w:hAnsi="Times New Roman"/>
                <w:b/>
                <w:szCs w:val="21"/>
              </w:rPr>
            </w:pPr>
            <w:r>
              <w:rPr>
                <w:rFonts w:ascii="Times New Roman" w:hAnsi="Times New Roman"/>
                <w:b/>
                <w:szCs w:val="21"/>
              </w:rPr>
              <w:t>项  目</w:t>
            </w:r>
          </w:p>
        </w:tc>
        <w:tc>
          <w:tcPr>
            <w:tcW w:w="1436" w:type="dxa"/>
            <w:vAlign w:val="center"/>
          </w:tcPr>
          <w:p>
            <w:pPr>
              <w:pStyle w:val="46"/>
              <w:adjustRightInd w:val="0"/>
              <w:snapToGrid w:val="0"/>
              <w:spacing w:line="240" w:lineRule="exact"/>
              <w:jc w:val="center"/>
              <w:rPr>
                <w:rFonts w:ascii="Times New Roman" w:hAnsi="Times New Roman"/>
                <w:b/>
                <w:szCs w:val="21"/>
              </w:rPr>
            </w:pPr>
            <w:r>
              <w:rPr>
                <w:rFonts w:ascii="Times New Roman" w:hAnsi="Times New Roman"/>
                <w:b/>
                <w:szCs w:val="21"/>
              </w:rPr>
              <w:t>单  位</w:t>
            </w:r>
          </w:p>
        </w:tc>
        <w:tc>
          <w:tcPr>
            <w:tcW w:w="1484" w:type="dxa"/>
            <w:vAlign w:val="center"/>
          </w:tcPr>
          <w:p>
            <w:pPr>
              <w:pStyle w:val="46"/>
              <w:adjustRightInd w:val="0"/>
              <w:snapToGrid w:val="0"/>
              <w:spacing w:line="240" w:lineRule="exact"/>
              <w:jc w:val="center"/>
              <w:rPr>
                <w:rFonts w:ascii="Times New Roman" w:hAnsi="Times New Roman"/>
                <w:b/>
                <w:szCs w:val="21"/>
              </w:rPr>
            </w:pPr>
            <w:r>
              <w:rPr>
                <w:rFonts w:ascii="Times New Roman" w:hAnsi="Times New Roman"/>
                <w:b/>
                <w:szCs w:val="21"/>
              </w:rPr>
              <w:t>数量</w:t>
            </w:r>
          </w:p>
        </w:tc>
        <w:tc>
          <w:tcPr>
            <w:tcW w:w="1309" w:type="dxa"/>
            <w:vAlign w:val="center"/>
          </w:tcPr>
          <w:p>
            <w:pPr>
              <w:pStyle w:val="46"/>
              <w:adjustRightInd w:val="0"/>
              <w:snapToGrid w:val="0"/>
              <w:spacing w:line="240" w:lineRule="exact"/>
              <w:jc w:val="center"/>
              <w:rPr>
                <w:rFonts w:ascii="Times New Roman" w:hAnsi="Times New Roman"/>
                <w:b/>
                <w:szCs w:val="21"/>
              </w:rPr>
            </w:pPr>
            <w:r>
              <w:rPr>
                <w:rFonts w:ascii="Times New Roman" w:hAnsi="Times New Roman"/>
                <w:b/>
                <w:szCs w:val="21"/>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Merge w:val="restart"/>
            <w:vAlign w:val="center"/>
          </w:tcPr>
          <w:p>
            <w:pPr>
              <w:adjustRightInd w:val="0"/>
              <w:snapToGrid w:val="0"/>
              <w:spacing w:line="240" w:lineRule="exact"/>
              <w:jc w:val="center"/>
              <w:rPr>
                <w:szCs w:val="21"/>
              </w:rPr>
            </w:pPr>
            <w:r>
              <w:rPr>
                <w:szCs w:val="21"/>
              </w:rPr>
              <w:t>1</w:t>
            </w:r>
          </w:p>
        </w:tc>
        <w:tc>
          <w:tcPr>
            <w:tcW w:w="3494" w:type="dxa"/>
            <w:gridSpan w:val="2"/>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设计吞吐量</w:t>
            </w:r>
          </w:p>
        </w:tc>
        <w:tc>
          <w:tcPr>
            <w:tcW w:w="1436"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万吨/年</w:t>
            </w:r>
          </w:p>
        </w:tc>
        <w:tc>
          <w:tcPr>
            <w:tcW w:w="1484"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700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Merge w:val="continue"/>
            <w:vAlign w:val="center"/>
          </w:tcPr>
          <w:p>
            <w:pPr>
              <w:adjustRightInd w:val="0"/>
              <w:snapToGrid w:val="0"/>
              <w:spacing w:line="240" w:lineRule="exact"/>
              <w:jc w:val="center"/>
              <w:rPr>
                <w:szCs w:val="21"/>
              </w:rPr>
            </w:pPr>
          </w:p>
        </w:tc>
        <w:tc>
          <w:tcPr>
            <w:tcW w:w="848" w:type="dxa"/>
            <w:vMerge w:val="restart"/>
            <w:vAlign w:val="center"/>
          </w:tcPr>
          <w:p>
            <w:pPr>
              <w:adjustRightInd w:val="0"/>
              <w:snapToGrid w:val="0"/>
              <w:spacing w:line="240" w:lineRule="exact"/>
              <w:jc w:val="center"/>
              <w:rPr>
                <w:szCs w:val="21"/>
              </w:rPr>
            </w:pPr>
            <w:r>
              <w:rPr>
                <w:szCs w:val="21"/>
              </w:rPr>
              <w:t>其中</w:t>
            </w:r>
          </w:p>
        </w:tc>
        <w:tc>
          <w:tcPr>
            <w:tcW w:w="2646" w:type="dxa"/>
            <w:vAlign w:val="center"/>
          </w:tcPr>
          <w:p>
            <w:pPr>
              <w:adjustRightInd w:val="0"/>
              <w:snapToGrid w:val="0"/>
              <w:spacing w:line="240" w:lineRule="exact"/>
              <w:jc w:val="center"/>
              <w:rPr>
                <w:szCs w:val="21"/>
              </w:rPr>
            </w:pPr>
            <w:r>
              <w:rPr>
                <w:szCs w:val="21"/>
              </w:rPr>
              <w:t>散货出口</w:t>
            </w:r>
          </w:p>
        </w:tc>
        <w:tc>
          <w:tcPr>
            <w:tcW w:w="1436" w:type="dxa"/>
            <w:vAlign w:val="center"/>
          </w:tcPr>
          <w:p>
            <w:pPr>
              <w:adjustRightInd w:val="0"/>
              <w:snapToGrid w:val="0"/>
              <w:spacing w:line="240" w:lineRule="exact"/>
              <w:jc w:val="center"/>
              <w:rPr>
                <w:szCs w:val="21"/>
              </w:rPr>
            </w:pPr>
            <w:r>
              <w:rPr>
                <w:szCs w:val="21"/>
              </w:rPr>
              <w:t>万吨/年</w:t>
            </w:r>
          </w:p>
        </w:tc>
        <w:tc>
          <w:tcPr>
            <w:tcW w:w="1484" w:type="dxa"/>
            <w:vAlign w:val="center"/>
          </w:tcPr>
          <w:p>
            <w:pPr>
              <w:adjustRightInd w:val="0"/>
              <w:snapToGrid w:val="0"/>
              <w:spacing w:line="240" w:lineRule="exact"/>
              <w:jc w:val="center"/>
              <w:rPr>
                <w:szCs w:val="21"/>
              </w:rPr>
            </w:pPr>
            <w:r>
              <w:rPr>
                <w:szCs w:val="21"/>
              </w:rPr>
              <w:t>240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Merge w:val="continue"/>
            <w:vAlign w:val="center"/>
          </w:tcPr>
          <w:p>
            <w:pPr>
              <w:adjustRightInd w:val="0"/>
              <w:snapToGrid w:val="0"/>
              <w:spacing w:line="240" w:lineRule="exact"/>
              <w:jc w:val="center"/>
              <w:rPr>
                <w:szCs w:val="21"/>
              </w:rPr>
            </w:pPr>
          </w:p>
        </w:tc>
        <w:tc>
          <w:tcPr>
            <w:tcW w:w="848" w:type="dxa"/>
            <w:vMerge w:val="continue"/>
            <w:vAlign w:val="center"/>
          </w:tcPr>
          <w:p>
            <w:pPr>
              <w:adjustRightInd w:val="0"/>
              <w:snapToGrid w:val="0"/>
              <w:spacing w:line="240" w:lineRule="exact"/>
              <w:jc w:val="center"/>
              <w:rPr>
                <w:szCs w:val="21"/>
              </w:rPr>
            </w:pPr>
          </w:p>
        </w:tc>
        <w:tc>
          <w:tcPr>
            <w:tcW w:w="2646" w:type="dxa"/>
            <w:vAlign w:val="center"/>
          </w:tcPr>
          <w:p>
            <w:pPr>
              <w:adjustRightInd w:val="0"/>
              <w:snapToGrid w:val="0"/>
              <w:spacing w:line="240" w:lineRule="exact"/>
              <w:jc w:val="center"/>
              <w:rPr>
                <w:szCs w:val="21"/>
              </w:rPr>
            </w:pPr>
            <w:r>
              <w:rPr>
                <w:szCs w:val="21"/>
              </w:rPr>
              <w:t>散货进口</w:t>
            </w:r>
          </w:p>
        </w:tc>
        <w:tc>
          <w:tcPr>
            <w:tcW w:w="1436" w:type="dxa"/>
            <w:vAlign w:val="center"/>
          </w:tcPr>
          <w:p>
            <w:pPr>
              <w:adjustRightInd w:val="0"/>
              <w:snapToGrid w:val="0"/>
              <w:spacing w:line="240" w:lineRule="exact"/>
              <w:jc w:val="center"/>
              <w:rPr>
                <w:szCs w:val="21"/>
              </w:rPr>
            </w:pPr>
            <w:r>
              <w:rPr>
                <w:szCs w:val="21"/>
              </w:rPr>
              <w:t>万吨/年</w:t>
            </w:r>
          </w:p>
        </w:tc>
        <w:tc>
          <w:tcPr>
            <w:tcW w:w="1484" w:type="dxa"/>
            <w:vAlign w:val="center"/>
          </w:tcPr>
          <w:p>
            <w:pPr>
              <w:adjustRightInd w:val="0"/>
              <w:snapToGrid w:val="0"/>
              <w:spacing w:line="240" w:lineRule="exact"/>
              <w:jc w:val="center"/>
              <w:rPr>
                <w:szCs w:val="21"/>
              </w:rPr>
            </w:pPr>
            <w:r>
              <w:rPr>
                <w:szCs w:val="21"/>
              </w:rPr>
              <w:t>260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Merge w:val="continue"/>
            <w:vAlign w:val="center"/>
          </w:tcPr>
          <w:p>
            <w:pPr>
              <w:adjustRightInd w:val="0"/>
              <w:snapToGrid w:val="0"/>
              <w:spacing w:line="240" w:lineRule="exact"/>
              <w:jc w:val="center"/>
              <w:rPr>
                <w:szCs w:val="21"/>
              </w:rPr>
            </w:pPr>
          </w:p>
        </w:tc>
        <w:tc>
          <w:tcPr>
            <w:tcW w:w="848" w:type="dxa"/>
            <w:vMerge w:val="continue"/>
            <w:vAlign w:val="center"/>
          </w:tcPr>
          <w:p>
            <w:pPr>
              <w:adjustRightInd w:val="0"/>
              <w:snapToGrid w:val="0"/>
              <w:spacing w:line="240" w:lineRule="exact"/>
              <w:jc w:val="center"/>
              <w:rPr>
                <w:szCs w:val="21"/>
              </w:rPr>
            </w:pPr>
          </w:p>
        </w:tc>
        <w:tc>
          <w:tcPr>
            <w:tcW w:w="2646" w:type="dxa"/>
            <w:vAlign w:val="center"/>
          </w:tcPr>
          <w:p>
            <w:pPr>
              <w:adjustRightInd w:val="0"/>
              <w:snapToGrid w:val="0"/>
              <w:spacing w:line="240" w:lineRule="exact"/>
              <w:jc w:val="center"/>
              <w:rPr>
                <w:szCs w:val="21"/>
              </w:rPr>
            </w:pPr>
            <w:r>
              <w:rPr>
                <w:szCs w:val="21"/>
              </w:rPr>
              <w:t>钢铁件杂</w:t>
            </w:r>
          </w:p>
        </w:tc>
        <w:tc>
          <w:tcPr>
            <w:tcW w:w="1436" w:type="dxa"/>
            <w:vAlign w:val="center"/>
          </w:tcPr>
          <w:p>
            <w:pPr>
              <w:adjustRightInd w:val="0"/>
              <w:snapToGrid w:val="0"/>
              <w:spacing w:line="240" w:lineRule="exact"/>
              <w:jc w:val="center"/>
              <w:rPr>
                <w:szCs w:val="21"/>
              </w:rPr>
            </w:pPr>
            <w:r>
              <w:rPr>
                <w:szCs w:val="21"/>
              </w:rPr>
              <w:t>万吨/年</w:t>
            </w:r>
          </w:p>
        </w:tc>
        <w:tc>
          <w:tcPr>
            <w:tcW w:w="1484" w:type="dxa"/>
            <w:vAlign w:val="center"/>
          </w:tcPr>
          <w:p>
            <w:pPr>
              <w:adjustRightInd w:val="0"/>
              <w:snapToGrid w:val="0"/>
              <w:spacing w:line="240" w:lineRule="exact"/>
              <w:jc w:val="center"/>
              <w:rPr>
                <w:szCs w:val="21"/>
              </w:rPr>
            </w:pPr>
            <w:r>
              <w:rPr>
                <w:szCs w:val="21"/>
              </w:rPr>
              <w:t>120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Merge w:val="continue"/>
            <w:vAlign w:val="center"/>
          </w:tcPr>
          <w:p>
            <w:pPr>
              <w:adjustRightInd w:val="0"/>
              <w:snapToGrid w:val="0"/>
              <w:spacing w:line="240" w:lineRule="exact"/>
              <w:jc w:val="center"/>
              <w:rPr>
                <w:szCs w:val="21"/>
              </w:rPr>
            </w:pPr>
          </w:p>
        </w:tc>
        <w:tc>
          <w:tcPr>
            <w:tcW w:w="848" w:type="dxa"/>
            <w:vMerge w:val="continue"/>
            <w:vAlign w:val="center"/>
          </w:tcPr>
          <w:p>
            <w:pPr>
              <w:adjustRightInd w:val="0"/>
              <w:snapToGrid w:val="0"/>
              <w:spacing w:line="240" w:lineRule="exact"/>
              <w:jc w:val="center"/>
              <w:rPr>
                <w:szCs w:val="21"/>
              </w:rPr>
            </w:pPr>
          </w:p>
        </w:tc>
        <w:tc>
          <w:tcPr>
            <w:tcW w:w="2646" w:type="dxa"/>
            <w:vAlign w:val="center"/>
          </w:tcPr>
          <w:p>
            <w:pPr>
              <w:adjustRightInd w:val="0"/>
              <w:snapToGrid w:val="0"/>
              <w:spacing w:line="240" w:lineRule="exact"/>
              <w:jc w:val="center"/>
              <w:rPr>
                <w:szCs w:val="21"/>
              </w:rPr>
            </w:pPr>
            <w:r>
              <w:rPr>
                <w:szCs w:val="21"/>
              </w:rPr>
              <w:t>集装箱</w:t>
            </w:r>
          </w:p>
        </w:tc>
        <w:tc>
          <w:tcPr>
            <w:tcW w:w="1436" w:type="dxa"/>
            <w:vAlign w:val="center"/>
          </w:tcPr>
          <w:p>
            <w:pPr>
              <w:adjustRightInd w:val="0"/>
              <w:snapToGrid w:val="0"/>
              <w:spacing w:line="240" w:lineRule="exact"/>
              <w:jc w:val="center"/>
              <w:rPr>
                <w:szCs w:val="21"/>
              </w:rPr>
            </w:pPr>
            <w:r>
              <w:rPr>
                <w:szCs w:val="21"/>
              </w:rPr>
              <w:t>万TEU</w:t>
            </w:r>
          </w:p>
        </w:tc>
        <w:tc>
          <w:tcPr>
            <w:tcW w:w="1484" w:type="dxa"/>
            <w:vAlign w:val="center"/>
          </w:tcPr>
          <w:p>
            <w:pPr>
              <w:adjustRightInd w:val="0"/>
              <w:snapToGrid w:val="0"/>
              <w:spacing w:line="240" w:lineRule="exact"/>
              <w:jc w:val="center"/>
              <w:rPr>
                <w:szCs w:val="21"/>
              </w:rPr>
            </w:pPr>
            <w:r>
              <w:rPr>
                <w:szCs w:val="21"/>
              </w:rPr>
              <w:t>8</w:t>
            </w:r>
          </w:p>
        </w:tc>
        <w:tc>
          <w:tcPr>
            <w:tcW w:w="1309"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1TEU=10t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2</w:t>
            </w:r>
          </w:p>
        </w:tc>
        <w:tc>
          <w:tcPr>
            <w:tcW w:w="3494" w:type="dxa"/>
            <w:gridSpan w:val="2"/>
            <w:vAlign w:val="center"/>
          </w:tcPr>
          <w:p>
            <w:pPr>
              <w:adjustRightInd w:val="0"/>
              <w:snapToGrid w:val="0"/>
              <w:spacing w:line="240" w:lineRule="exact"/>
              <w:jc w:val="center"/>
              <w:rPr>
                <w:szCs w:val="21"/>
              </w:rPr>
            </w:pPr>
            <w:r>
              <w:rPr>
                <w:szCs w:val="21"/>
              </w:rPr>
              <w:t>设计通过能力</w:t>
            </w:r>
          </w:p>
        </w:tc>
        <w:tc>
          <w:tcPr>
            <w:tcW w:w="1436" w:type="dxa"/>
            <w:vAlign w:val="center"/>
          </w:tcPr>
          <w:p>
            <w:pPr>
              <w:adjustRightInd w:val="0"/>
              <w:snapToGrid w:val="0"/>
              <w:spacing w:line="240" w:lineRule="exact"/>
              <w:jc w:val="center"/>
              <w:rPr>
                <w:szCs w:val="21"/>
              </w:rPr>
            </w:pPr>
            <w:r>
              <w:rPr>
                <w:szCs w:val="21"/>
              </w:rPr>
              <w:t>万吨/年</w:t>
            </w:r>
          </w:p>
        </w:tc>
        <w:tc>
          <w:tcPr>
            <w:tcW w:w="1484" w:type="dxa"/>
            <w:vAlign w:val="center"/>
          </w:tcPr>
          <w:p>
            <w:pPr>
              <w:adjustRightInd w:val="0"/>
              <w:snapToGrid w:val="0"/>
              <w:spacing w:line="240" w:lineRule="exact"/>
              <w:jc w:val="center"/>
              <w:rPr>
                <w:szCs w:val="21"/>
              </w:rPr>
            </w:pPr>
            <w:r>
              <w:rPr>
                <w:szCs w:val="21"/>
              </w:rPr>
              <w:t>765</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3</w:t>
            </w:r>
          </w:p>
        </w:tc>
        <w:tc>
          <w:tcPr>
            <w:tcW w:w="3494" w:type="dxa"/>
            <w:gridSpan w:val="2"/>
            <w:vAlign w:val="center"/>
          </w:tcPr>
          <w:p>
            <w:pPr>
              <w:adjustRightInd w:val="0"/>
              <w:snapToGrid w:val="0"/>
              <w:spacing w:line="240" w:lineRule="exact"/>
              <w:jc w:val="center"/>
              <w:rPr>
                <w:szCs w:val="21"/>
              </w:rPr>
            </w:pPr>
            <w:r>
              <w:rPr>
                <w:szCs w:val="21"/>
              </w:rPr>
              <w:t>泊位数（3000吨级）</w:t>
            </w:r>
          </w:p>
        </w:tc>
        <w:tc>
          <w:tcPr>
            <w:tcW w:w="1436" w:type="dxa"/>
            <w:vAlign w:val="center"/>
          </w:tcPr>
          <w:p>
            <w:pPr>
              <w:adjustRightInd w:val="0"/>
              <w:snapToGrid w:val="0"/>
              <w:spacing w:line="240" w:lineRule="exact"/>
              <w:jc w:val="center"/>
              <w:rPr>
                <w:szCs w:val="21"/>
              </w:rPr>
            </w:pPr>
            <w:r>
              <w:rPr>
                <w:szCs w:val="21"/>
              </w:rPr>
              <w:t>个</w:t>
            </w:r>
          </w:p>
        </w:tc>
        <w:tc>
          <w:tcPr>
            <w:tcW w:w="1484" w:type="dxa"/>
            <w:vAlign w:val="center"/>
          </w:tcPr>
          <w:p>
            <w:pPr>
              <w:adjustRightInd w:val="0"/>
              <w:snapToGrid w:val="0"/>
              <w:spacing w:line="240" w:lineRule="exact"/>
              <w:jc w:val="center"/>
              <w:rPr>
                <w:szCs w:val="21"/>
              </w:rPr>
            </w:pPr>
            <w:r>
              <w:rPr>
                <w:szCs w:val="21"/>
              </w:rPr>
              <w:t>7</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4</w:t>
            </w:r>
          </w:p>
        </w:tc>
        <w:tc>
          <w:tcPr>
            <w:tcW w:w="3494" w:type="dxa"/>
            <w:gridSpan w:val="2"/>
            <w:vAlign w:val="center"/>
          </w:tcPr>
          <w:p>
            <w:pPr>
              <w:adjustRightInd w:val="0"/>
              <w:snapToGrid w:val="0"/>
              <w:spacing w:line="240" w:lineRule="exact"/>
              <w:jc w:val="center"/>
              <w:rPr>
                <w:szCs w:val="21"/>
              </w:rPr>
            </w:pPr>
            <w:r>
              <w:rPr>
                <w:szCs w:val="21"/>
              </w:rPr>
              <w:t>占用岸线长度</w:t>
            </w:r>
          </w:p>
        </w:tc>
        <w:tc>
          <w:tcPr>
            <w:tcW w:w="1436" w:type="dxa"/>
            <w:vAlign w:val="center"/>
          </w:tcPr>
          <w:p>
            <w:pPr>
              <w:adjustRightInd w:val="0"/>
              <w:snapToGrid w:val="0"/>
              <w:spacing w:line="240" w:lineRule="exact"/>
              <w:jc w:val="center"/>
              <w:rPr>
                <w:szCs w:val="21"/>
              </w:rPr>
            </w:pPr>
            <w:r>
              <w:rPr>
                <w:szCs w:val="21"/>
              </w:rPr>
              <w:t>m</w:t>
            </w:r>
          </w:p>
        </w:tc>
        <w:tc>
          <w:tcPr>
            <w:tcW w:w="1484" w:type="dxa"/>
            <w:vAlign w:val="center"/>
          </w:tcPr>
          <w:p>
            <w:pPr>
              <w:adjustRightInd w:val="0"/>
              <w:snapToGrid w:val="0"/>
              <w:spacing w:line="240" w:lineRule="exact"/>
              <w:jc w:val="center"/>
              <w:rPr>
                <w:szCs w:val="21"/>
              </w:rPr>
            </w:pPr>
            <w:r>
              <w:rPr>
                <w:szCs w:val="21"/>
              </w:rPr>
              <w:t>1036</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5</w:t>
            </w:r>
          </w:p>
        </w:tc>
        <w:tc>
          <w:tcPr>
            <w:tcW w:w="3494" w:type="dxa"/>
            <w:gridSpan w:val="2"/>
            <w:vAlign w:val="center"/>
          </w:tcPr>
          <w:p>
            <w:pPr>
              <w:adjustRightInd w:val="0"/>
              <w:snapToGrid w:val="0"/>
              <w:spacing w:line="240" w:lineRule="exact"/>
              <w:jc w:val="center"/>
              <w:rPr>
                <w:szCs w:val="21"/>
              </w:rPr>
            </w:pPr>
            <w:r>
              <w:rPr>
                <w:szCs w:val="21"/>
              </w:rPr>
              <w:t>陆域面积</w:t>
            </w:r>
          </w:p>
        </w:tc>
        <w:tc>
          <w:tcPr>
            <w:tcW w:w="1436" w:type="dxa"/>
            <w:vAlign w:val="center"/>
          </w:tcPr>
          <w:p>
            <w:pPr>
              <w:adjustRightInd w:val="0"/>
              <w:snapToGrid w:val="0"/>
              <w:spacing w:line="240" w:lineRule="exact"/>
              <w:jc w:val="center"/>
              <w:rPr>
                <w:szCs w:val="21"/>
              </w:rPr>
            </w:pPr>
            <w:r>
              <w:rPr>
                <w:szCs w:val="21"/>
              </w:rPr>
              <w:t>亩</w:t>
            </w:r>
          </w:p>
        </w:tc>
        <w:tc>
          <w:tcPr>
            <w:tcW w:w="1484" w:type="dxa"/>
            <w:vAlign w:val="center"/>
          </w:tcPr>
          <w:p>
            <w:pPr>
              <w:adjustRightInd w:val="0"/>
              <w:snapToGrid w:val="0"/>
              <w:spacing w:line="240" w:lineRule="exact"/>
              <w:jc w:val="center"/>
              <w:rPr>
                <w:szCs w:val="21"/>
              </w:rPr>
            </w:pPr>
            <w:r>
              <w:rPr>
                <w:szCs w:val="21"/>
              </w:rPr>
              <w:t>674</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6</w:t>
            </w:r>
          </w:p>
        </w:tc>
        <w:tc>
          <w:tcPr>
            <w:tcW w:w="3494" w:type="dxa"/>
            <w:gridSpan w:val="2"/>
            <w:vAlign w:val="center"/>
          </w:tcPr>
          <w:p>
            <w:pPr>
              <w:adjustRightInd w:val="0"/>
              <w:snapToGrid w:val="0"/>
              <w:spacing w:line="240" w:lineRule="exact"/>
              <w:jc w:val="center"/>
              <w:rPr>
                <w:szCs w:val="21"/>
              </w:rPr>
            </w:pPr>
            <w:r>
              <w:rPr>
                <w:szCs w:val="21"/>
              </w:rPr>
              <w:t>重箱堆场</w:t>
            </w:r>
          </w:p>
        </w:tc>
        <w:tc>
          <w:tcPr>
            <w:tcW w:w="1436"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m</w:t>
            </w:r>
            <w:r>
              <w:rPr>
                <w:rFonts w:ascii="Times New Roman" w:hAnsi="Times New Roman"/>
                <w:szCs w:val="21"/>
                <w:vertAlign w:val="superscript"/>
              </w:rPr>
              <w:t>2</w:t>
            </w:r>
          </w:p>
        </w:tc>
        <w:tc>
          <w:tcPr>
            <w:tcW w:w="1484" w:type="dxa"/>
            <w:vAlign w:val="center"/>
          </w:tcPr>
          <w:p>
            <w:pPr>
              <w:adjustRightInd w:val="0"/>
              <w:snapToGrid w:val="0"/>
              <w:spacing w:line="240" w:lineRule="exact"/>
              <w:jc w:val="center"/>
              <w:rPr>
                <w:szCs w:val="21"/>
              </w:rPr>
            </w:pPr>
            <w:r>
              <w:rPr>
                <w:szCs w:val="21"/>
              </w:rPr>
              <w:t>43280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7</w:t>
            </w:r>
          </w:p>
        </w:tc>
        <w:tc>
          <w:tcPr>
            <w:tcW w:w="3494" w:type="dxa"/>
            <w:gridSpan w:val="2"/>
            <w:vAlign w:val="center"/>
          </w:tcPr>
          <w:p>
            <w:pPr>
              <w:adjustRightInd w:val="0"/>
              <w:snapToGrid w:val="0"/>
              <w:spacing w:line="240" w:lineRule="exact"/>
              <w:jc w:val="center"/>
              <w:rPr>
                <w:szCs w:val="21"/>
              </w:rPr>
            </w:pPr>
            <w:r>
              <w:rPr>
                <w:szCs w:val="21"/>
              </w:rPr>
              <w:t>空箱堆场</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10950</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8</w:t>
            </w:r>
          </w:p>
        </w:tc>
        <w:tc>
          <w:tcPr>
            <w:tcW w:w="3494" w:type="dxa"/>
            <w:gridSpan w:val="2"/>
            <w:vAlign w:val="center"/>
          </w:tcPr>
          <w:p>
            <w:pPr>
              <w:adjustRightInd w:val="0"/>
              <w:snapToGrid w:val="0"/>
              <w:spacing w:line="240" w:lineRule="exact"/>
              <w:jc w:val="center"/>
              <w:rPr>
                <w:szCs w:val="21"/>
              </w:rPr>
            </w:pPr>
            <w:r>
              <w:rPr>
                <w:szCs w:val="21"/>
              </w:rPr>
              <w:t>件杂、集装箱通用堆场</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9</w:t>
            </w:r>
          </w:p>
        </w:tc>
        <w:tc>
          <w:tcPr>
            <w:tcW w:w="3494" w:type="dxa"/>
            <w:gridSpan w:val="2"/>
            <w:vAlign w:val="center"/>
          </w:tcPr>
          <w:p>
            <w:pPr>
              <w:adjustRightInd w:val="0"/>
              <w:snapToGrid w:val="0"/>
              <w:spacing w:line="240" w:lineRule="exact"/>
              <w:jc w:val="center"/>
              <w:rPr>
                <w:szCs w:val="21"/>
              </w:rPr>
            </w:pPr>
            <w:r>
              <w:rPr>
                <w:szCs w:val="21"/>
              </w:rPr>
              <w:t>散货堆场</w:t>
            </w:r>
          </w:p>
        </w:tc>
        <w:tc>
          <w:tcPr>
            <w:tcW w:w="1436"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m</w:t>
            </w:r>
            <w:r>
              <w:rPr>
                <w:rFonts w:ascii="Times New Roman" w:hAnsi="Times New Roman"/>
                <w:szCs w:val="21"/>
                <w:vertAlign w:val="superscript"/>
              </w:rPr>
              <w:t>2</w:t>
            </w:r>
          </w:p>
        </w:tc>
        <w:tc>
          <w:tcPr>
            <w:tcW w:w="1484" w:type="dxa"/>
            <w:vAlign w:val="center"/>
          </w:tcPr>
          <w:p>
            <w:pPr>
              <w:adjustRightInd w:val="0"/>
              <w:snapToGrid w:val="0"/>
              <w:spacing w:line="240" w:lineRule="exact"/>
              <w:jc w:val="center"/>
              <w:rPr>
                <w:szCs w:val="21"/>
              </w:rPr>
            </w:pPr>
            <w:r>
              <w:rPr>
                <w:szCs w:val="21"/>
              </w:rPr>
              <w:t>63247</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10</w:t>
            </w:r>
          </w:p>
        </w:tc>
        <w:tc>
          <w:tcPr>
            <w:tcW w:w="3494" w:type="dxa"/>
            <w:gridSpan w:val="2"/>
            <w:vAlign w:val="center"/>
          </w:tcPr>
          <w:p>
            <w:pPr>
              <w:adjustRightInd w:val="0"/>
              <w:snapToGrid w:val="0"/>
              <w:spacing w:line="240" w:lineRule="exact"/>
              <w:jc w:val="center"/>
              <w:rPr>
                <w:szCs w:val="21"/>
              </w:rPr>
            </w:pPr>
            <w:r>
              <w:rPr>
                <w:szCs w:val="21"/>
              </w:rPr>
              <w:t>件杂堆场</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46368</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11</w:t>
            </w:r>
          </w:p>
        </w:tc>
        <w:tc>
          <w:tcPr>
            <w:tcW w:w="3494" w:type="dxa"/>
            <w:gridSpan w:val="2"/>
            <w:vAlign w:val="center"/>
          </w:tcPr>
          <w:p>
            <w:pPr>
              <w:adjustRightInd w:val="0"/>
              <w:snapToGrid w:val="0"/>
              <w:spacing w:line="240" w:lineRule="exact"/>
              <w:jc w:val="center"/>
              <w:rPr>
                <w:szCs w:val="21"/>
              </w:rPr>
            </w:pPr>
            <w:r>
              <w:rPr>
                <w:szCs w:val="21"/>
              </w:rPr>
              <w:t>道路面积</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69641</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12</w:t>
            </w:r>
          </w:p>
        </w:tc>
        <w:tc>
          <w:tcPr>
            <w:tcW w:w="3494" w:type="dxa"/>
            <w:gridSpan w:val="2"/>
            <w:vAlign w:val="center"/>
          </w:tcPr>
          <w:p>
            <w:pPr>
              <w:adjustRightInd w:val="0"/>
              <w:snapToGrid w:val="0"/>
              <w:spacing w:line="240" w:lineRule="exact"/>
              <w:jc w:val="center"/>
              <w:rPr>
                <w:szCs w:val="21"/>
              </w:rPr>
            </w:pPr>
            <w:r>
              <w:rPr>
                <w:szCs w:val="21"/>
              </w:rPr>
              <w:t>停车场</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18838</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13</w:t>
            </w:r>
          </w:p>
        </w:tc>
        <w:tc>
          <w:tcPr>
            <w:tcW w:w="3494" w:type="dxa"/>
            <w:gridSpan w:val="2"/>
            <w:vAlign w:val="center"/>
          </w:tcPr>
          <w:p>
            <w:pPr>
              <w:adjustRightInd w:val="0"/>
              <w:snapToGrid w:val="0"/>
              <w:spacing w:line="240" w:lineRule="exact"/>
              <w:jc w:val="center"/>
              <w:rPr>
                <w:szCs w:val="21"/>
              </w:rPr>
            </w:pPr>
            <w:r>
              <w:rPr>
                <w:szCs w:val="21"/>
              </w:rPr>
              <w:t>辅助区</w:t>
            </w:r>
          </w:p>
        </w:tc>
        <w:tc>
          <w:tcPr>
            <w:tcW w:w="1436" w:type="dxa"/>
            <w:vAlign w:val="center"/>
          </w:tcPr>
          <w:p>
            <w:pPr>
              <w:adjustRightInd w:val="0"/>
              <w:snapToGrid w:val="0"/>
              <w:spacing w:line="240" w:lineRule="exact"/>
              <w:jc w:val="center"/>
              <w:rPr>
                <w:szCs w:val="21"/>
              </w:rPr>
            </w:pPr>
            <w:r>
              <w:rPr>
                <w:szCs w:val="21"/>
              </w:rPr>
              <w:t>m</w:t>
            </w:r>
            <w:r>
              <w:rPr>
                <w:szCs w:val="21"/>
                <w:vertAlign w:val="superscript"/>
              </w:rPr>
              <w:t>2</w:t>
            </w:r>
          </w:p>
        </w:tc>
        <w:tc>
          <w:tcPr>
            <w:tcW w:w="1484" w:type="dxa"/>
            <w:vAlign w:val="center"/>
          </w:tcPr>
          <w:p>
            <w:pPr>
              <w:adjustRightInd w:val="0"/>
              <w:snapToGrid w:val="0"/>
              <w:spacing w:line="240" w:lineRule="exact"/>
              <w:jc w:val="center"/>
              <w:rPr>
                <w:szCs w:val="21"/>
              </w:rPr>
            </w:pPr>
            <w:r>
              <w:rPr>
                <w:szCs w:val="21"/>
              </w:rPr>
              <w:t>8829</w:t>
            </w:r>
          </w:p>
        </w:tc>
        <w:tc>
          <w:tcPr>
            <w:tcW w:w="1309" w:type="dxa"/>
            <w:vAlign w:val="center"/>
          </w:tcPr>
          <w:p>
            <w:pPr>
              <w:pStyle w:val="46"/>
              <w:adjustRightInd w:val="0"/>
              <w:snapToGrid w:val="0"/>
              <w:spacing w:line="240" w:lineRule="exact"/>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24" w:hRule="atLeast"/>
          <w:jc w:val="center"/>
        </w:trPr>
        <w:tc>
          <w:tcPr>
            <w:tcW w:w="594" w:type="dxa"/>
            <w:vAlign w:val="center"/>
          </w:tcPr>
          <w:p>
            <w:pPr>
              <w:adjustRightInd w:val="0"/>
              <w:snapToGrid w:val="0"/>
              <w:spacing w:line="240" w:lineRule="exact"/>
              <w:jc w:val="center"/>
              <w:rPr>
                <w:szCs w:val="21"/>
              </w:rPr>
            </w:pPr>
            <w:r>
              <w:rPr>
                <w:szCs w:val="21"/>
              </w:rPr>
              <w:t>14</w:t>
            </w:r>
          </w:p>
        </w:tc>
        <w:tc>
          <w:tcPr>
            <w:tcW w:w="3494" w:type="dxa"/>
            <w:gridSpan w:val="2"/>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港区定员</w:t>
            </w:r>
          </w:p>
        </w:tc>
        <w:tc>
          <w:tcPr>
            <w:tcW w:w="1436" w:type="dxa"/>
            <w:vAlign w:val="center"/>
          </w:tcPr>
          <w:p>
            <w:pPr>
              <w:pStyle w:val="46"/>
              <w:adjustRightInd w:val="0"/>
              <w:snapToGrid w:val="0"/>
              <w:spacing w:line="240" w:lineRule="exact"/>
              <w:jc w:val="center"/>
              <w:rPr>
                <w:rFonts w:ascii="Times New Roman" w:hAnsi="Times New Roman"/>
                <w:szCs w:val="21"/>
              </w:rPr>
            </w:pPr>
            <w:r>
              <w:rPr>
                <w:rFonts w:ascii="Times New Roman" w:hAnsi="Times New Roman"/>
                <w:szCs w:val="21"/>
              </w:rPr>
              <w:t>人</w:t>
            </w:r>
          </w:p>
        </w:tc>
        <w:tc>
          <w:tcPr>
            <w:tcW w:w="1484" w:type="dxa"/>
            <w:vAlign w:val="center"/>
          </w:tcPr>
          <w:p>
            <w:pPr>
              <w:adjustRightInd w:val="0"/>
              <w:snapToGrid w:val="0"/>
              <w:spacing w:line="240" w:lineRule="exact"/>
              <w:jc w:val="center"/>
              <w:rPr>
                <w:szCs w:val="21"/>
              </w:rPr>
            </w:pPr>
            <w:r>
              <w:rPr>
                <w:szCs w:val="21"/>
              </w:rPr>
              <w:t>506</w:t>
            </w:r>
          </w:p>
        </w:tc>
        <w:tc>
          <w:tcPr>
            <w:tcW w:w="1309" w:type="dxa"/>
            <w:vAlign w:val="center"/>
          </w:tcPr>
          <w:p>
            <w:pPr>
              <w:pStyle w:val="46"/>
              <w:adjustRightInd w:val="0"/>
              <w:snapToGrid w:val="0"/>
              <w:spacing w:line="240" w:lineRule="exact"/>
              <w:jc w:val="center"/>
              <w:rPr>
                <w:rFonts w:ascii="Times New Roman" w:hAnsi="Times New Roman"/>
                <w:szCs w:val="21"/>
              </w:rPr>
            </w:pPr>
          </w:p>
        </w:tc>
      </w:tr>
    </w:tbl>
    <w:p>
      <w:pPr>
        <w:pStyle w:val="5"/>
        <w:tabs>
          <w:tab w:val="left" w:pos="900"/>
          <w:tab w:val="left" w:pos="1210"/>
        </w:tabs>
        <w:spacing w:before="468" w:beforeLines="150"/>
        <w:ind w:left="843" w:hanging="843" w:hangingChars="300"/>
        <w:rPr>
          <w:rFonts w:ascii="宋体" w:hAnsi="宋体" w:eastAsia="宋体"/>
          <w:b/>
          <w:sz w:val="28"/>
          <w:szCs w:val="28"/>
        </w:rPr>
      </w:pPr>
      <w:bookmarkStart w:id="73" w:name="_Toc442195672"/>
      <w:r>
        <w:rPr>
          <w:rFonts w:hint="eastAsia" w:ascii="宋体" w:hAnsi="宋体" w:eastAsia="宋体"/>
          <w:b/>
          <w:sz w:val="28"/>
          <w:szCs w:val="28"/>
        </w:rPr>
        <w:t>白洋物流园建设方案</w:t>
      </w:r>
      <w:bookmarkEnd w:id="73"/>
    </w:p>
    <w:p>
      <w:pPr>
        <w:pStyle w:val="4"/>
        <w:spacing w:line="360" w:lineRule="auto"/>
        <w:ind w:firstLine="480"/>
        <w:rPr>
          <w:sz w:val="24"/>
        </w:rPr>
      </w:pPr>
      <w:r>
        <w:rPr>
          <w:rFonts w:hint="eastAsia"/>
          <w:sz w:val="24"/>
        </w:rPr>
        <w:t>白洋物流园区基础设施主要建设内容包括综合物流区、商贸物流A区和商贸物流B区等3个二级子项。具体见表2.3-1。</w:t>
      </w:r>
    </w:p>
    <w:p>
      <w:pPr>
        <w:pStyle w:val="4"/>
        <w:ind w:firstLine="482"/>
        <w:jc w:val="center"/>
      </w:pPr>
      <w:r>
        <w:rPr>
          <w:rFonts w:hint="eastAsia"/>
          <w:b/>
          <w:sz w:val="24"/>
        </w:rPr>
        <w:t>表2.3-1</w:t>
      </w:r>
      <w:r>
        <w:rPr>
          <w:b/>
          <w:sz w:val="24"/>
        </w:rPr>
        <w:t>物流园区功能区面积情况</w:t>
      </w:r>
    </w:p>
    <w:tbl>
      <w:tblPr>
        <w:tblStyle w:val="104"/>
        <w:tblW w:w="8655" w:type="dxa"/>
        <w:jc w:val="center"/>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6"/>
        <w:gridCol w:w="1807"/>
        <w:gridCol w:w="2643"/>
        <w:gridCol w:w="1560"/>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3" w:hRule="exact"/>
          <w:jc w:val="center"/>
        </w:trPr>
        <w:tc>
          <w:tcPr>
            <w:tcW w:w="706" w:type="dxa"/>
            <w:shd w:val="clear" w:color="auto" w:fill="auto"/>
            <w:vAlign w:val="center"/>
          </w:tcPr>
          <w:p>
            <w:pPr>
              <w:contextualSpacing/>
              <w:jc w:val="center"/>
              <w:rPr>
                <w:rFonts w:eastAsiaTheme="minorEastAsia"/>
                <w:kern w:val="0"/>
                <w:szCs w:val="21"/>
              </w:rPr>
            </w:pPr>
          </w:p>
        </w:tc>
        <w:tc>
          <w:tcPr>
            <w:tcW w:w="1807" w:type="dxa"/>
            <w:shd w:val="clear" w:color="auto" w:fill="auto"/>
            <w:vAlign w:val="center"/>
          </w:tcPr>
          <w:p>
            <w:pPr>
              <w:contextualSpacing/>
              <w:jc w:val="center"/>
              <w:rPr>
                <w:rFonts w:eastAsiaTheme="minorEastAsia"/>
                <w:kern w:val="0"/>
                <w:szCs w:val="21"/>
              </w:rPr>
            </w:pPr>
            <w:r>
              <w:rPr>
                <w:rFonts w:eastAsiaTheme="minorEastAsia"/>
                <w:kern w:val="0"/>
                <w:szCs w:val="21"/>
              </w:rPr>
              <w:t>功能大区</w:t>
            </w: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功能小区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建筑面积（m</w:t>
            </w:r>
            <w:r>
              <w:rPr>
                <w:rFonts w:eastAsiaTheme="minorEastAsia"/>
                <w:kern w:val="0"/>
                <w:szCs w:val="21"/>
                <w:vertAlign w:val="superscript"/>
              </w:rPr>
              <w:t>2</w:t>
            </w: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规划占地面积（亩）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restart"/>
            <w:shd w:val="clear" w:color="auto" w:fill="auto"/>
            <w:vAlign w:val="center"/>
          </w:tcPr>
          <w:p>
            <w:pPr>
              <w:contextualSpacing/>
              <w:jc w:val="center"/>
              <w:rPr>
                <w:rFonts w:eastAsiaTheme="minorEastAsia"/>
                <w:kern w:val="0"/>
                <w:szCs w:val="21"/>
              </w:rPr>
            </w:pPr>
            <w:r>
              <w:rPr>
                <w:rFonts w:eastAsiaTheme="minorEastAsia"/>
                <w:kern w:val="0"/>
                <w:szCs w:val="21"/>
              </w:rPr>
              <w:t>白洋物流园区</w:t>
            </w:r>
          </w:p>
        </w:tc>
        <w:tc>
          <w:tcPr>
            <w:tcW w:w="1807" w:type="dxa"/>
            <w:vMerge w:val="restart"/>
            <w:shd w:val="clear" w:color="auto" w:fill="auto"/>
            <w:vAlign w:val="center"/>
          </w:tcPr>
          <w:p>
            <w:pPr>
              <w:contextualSpacing/>
              <w:jc w:val="center"/>
              <w:rPr>
                <w:rFonts w:eastAsiaTheme="minorEastAsia"/>
                <w:kern w:val="0"/>
                <w:szCs w:val="21"/>
              </w:rPr>
            </w:pPr>
            <w:r>
              <w:rPr>
                <w:rFonts w:eastAsiaTheme="minorEastAsia"/>
                <w:kern w:val="0"/>
                <w:szCs w:val="21"/>
              </w:rPr>
              <w:t>综合物流区</w:t>
            </w:r>
          </w:p>
          <w:p>
            <w:pPr>
              <w:contextualSpacing/>
              <w:jc w:val="center"/>
              <w:rPr>
                <w:rFonts w:eastAsiaTheme="minorEastAsia"/>
                <w:kern w:val="0"/>
                <w:szCs w:val="21"/>
              </w:rPr>
            </w:pPr>
            <w:r>
              <w:rPr>
                <w:rFonts w:eastAsiaTheme="minorEastAsia"/>
                <w:kern w:val="0"/>
                <w:szCs w:val="21"/>
              </w:rPr>
              <w:t>（规划493亩）</w:t>
            </w: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食品仓储区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19497</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中转快运</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11600</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城市配送区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15075</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综合管理与物流信息中心</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32100</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智能化货运集散中心</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21000</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停车场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辅助区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1650</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生活配套区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22954</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restart"/>
            <w:shd w:val="clear" w:color="auto" w:fill="auto"/>
            <w:vAlign w:val="center"/>
          </w:tcPr>
          <w:p>
            <w:pPr>
              <w:contextualSpacing/>
              <w:jc w:val="center"/>
              <w:rPr>
                <w:rFonts w:eastAsiaTheme="minorEastAsia"/>
                <w:kern w:val="0"/>
                <w:szCs w:val="21"/>
              </w:rPr>
            </w:pPr>
            <w:r>
              <w:rPr>
                <w:rFonts w:eastAsiaTheme="minorEastAsia"/>
                <w:kern w:val="0"/>
                <w:szCs w:val="21"/>
              </w:rPr>
              <w:t>商贸物流A区</w:t>
            </w:r>
          </w:p>
          <w:p>
            <w:pPr>
              <w:contextualSpacing/>
              <w:jc w:val="center"/>
              <w:rPr>
                <w:rFonts w:eastAsiaTheme="minorEastAsia"/>
                <w:kern w:val="0"/>
                <w:szCs w:val="21"/>
              </w:rPr>
            </w:pPr>
            <w:r>
              <w:rPr>
                <w:rFonts w:eastAsiaTheme="minorEastAsia"/>
                <w:kern w:val="0"/>
                <w:szCs w:val="21"/>
              </w:rPr>
              <w:t>（规划272亩）</w:t>
            </w: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仓储区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22188</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流通加工区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12376</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堆场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展示交易区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辅助区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停车场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restart"/>
            <w:shd w:val="clear" w:color="auto" w:fill="auto"/>
            <w:vAlign w:val="center"/>
          </w:tcPr>
          <w:p>
            <w:pPr>
              <w:contextualSpacing/>
              <w:jc w:val="center"/>
              <w:rPr>
                <w:rFonts w:eastAsiaTheme="minorEastAsia"/>
                <w:kern w:val="0"/>
                <w:szCs w:val="21"/>
              </w:rPr>
            </w:pPr>
            <w:r>
              <w:rPr>
                <w:rFonts w:eastAsiaTheme="minorEastAsia"/>
                <w:kern w:val="0"/>
                <w:szCs w:val="21"/>
              </w:rPr>
              <w:t>商贸物流B区</w:t>
            </w:r>
          </w:p>
          <w:p>
            <w:pPr>
              <w:contextualSpacing/>
              <w:jc w:val="center"/>
              <w:rPr>
                <w:rFonts w:eastAsiaTheme="minorEastAsia"/>
                <w:kern w:val="0"/>
                <w:szCs w:val="21"/>
              </w:rPr>
            </w:pPr>
            <w:r>
              <w:rPr>
                <w:rFonts w:eastAsiaTheme="minorEastAsia"/>
                <w:kern w:val="0"/>
                <w:szCs w:val="21"/>
              </w:rPr>
              <w:t>（规划384亩）</w:t>
            </w: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仓储区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16668</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流通加工区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25211</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堆场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辅助区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706" w:type="dxa"/>
            <w:vMerge w:val="continue"/>
            <w:shd w:val="clear" w:color="auto" w:fill="auto"/>
            <w:vAlign w:val="center"/>
          </w:tcPr>
          <w:p>
            <w:pPr>
              <w:contextualSpacing/>
              <w:jc w:val="center"/>
              <w:rPr>
                <w:rFonts w:eastAsiaTheme="minorEastAsia"/>
                <w:kern w:val="0"/>
                <w:szCs w:val="21"/>
              </w:rPr>
            </w:pPr>
          </w:p>
        </w:tc>
        <w:tc>
          <w:tcPr>
            <w:tcW w:w="1807" w:type="dxa"/>
            <w:vMerge w:val="continue"/>
            <w:shd w:val="clear" w:color="auto" w:fill="auto"/>
            <w:vAlign w:val="center"/>
          </w:tcPr>
          <w:p>
            <w:pPr>
              <w:contextualSpacing/>
              <w:jc w:val="center"/>
              <w:rPr>
                <w:rFonts w:eastAsiaTheme="minorEastAsia"/>
                <w:kern w:val="0"/>
                <w:szCs w:val="21"/>
              </w:rPr>
            </w:pPr>
          </w:p>
        </w:tc>
        <w:tc>
          <w:tcPr>
            <w:tcW w:w="2643" w:type="dxa"/>
            <w:shd w:val="clear" w:color="auto" w:fill="auto"/>
            <w:vAlign w:val="center"/>
          </w:tcPr>
          <w:p>
            <w:pPr>
              <w:contextualSpacing/>
              <w:jc w:val="center"/>
              <w:rPr>
                <w:rFonts w:eastAsiaTheme="minorEastAsia"/>
                <w:kern w:val="0"/>
                <w:szCs w:val="21"/>
              </w:rPr>
            </w:pPr>
            <w:r>
              <w:rPr>
                <w:rFonts w:eastAsiaTheme="minorEastAsia"/>
                <w:kern w:val="0"/>
                <w:szCs w:val="21"/>
              </w:rPr>
              <w:t>停车场</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exact"/>
          <w:jc w:val="center"/>
        </w:trPr>
        <w:tc>
          <w:tcPr>
            <w:tcW w:w="5156" w:type="dxa"/>
            <w:gridSpan w:val="3"/>
            <w:shd w:val="clear" w:color="auto" w:fill="auto"/>
            <w:vAlign w:val="center"/>
          </w:tcPr>
          <w:p>
            <w:pPr>
              <w:contextualSpacing/>
              <w:jc w:val="center"/>
              <w:rPr>
                <w:rFonts w:eastAsiaTheme="minorEastAsia"/>
                <w:kern w:val="0"/>
                <w:szCs w:val="21"/>
              </w:rPr>
            </w:pPr>
            <w:r>
              <w:rPr>
                <w:rFonts w:eastAsiaTheme="minorEastAsia"/>
                <w:kern w:val="0"/>
                <w:szCs w:val="21"/>
              </w:rPr>
              <w:t>总计（园区内部道路除外）</w:t>
            </w:r>
          </w:p>
        </w:tc>
        <w:tc>
          <w:tcPr>
            <w:tcW w:w="1560" w:type="dxa"/>
            <w:shd w:val="clear" w:color="auto" w:fill="auto"/>
            <w:vAlign w:val="center"/>
          </w:tcPr>
          <w:p>
            <w:pPr>
              <w:contextualSpacing/>
              <w:jc w:val="center"/>
              <w:rPr>
                <w:rFonts w:eastAsiaTheme="minorEastAsia"/>
                <w:kern w:val="0"/>
                <w:szCs w:val="21"/>
              </w:rPr>
            </w:pPr>
            <w:r>
              <w:rPr>
                <w:rFonts w:eastAsiaTheme="minorEastAsia"/>
                <w:kern w:val="0"/>
                <w:szCs w:val="21"/>
              </w:rPr>
              <w:t>——</w:t>
            </w:r>
          </w:p>
        </w:tc>
        <w:tc>
          <w:tcPr>
            <w:tcW w:w="1939" w:type="dxa"/>
            <w:shd w:val="clear" w:color="auto" w:fill="auto"/>
            <w:vAlign w:val="center"/>
          </w:tcPr>
          <w:p>
            <w:pPr>
              <w:contextualSpacing/>
              <w:jc w:val="center"/>
              <w:rPr>
                <w:rFonts w:eastAsiaTheme="minorEastAsia"/>
                <w:kern w:val="0"/>
                <w:szCs w:val="21"/>
              </w:rPr>
            </w:pPr>
            <w:r>
              <w:rPr>
                <w:rFonts w:eastAsiaTheme="minorEastAsia"/>
                <w:kern w:val="0"/>
                <w:szCs w:val="21"/>
              </w:rPr>
              <w:t>1149</w:t>
            </w:r>
          </w:p>
        </w:tc>
      </w:tr>
    </w:tbl>
    <w:p>
      <w:pPr>
        <w:pStyle w:val="4"/>
      </w:pPr>
    </w:p>
    <w:p>
      <w:pPr>
        <w:pStyle w:val="6"/>
        <w:tabs>
          <w:tab w:val="left" w:pos="-489"/>
        </w:tabs>
        <w:spacing w:beforeLines="0" w:afterLines="0"/>
        <w:ind w:left="0" w:firstLine="0"/>
        <w:rPr>
          <w:rFonts w:ascii="Times New Roman" w:hAnsi="Times New Roman"/>
        </w:rPr>
      </w:pPr>
      <w:r>
        <w:rPr>
          <w:rFonts w:hint="eastAsia" w:ascii="Times New Roman" w:hAnsi="Times New Roman"/>
        </w:rPr>
        <w:t>生产工艺</w:t>
      </w:r>
    </w:p>
    <w:p>
      <w:pPr>
        <w:pStyle w:val="4"/>
        <w:spacing w:line="360" w:lineRule="auto"/>
        <w:ind w:firstLine="482"/>
        <w:rPr>
          <w:b/>
          <w:sz w:val="24"/>
        </w:rPr>
      </w:pPr>
      <w:r>
        <w:rPr>
          <w:b/>
          <w:sz w:val="24"/>
        </w:rPr>
        <w:t>（1）综合物流区</w:t>
      </w:r>
    </w:p>
    <w:p>
      <w:pPr>
        <w:pStyle w:val="4"/>
        <w:spacing w:line="360" w:lineRule="auto"/>
        <w:ind w:firstLine="480"/>
        <w:rPr>
          <w:sz w:val="24"/>
        </w:rPr>
      </w:pPr>
      <w:r>
        <w:rPr>
          <w:sz w:val="24"/>
        </w:rPr>
        <w:t>综合物流区具体划分为：</w:t>
      </w:r>
      <w:r>
        <w:rPr>
          <w:rFonts w:hint="eastAsia"/>
          <w:sz w:val="24"/>
        </w:rPr>
        <w:t>两座配送仓库、四座食品仓库、两片快运堆场及其他生产生活辅助设施</w:t>
      </w:r>
      <w:r>
        <w:rPr>
          <w:sz w:val="24"/>
        </w:rPr>
        <w:t>。</w:t>
      </w:r>
    </w:p>
    <w:p>
      <w:pPr>
        <w:pStyle w:val="4"/>
        <w:spacing w:line="360" w:lineRule="auto"/>
        <w:ind w:firstLine="480"/>
        <w:rPr>
          <w:sz w:val="24"/>
        </w:rPr>
      </w:pPr>
      <w:r>
        <w:rPr>
          <w:rFonts w:hint="eastAsia" w:ascii="宋体" w:hAnsi="宋体" w:cs="宋体"/>
          <w:sz w:val="24"/>
        </w:rPr>
        <w:t>①</w:t>
      </w:r>
      <w:r>
        <w:rPr>
          <w:rFonts w:hint="eastAsia"/>
          <w:b/>
          <w:sz w:val="24"/>
        </w:rPr>
        <w:t>配送仓库</w:t>
      </w:r>
      <w:r>
        <w:rPr>
          <w:sz w:val="24"/>
        </w:rPr>
        <w:t>：</w:t>
      </w:r>
      <w:r>
        <w:rPr>
          <w:rFonts w:hint="eastAsia"/>
          <w:sz w:val="24"/>
        </w:rPr>
        <w:t>W1-1#配送仓库采用两连跨布置，仓库主尺度为162m×18m×2，库内采用4台16t-16.5m桥式起重机作业，每跨2台，配备叉车辅助作业，汽车可进库进行装卸；W1-2#配送仓库主尺度为168m×48m，两侧设置装卸作业站台，库内及站台地坪高出室外地坪1.35m，站台上设置装卸渡板，车辆垂直站台停靠，库内采用叉车作业。</w:t>
      </w:r>
    </w:p>
    <w:p>
      <w:pPr>
        <w:pStyle w:val="4"/>
        <w:spacing w:line="360" w:lineRule="auto"/>
        <w:ind w:firstLine="480"/>
        <w:rPr>
          <w:sz w:val="24"/>
        </w:rPr>
      </w:pPr>
      <w:r>
        <w:rPr>
          <w:rFonts w:hint="eastAsia" w:ascii="宋体" w:hAnsi="宋体" w:cs="宋体"/>
          <w:sz w:val="24"/>
        </w:rPr>
        <w:t>②</w:t>
      </w:r>
      <w:r>
        <w:rPr>
          <w:rFonts w:hint="eastAsia"/>
          <w:b/>
          <w:sz w:val="24"/>
        </w:rPr>
        <w:t>食品仓库</w:t>
      </w:r>
      <w:r>
        <w:rPr>
          <w:sz w:val="24"/>
        </w:rPr>
        <w:t>：</w:t>
      </w:r>
      <w:r>
        <w:rPr>
          <w:rFonts w:hint="eastAsia"/>
          <w:sz w:val="24"/>
        </w:rPr>
        <w:t>W1-1#食品仓库、W1-2#食品仓库主尺度为180m×24m，单侧设置装卸作业站台；W1-3#食品仓库、W1-4#食品仓库主尺度为180m×36m，两侧设置装卸作业站台；食品仓库库内及站台地坪高出室外地坪1.35m，站台上设置装卸渡板，车辆垂直站台停靠，库内采用叉车作业</w:t>
      </w:r>
      <w:r>
        <w:rPr>
          <w:sz w:val="24"/>
        </w:rPr>
        <w:t>。</w:t>
      </w:r>
    </w:p>
    <w:p>
      <w:pPr>
        <w:pStyle w:val="4"/>
        <w:spacing w:line="360" w:lineRule="auto"/>
        <w:ind w:firstLine="480"/>
        <w:rPr>
          <w:sz w:val="24"/>
        </w:rPr>
      </w:pPr>
      <w:r>
        <w:rPr>
          <w:rFonts w:hint="eastAsia" w:ascii="宋体" w:hAnsi="宋体" w:cs="宋体"/>
          <w:sz w:val="24"/>
        </w:rPr>
        <w:t>③</w:t>
      </w:r>
      <w:r>
        <w:rPr>
          <w:rFonts w:hint="eastAsia"/>
          <w:b/>
          <w:sz w:val="24"/>
        </w:rPr>
        <w:t>快运堆场</w:t>
      </w:r>
      <w:r>
        <w:rPr>
          <w:sz w:val="24"/>
        </w:rPr>
        <w:t>：</w:t>
      </w:r>
      <w:r>
        <w:rPr>
          <w:rFonts w:hint="eastAsia"/>
          <w:sz w:val="24"/>
        </w:rPr>
        <w:t>W1-1#、2#快运堆场，堆场采用16t和30t轮胎起重机作业</w:t>
      </w:r>
      <w:r>
        <w:rPr>
          <w:sz w:val="24"/>
        </w:rPr>
        <w:t>。</w:t>
      </w:r>
    </w:p>
    <w:p>
      <w:pPr>
        <w:pStyle w:val="4"/>
        <w:spacing w:line="360" w:lineRule="auto"/>
        <w:ind w:firstLine="480"/>
        <w:rPr>
          <w:sz w:val="24"/>
        </w:rPr>
      </w:pPr>
      <w:r>
        <w:rPr>
          <w:rFonts w:hint="eastAsia" w:ascii="宋体" w:hAnsi="宋体" w:cs="宋体"/>
          <w:sz w:val="24"/>
        </w:rPr>
        <w:t>④</w:t>
      </w:r>
      <w:r>
        <w:rPr>
          <w:rFonts w:hint="eastAsia"/>
          <w:b/>
          <w:sz w:val="24"/>
        </w:rPr>
        <w:t>生产辅助设施</w:t>
      </w:r>
      <w:r>
        <w:rPr>
          <w:sz w:val="24"/>
        </w:rPr>
        <w:t>：</w:t>
      </w:r>
      <w:r>
        <w:rPr>
          <w:rFonts w:hint="eastAsia"/>
          <w:sz w:val="24"/>
        </w:rPr>
        <w:t>建设W1-维修车间、W1-材料工具间各一座，维修车间与材料工具间合建，主尺度为（60+30）m×18m，维修车间与材料工具间共用1台5t-16.5m电动单梁吊作业</w:t>
      </w:r>
      <w:r>
        <w:rPr>
          <w:sz w:val="24"/>
        </w:rPr>
        <w:t>。</w:t>
      </w:r>
    </w:p>
    <w:p>
      <w:pPr>
        <w:pStyle w:val="452"/>
        <w:rPr>
          <w:rFonts w:ascii="微软雅黑" w:hAnsi="微软雅黑"/>
          <w:szCs w:val="32"/>
        </w:rPr>
      </w:pPr>
      <w:r>
        <w:drawing>
          <wp:inline distT="0" distB="0" distL="0" distR="0">
            <wp:extent cx="5044440" cy="1191895"/>
            <wp:effectExtent l="19050" t="0" r="3581" b="0"/>
            <wp:docPr id="50178" name="图片 50176" descr="综合物流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图片 50176" descr="综合物流区.jpg"/>
                    <pic:cNvPicPr>
                      <a:picLocks noChangeAspect="1"/>
                    </pic:cNvPicPr>
                  </pic:nvPicPr>
                  <pic:blipFill>
                    <a:blip r:embed="rId22"/>
                    <a:srcRect t="24510" b="22222"/>
                    <a:stretch>
                      <a:fillRect/>
                    </a:stretch>
                  </pic:blipFill>
                  <pic:spPr>
                    <a:xfrm>
                      <a:off x="0" y="0"/>
                      <a:ext cx="5044669" cy="1192378"/>
                    </a:xfrm>
                    <a:prstGeom prst="rect">
                      <a:avLst/>
                    </a:prstGeom>
                  </pic:spPr>
                </pic:pic>
              </a:graphicData>
            </a:graphic>
          </wp:inline>
        </w:drawing>
      </w:r>
    </w:p>
    <w:p>
      <w:pPr>
        <w:pStyle w:val="452"/>
      </w:pPr>
      <w:r>
        <w:t>图</w:t>
      </w:r>
      <w:r>
        <w:rPr>
          <w:rFonts w:hint="eastAsia"/>
        </w:rPr>
        <w:t>2.3-1</w:t>
      </w:r>
      <w:r>
        <w:t>综合物流区布局图</w:t>
      </w:r>
    </w:p>
    <w:p>
      <w:pPr>
        <w:pStyle w:val="4"/>
        <w:spacing w:line="360" w:lineRule="auto"/>
        <w:ind w:firstLine="482"/>
        <w:rPr>
          <w:b/>
          <w:sz w:val="24"/>
        </w:rPr>
      </w:pPr>
      <w:r>
        <w:rPr>
          <w:b/>
          <w:sz w:val="24"/>
        </w:rPr>
        <w:t>（2）商贸物流</w:t>
      </w:r>
      <w:r>
        <w:rPr>
          <w:rFonts w:hint="eastAsia"/>
          <w:b/>
          <w:sz w:val="24"/>
        </w:rPr>
        <w:t>A</w:t>
      </w:r>
      <w:r>
        <w:rPr>
          <w:b/>
          <w:sz w:val="24"/>
        </w:rPr>
        <w:t>区</w:t>
      </w:r>
    </w:p>
    <w:p>
      <w:pPr>
        <w:spacing w:line="360" w:lineRule="auto"/>
        <w:ind w:firstLine="480" w:firstLineChars="200"/>
        <w:rPr>
          <w:sz w:val="24"/>
        </w:rPr>
      </w:pPr>
      <w:r>
        <w:rPr>
          <w:rFonts w:hint="eastAsia"/>
          <w:sz w:val="24"/>
        </w:rPr>
        <w:t>商贸物流A区内布置：四座商贸仓库、七片件杂堆场、两座加工厂房、停车场及生产生活辅助建筑等。</w:t>
      </w:r>
    </w:p>
    <w:p>
      <w:pPr>
        <w:spacing w:line="360" w:lineRule="auto"/>
        <w:ind w:firstLine="480" w:firstLineChars="200"/>
        <w:rPr>
          <w:sz w:val="24"/>
        </w:rPr>
      </w:pPr>
      <w:r>
        <w:rPr>
          <w:rFonts w:hint="eastAsia"/>
          <w:sz w:val="24"/>
        </w:rPr>
        <w:t>①</w:t>
      </w:r>
      <w:r>
        <w:rPr>
          <w:rFonts w:hint="eastAsia"/>
          <w:b/>
          <w:sz w:val="24"/>
        </w:rPr>
        <w:t>商贸仓库</w:t>
      </w:r>
      <w:r>
        <w:rPr>
          <w:rFonts w:hint="eastAsia"/>
          <w:sz w:val="24"/>
        </w:rPr>
        <w:t>：W2-1#、2#商贸仓库均采用两连跨布置，仓库主尺度为144m×21m×2，每座商贸仓库配备4台32t-19.5m桥式起重机作业，每跨2台；W2-3#、4#商贸仓库均采用两连跨布置，仓库主尺度为132m×21m×2，每座商贸仓库配备4台32t-19.5m桥式起重机作业，每跨2台；1#～4#商贸仓库库内均考虑汽车进库进行装卸作业，配备叉车辅助作业。</w:t>
      </w:r>
    </w:p>
    <w:p>
      <w:pPr>
        <w:spacing w:line="360" w:lineRule="auto"/>
        <w:ind w:firstLine="480" w:firstLineChars="200"/>
        <w:rPr>
          <w:sz w:val="24"/>
        </w:rPr>
      </w:pPr>
      <w:r>
        <w:rPr>
          <w:rFonts w:hint="eastAsia"/>
          <w:sz w:val="24"/>
        </w:rPr>
        <w:t>②</w:t>
      </w:r>
      <w:r>
        <w:rPr>
          <w:rFonts w:hint="eastAsia"/>
          <w:b/>
          <w:sz w:val="24"/>
        </w:rPr>
        <w:t>件杂堆场</w:t>
      </w:r>
      <w:r>
        <w:rPr>
          <w:rFonts w:hint="eastAsia"/>
          <w:sz w:val="24"/>
        </w:rPr>
        <w:t>：W2-1#～7#件杂堆场，采用轮胎起重机作业。</w:t>
      </w:r>
    </w:p>
    <w:p>
      <w:pPr>
        <w:spacing w:line="360" w:lineRule="auto"/>
        <w:ind w:firstLine="480" w:firstLineChars="200"/>
        <w:rPr>
          <w:sz w:val="24"/>
        </w:rPr>
      </w:pPr>
      <w:r>
        <w:rPr>
          <w:rFonts w:hint="eastAsia"/>
          <w:sz w:val="24"/>
        </w:rPr>
        <w:t>③</w:t>
      </w:r>
      <w:r>
        <w:rPr>
          <w:rFonts w:hint="eastAsia"/>
          <w:b/>
          <w:sz w:val="24"/>
        </w:rPr>
        <w:t>加工厂房</w:t>
      </w:r>
      <w:r>
        <w:rPr>
          <w:rFonts w:hint="eastAsia"/>
          <w:sz w:val="24"/>
        </w:rPr>
        <w:t>：W2-1#、2#加工厂房均采用两连跨布置，厂房主尺度为144m×21m×2，每座厂房配备4台32t-19.5m桥式起重机作业，每跨2台，配备叉车辅助作业，厂房内考虑汽车进厂房进行装卸作业。</w:t>
      </w:r>
    </w:p>
    <w:p>
      <w:pPr>
        <w:spacing w:line="360" w:lineRule="auto"/>
        <w:jc w:val="center"/>
        <w:rPr>
          <w:b/>
        </w:rPr>
      </w:pPr>
      <w:r>
        <w:rPr>
          <w:rFonts w:asciiTheme="minorEastAsia" w:hAnsiTheme="minorEastAsia" w:eastAsiaTheme="minorEastAsia"/>
        </w:rPr>
        <w:drawing>
          <wp:inline distT="0" distB="0" distL="0" distR="0">
            <wp:extent cx="4011295" cy="1783715"/>
            <wp:effectExtent l="19050" t="0" r="7924" b="0"/>
            <wp:docPr id="50186" name="图片 50184" descr="商贸物流A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6" name="图片 50184" descr="商贸物流A区.jpg"/>
                    <pic:cNvPicPr>
                      <a:picLocks noChangeAspect="1"/>
                    </pic:cNvPicPr>
                  </pic:nvPicPr>
                  <pic:blipFill>
                    <a:blip r:embed="rId23"/>
                    <a:stretch>
                      <a:fillRect/>
                    </a:stretch>
                  </pic:blipFill>
                  <pic:spPr>
                    <a:xfrm>
                      <a:off x="0" y="0"/>
                      <a:ext cx="4017983" cy="1787008"/>
                    </a:xfrm>
                    <a:prstGeom prst="rect">
                      <a:avLst/>
                    </a:prstGeom>
                  </pic:spPr>
                </pic:pic>
              </a:graphicData>
            </a:graphic>
          </wp:inline>
        </w:drawing>
      </w:r>
    </w:p>
    <w:p>
      <w:pPr>
        <w:spacing w:line="360" w:lineRule="auto"/>
        <w:jc w:val="center"/>
        <w:rPr>
          <w:b/>
          <w:sz w:val="24"/>
        </w:rPr>
      </w:pPr>
      <w:r>
        <w:rPr>
          <w:rFonts w:hint="eastAsia"/>
          <w:b/>
          <w:sz w:val="24"/>
        </w:rPr>
        <w:t>图2.3-2商贸物流A区布局图</w:t>
      </w:r>
    </w:p>
    <w:p>
      <w:pPr>
        <w:pStyle w:val="4"/>
        <w:spacing w:line="360" w:lineRule="auto"/>
        <w:ind w:firstLine="482"/>
        <w:rPr>
          <w:b/>
          <w:sz w:val="24"/>
        </w:rPr>
      </w:pPr>
      <w:r>
        <w:rPr>
          <w:b/>
          <w:sz w:val="24"/>
        </w:rPr>
        <w:t>（</w:t>
      </w:r>
      <w:r>
        <w:rPr>
          <w:rFonts w:hint="eastAsia"/>
          <w:b/>
          <w:sz w:val="24"/>
        </w:rPr>
        <w:t>3</w:t>
      </w:r>
      <w:r>
        <w:rPr>
          <w:b/>
          <w:sz w:val="24"/>
        </w:rPr>
        <w:t>）商贸物流</w:t>
      </w:r>
      <w:r>
        <w:rPr>
          <w:rFonts w:hint="eastAsia"/>
          <w:b/>
          <w:sz w:val="24"/>
        </w:rPr>
        <w:t>B</w:t>
      </w:r>
      <w:r>
        <w:rPr>
          <w:b/>
          <w:sz w:val="24"/>
        </w:rPr>
        <w:t>区</w:t>
      </w:r>
    </w:p>
    <w:p>
      <w:pPr>
        <w:spacing w:line="360" w:lineRule="auto"/>
        <w:ind w:firstLine="480" w:firstLineChars="200"/>
        <w:rPr>
          <w:sz w:val="24"/>
        </w:rPr>
      </w:pPr>
      <w:r>
        <w:rPr>
          <w:rFonts w:hint="eastAsia"/>
          <w:sz w:val="24"/>
        </w:rPr>
        <w:t>商贸物流B区内布置：两座件杂仓库、两座加工厂房、十二片件杂堆场、停车场生产生活辅助建筑等。</w:t>
      </w:r>
    </w:p>
    <w:p>
      <w:pPr>
        <w:spacing w:line="360" w:lineRule="auto"/>
        <w:ind w:firstLine="480" w:firstLineChars="200"/>
        <w:rPr>
          <w:sz w:val="24"/>
        </w:rPr>
      </w:pPr>
      <w:r>
        <w:rPr>
          <w:rFonts w:hint="eastAsia"/>
          <w:sz w:val="24"/>
        </w:rPr>
        <w:t>①</w:t>
      </w:r>
      <w:r>
        <w:rPr>
          <w:rFonts w:hint="eastAsia"/>
          <w:b/>
          <w:sz w:val="24"/>
        </w:rPr>
        <w:t>件杂仓库</w:t>
      </w:r>
      <w:r>
        <w:rPr>
          <w:rFonts w:hint="eastAsia"/>
          <w:sz w:val="24"/>
        </w:rPr>
        <w:t>：W3-1#、2#件杂仓库主尺度为168m×42m，仓库两侧均设置突出式装卸作业站台，库内及站台地坪高出室外地坪1.35m，站台上设置装卸渡板，车辆垂直站台停靠。库内采用叉车作业。</w:t>
      </w:r>
    </w:p>
    <w:p>
      <w:pPr>
        <w:tabs>
          <w:tab w:val="left" w:pos="2655"/>
        </w:tabs>
        <w:spacing w:line="360" w:lineRule="auto"/>
        <w:ind w:firstLine="480" w:firstLineChars="200"/>
        <w:rPr>
          <w:sz w:val="24"/>
        </w:rPr>
      </w:pPr>
      <w:r>
        <w:rPr>
          <w:rFonts w:hint="eastAsia"/>
          <w:sz w:val="24"/>
        </w:rPr>
        <w:t>②</w:t>
      </w:r>
      <w:r>
        <w:rPr>
          <w:rFonts w:hint="eastAsia"/>
          <w:b/>
          <w:sz w:val="24"/>
        </w:rPr>
        <w:t>加工厂房</w:t>
      </w:r>
      <w:r>
        <w:rPr>
          <w:rFonts w:hint="eastAsia"/>
          <w:sz w:val="24"/>
        </w:rPr>
        <w:t>：W3-1#、2#加工厂房均采用三连跨布置，W3-1#仓库主尺度为132m×24m×3，W3-2#仓库主尺度为216m×24m×3。厂房内每跨配备2台16t-22.5m桥式起重机作业，厂房内考虑汽车进厂房进行装卸作业。</w:t>
      </w:r>
      <w:r>
        <w:rPr>
          <w:sz w:val="24"/>
        </w:rPr>
        <w:tab/>
      </w:r>
    </w:p>
    <w:p>
      <w:pPr>
        <w:pStyle w:val="162"/>
        <w:numPr>
          <w:ilvl w:val="0"/>
          <w:numId w:val="21"/>
        </w:numPr>
        <w:spacing w:line="360" w:lineRule="auto"/>
        <w:ind w:firstLineChars="0"/>
        <w:rPr>
          <w:sz w:val="24"/>
        </w:rPr>
      </w:pPr>
      <w:r>
        <w:rPr>
          <w:rFonts w:hint="eastAsia"/>
          <w:b/>
          <w:sz w:val="24"/>
        </w:rPr>
        <w:t>件杂堆场</w:t>
      </w:r>
      <w:r>
        <w:rPr>
          <w:rFonts w:hint="eastAsia"/>
          <w:sz w:val="24"/>
        </w:rPr>
        <w:t>：W3-1#～12#件杂堆场采用轨道式龙门和轮胎起重机作业。</w:t>
      </w:r>
    </w:p>
    <w:p>
      <w:pPr>
        <w:keepNext/>
        <w:widowControl/>
        <w:jc w:val="center"/>
      </w:pPr>
      <w:r>
        <w:rPr>
          <w:rFonts w:asciiTheme="minorEastAsia" w:hAnsiTheme="minorEastAsia" w:eastAsiaTheme="minorEastAsia"/>
          <w:b/>
          <w:bCs/>
        </w:rPr>
        <w:drawing>
          <wp:inline distT="0" distB="0" distL="0" distR="0">
            <wp:extent cx="4055110" cy="1668780"/>
            <wp:effectExtent l="19050" t="0" r="2134" b="0"/>
            <wp:docPr id="50184" name="图片 50182" descr="商贸物流B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4" name="图片 50182" descr="商贸物流B区.jpg"/>
                    <pic:cNvPicPr>
                      <a:picLocks noChangeAspect="1"/>
                    </pic:cNvPicPr>
                  </pic:nvPicPr>
                  <pic:blipFill>
                    <a:blip r:embed="rId24"/>
                    <a:stretch>
                      <a:fillRect/>
                    </a:stretch>
                  </pic:blipFill>
                  <pic:spPr>
                    <a:xfrm>
                      <a:off x="0" y="0"/>
                      <a:ext cx="4061436" cy="1671744"/>
                    </a:xfrm>
                    <a:prstGeom prst="rect">
                      <a:avLst/>
                    </a:prstGeom>
                  </pic:spPr>
                </pic:pic>
              </a:graphicData>
            </a:graphic>
          </wp:inline>
        </w:drawing>
      </w:r>
    </w:p>
    <w:p>
      <w:pPr>
        <w:pStyle w:val="4"/>
        <w:spacing w:line="360" w:lineRule="auto"/>
        <w:ind w:firstLine="482"/>
        <w:jc w:val="center"/>
        <w:rPr>
          <w:b/>
          <w:sz w:val="24"/>
        </w:rPr>
      </w:pPr>
      <w:r>
        <w:rPr>
          <w:rFonts w:hint="eastAsia"/>
          <w:b/>
          <w:sz w:val="24"/>
        </w:rPr>
        <w:t>图2.3-3</w:t>
      </w:r>
      <w:r>
        <w:rPr>
          <w:b/>
          <w:sz w:val="24"/>
        </w:rPr>
        <w:t>商贸物流</w:t>
      </w:r>
      <w:r>
        <w:rPr>
          <w:rFonts w:hint="eastAsia"/>
          <w:b/>
          <w:sz w:val="24"/>
        </w:rPr>
        <w:t>B</w:t>
      </w:r>
      <w:r>
        <w:rPr>
          <w:b/>
          <w:sz w:val="24"/>
        </w:rPr>
        <w:t>区</w:t>
      </w:r>
      <w:r>
        <w:rPr>
          <w:rFonts w:hint="eastAsia"/>
          <w:b/>
          <w:sz w:val="24"/>
        </w:rPr>
        <w:t>布局图</w:t>
      </w:r>
    </w:p>
    <w:p>
      <w:pPr>
        <w:pStyle w:val="6"/>
        <w:tabs>
          <w:tab w:val="left" w:pos="-489"/>
        </w:tabs>
        <w:spacing w:beforeLines="0" w:afterLines="0"/>
        <w:ind w:left="0" w:firstLine="0"/>
        <w:rPr>
          <w:rFonts w:ascii="Times New Roman" w:hAnsi="Times New Roman"/>
        </w:rPr>
      </w:pPr>
      <w:r>
        <w:rPr>
          <w:rFonts w:hint="eastAsia" w:ascii="Times New Roman" w:hAnsi="Times New Roman"/>
        </w:rPr>
        <w:t>陆域形成和道路堆场</w:t>
      </w:r>
    </w:p>
    <w:p>
      <w:pPr>
        <w:spacing w:line="360" w:lineRule="auto"/>
        <w:ind w:firstLine="482" w:firstLineChars="200"/>
        <w:rPr>
          <w:b/>
          <w:sz w:val="24"/>
        </w:rPr>
      </w:pPr>
      <w:r>
        <w:rPr>
          <w:b/>
          <w:sz w:val="24"/>
        </w:rPr>
        <w:t>（1）陆域形成</w:t>
      </w:r>
    </w:p>
    <w:p>
      <w:pPr>
        <w:spacing w:line="360" w:lineRule="auto"/>
        <w:ind w:firstLine="480" w:firstLineChars="200"/>
        <w:rPr>
          <w:sz w:val="24"/>
        </w:rPr>
      </w:pPr>
      <w:r>
        <w:rPr>
          <w:sz w:val="24"/>
        </w:rPr>
        <w:t>综合场地地形地质、投资等因素，本工程陆域形成采用开山土回填方案。场地内清表后回填开山土，土方回填时采用振动分层碾压，分层厚度300mm，压实度达到93%～96%，然后铺筑堆场、道路结构层。回填的土料来自于白洋工业园区内开山整平的土方料。</w:t>
      </w:r>
    </w:p>
    <w:p>
      <w:pPr>
        <w:spacing w:line="360" w:lineRule="auto"/>
        <w:ind w:firstLine="482" w:firstLineChars="200"/>
        <w:rPr>
          <w:b/>
          <w:sz w:val="24"/>
        </w:rPr>
      </w:pPr>
      <w:r>
        <w:rPr>
          <w:b/>
          <w:sz w:val="24"/>
        </w:rPr>
        <w:t>（2）道路</w:t>
      </w:r>
    </w:p>
    <w:p>
      <w:pPr>
        <w:spacing w:line="360" w:lineRule="auto"/>
        <w:ind w:firstLine="480" w:firstLineChars="200"/>
        <w:rPr>
          <w:sz w:val="24"/>
        </w:rPr>
      </w:pPr>
      <w:r>
        <w:rPr>
          <w:sz w:val="24"/>
        </w:rPr>
        <w:t>港内道路呈环形布置，港区大道宽24.5～36m，港区内道路宽7m～12m。</w:t>
      </w:r>
    </w:p>
    <w:p>
      <w:pPr>
        <w:spacing w:line="360" w:lineRule="auto"/>
        <w:ind w:firstLine="482" w:firstLineChars="200"/>
        <w:rPr>
          <w:b/>
          <w:sz w:val="24"/>
        </w:rPr>
      </w:pPr>
      <w:r>
        <w:rPr>
          <w:b/>
          <w:sz w:val="24"/>
        </w:rPr>
        <w:t>（3）堆场</w:t>
      </w:r>
    </w:p>
    <w:p>
      <w:pPr>
        <w:spacing w:line="360" w:lineRule="auto"/>
        <w:ind w:firstLine="480" w:firstLineChars="200"/>
        <w:rPr>
          <w:sz w:val="24"/>
        </w:rPr>
      </w:pPr>
      <w:r>
        <w:rPr>
          <w:sz w:val="24"/>
        </w:rPr>
        <w:t>港内堆场主要为集装箱重箱堆场、空箱堆场、件杂堆场、以及停车场等，各堆场、场地均选用联锁块结构。</w:t>
      </w:r>
    </w:p>
    <w:p>
      <w:pPr>
        <w:pStyle w:val="6"/>
        <w:tabs>
          <w:tab w:val="left" w:pos="-489"/>
        </w:tabs>
        <w:spacing w:beforeLines="0" w:afterLines="0"/>
        <w:ind w:left="0" w:firstLine="0"/>
        <w:rPr>
          <w:rFonts w:ascii="Times New Roman" w:hAnsi="Times New Roman"/>
        </w:rPr>
      </w:pPr>
      <w:r>
        <w:rPr>
          <w:rFonts w:hint="eastAsia" w:ascii="Times New Roman" w:hAnsi="Times New Roman"/>
        </w:rPr>
        <w:t>供电及照明</w:t>
      </w:r>
    </w:p>
    <w:p>
      <w:pPr>
        <w:spacing w:line="360" w:lineRule="auto"/>
        <w:ind w:firstLine="482" w:firstLineChars="200"/>
        <w:rPr>
          <w:b/>
          <w:sz w:val="24"/>
        </w:rPr>
      </w:pPr>
      <w:r>
        <w:rPr>
          <w:b/>
          <w:sz w:val="24"/>
        </w:rPr>
        <w:t>（1）供电</w:t>
      </w:r>
    </w:p>
    <w:p>
      <w:pPr>
        <w:spacing w:line="360" w:lineRule="auto"/>
        <w:ind w:firstLine="480" w:firstLineChars="200"/>
        <w:rPr>
          <w:sz w:val="24"/>
        </w:rPr>
      </w:pPr>
      <w:r>
        <w:rPr>
          <w:sz w:val="24"/>
        </w:rPr>
        <w:t>根据园区功能分区及负荷计算，设计考虑在综合物流园区物流信息大楼旁绿化区内新建10kV开关站1座，除满足园区设备用电需求，还提供白洋港口作业区用电。</w:t>
      </w:r>
    </w:p>
    <w:p>
      <w:pPr>
        <w:spacing w:line="360" w:lineRule="auto"/>
        <w:ind w:firstLine="482" w:firstLineChars="200"/>
        <w:rPr>
          <w:b/>
          <w:sz w:val="24"/>
        </w:rPr>
      </w:pPr>
      <w:r>
        <w:rPr>
          <w:b/>
          <w:sz w:val="24"/>
        </w:rPr>
        <w:t>（2）照明</w:t>
      </w:r>
    </w:p>
    <w:p>
      <w:pPr>
        <w:spacing w:line="360" w:lineRule="auto"/>
        <w:ind w:firstLine="480" w:firstLineChars="200"/>
        <w:jc w:val="left"/>
        <w:rPr>
          <w:sz w:val="24"/>
        </w:rPr>
      </w:pPr>
      <w:r>
        <w:rPr>
          <w:sz w:val="24"/>
        </w:rPr>
        <w:t>件杂堆场室外照明照度标准为15Lx，集装箱堆场室外照明照度标准为20Lx。堆场设置25m高杆灯，光源为24×400W钠灯；主要道路设置9m杆灯，光源为LED 135W。停车场及主要十字路口设置15m中杆灯，光源为6×400W钠灯。</w:t>
      </w:r>
    </w:p>
    <w:p>
      <w:pPr>
        <w:spacing w:line="360" w:lineRule="auto"/>
        <w:ind w:firstLine="480" w:firstLineChars="200"/>
        <w:jc w:val="left"/>
        <w:rPr>
          <w:sz w:val="24"/>
        </w:rPr>
      </w:pPr>
      <w:r>
        <w:rPr>
          <w:sz w:val="24"/>
        </w:rPr>
        <w:t>办公室选择三基色荧光灯，照度标准为300Lx。仓库、厂房选择大功率节能灯，照度标准为100Lx。</w:t>
      </w:r>
    </w:p>
    <w:p>
      <w:pPr>
        <w:spacing w:line="360" w:lineRule="auto"/>
        <w:ind w:firstLine="480" w:firstLineChars="200"/>
        <w:jc w:val="left"/>
        <w:rPr>
          <w:sz w:val="24"/>
        </w:rPr>
      </w:pPr>
      <w:r>
        <w:rPr>
          <w:sz w:val="24"/>
        </w:rPr>
        <w:t>变电所高低压配电室照度标准为200Lx，控制室照度标准为300Lx，选择三基色荧光灯照明。</w:t>
      </w:r>
    </w:p>
    <w:p>
      <w:pPr>
        <w:pStyle w:val="6"/>
        <w:tabs>
          <w:tab w:val="left" w:pos="-489"/>
        </w:tabs>
        <w:spacing w:beforeLines="0" w:afterLines="0"/>
        <w:ind w:left="0" w:firstLine="0"/>
        <w:rPr>
          <w:rFonts w:ascii="Times New Roman" w:hAnsi="Times New Roman"/>
        </w:rPr>
      </w:pPr>
      <w:r>
        <w:rPr>
          <w:rFonts w:hint="eastAsia" w:ascii="Times New Roman" w:hAnsi="Times New Roman"/>
        </w:rPr>
        <w:t>给排水及消防</w:t>
      </w:r>
    </w:p>
    <w:p>
      <w:pPr>
        <w:pStyle w:val="4"/>
        <w:spacing w:line="360" w:lineRule="auto"/>
        <w:ind w:firstLine="482"/>
        <w:rPr>
          <w:b/>
          <w:sz w:val="24"/>
        </w:rPr>
      </w:pPr>
      <w:r>
        <w:rPr>
          <w:b/>
          <w:sz w:val="24"/>
        </w:rPr>
        <w:t>（1）供水水源</w:t>
      </w:r>
    </w:p>
    <w:p>
      <w:pPr>
        <w:spacing w:line="360" w:lineRule="auto"/>
        <w:ind w:firstLine="480"/>
        <w:jc w:val="left"/>
        <w:rPr>
          <w:sz w:val="24"/>
        </w:rPr>
      </w:pPr>
      <w:r>
        <w:rPr>
          <w:sz w:val="24"/>
        </w:rPr>
        <w:t>道路、绿化洒水均由园区配备的洒水车提供，水源为经沉淀处理后的堆场初期雨水，不足部分采用城市自来水。自来水水质符合现行《生活饮用水卫生标准》（GB5749-2006）。</w:t>
      </w:r>
    </w:p>
    <w:p>
      <w:pPr>
        <w:spacing w:line="360" w:lineRule="auto"/>
        <w:ind w:firstLine="480"/>
        <w:jc w:val="left"/>
        <w:rPr>
          <w:sz w:val="24"/>
        </w:rPr>
      </w:pPr>
      <w:r>
        <w:rPr>
          <w:sz w:val="24"/>
        </w:rPr>
        <w:t xml:space="preserve">自来水水源为周边规划市政道路下DN800-DN400的市政自来水管，设计从不同管段引DN250给水管，要求接管点常年水压不低于0.55MPa，流量不小于73L/s。 </w:t>
      </w:r>
    </w:p>
    <w:p>
      <w:pPr>
        <w:pStyle w:val="4"/>
        <w:spacing w:line="360" w:lineRule="auto"/>
        <w:ind w:firstLine="482"/>
        <w:rPr>
          <w:b/>
          <w:sz w:val="24"/>
        </w:rPr>
      </w:pPr>
      <w:r>
        <w:rPr>
          <w:rFonts w:hint="eastAsia"/>
          <w:b/>
          <w:sz w:val="24"/>
        </w:rPr>
        <w:t>（2）用水量</w:t>
      </w:r>
    </w:p>
    <w:p>
      <w:pPr>
        <w:spacing w:line="360" w:lineRule="auto"/>
        <w:ind w:firstLine="480"/>
        <w:jc w:val="left"/>
        <w:rPr>
          <w:rFonts w:ascii="微软雅黑" w:hAnsi="微软雅黑"/>
          <w:sz w:val="24"/>
        </w:rPr>
      </w:pPr>
      <w:r>
        <w:rPr>
          <w:rFonts w:hint="eastAsia" w:ascii="微软雅黑" w:hAnsi="微软雅黑"/>
          <w:sz w:val="24"/>
        </w:rPr>
        <w:t>本工程主要用水包括生活用水、生产用水、道路及绿化用水。用水量见表2.3-10。</w:t>
      </w:r>
    </w:p>
    <w:p>
      <w:pPr>
        <w:pStyle w:val="4"/>
        <w:ind w:firstLine="422"/>
        <w:jc w:val="center"/>
        <w:rPr>
          <w:b/>
        </w:rPr>
      </w:pPr>
      <w:r>
        <w:rPr>
          <w:rFonts w:hint="eastAsia"/>
          <w:b/>
        </w:rPr>
        <w:t>表2.3-10</w:t>
      </w:r>
      <w:r>
        <w:rPr>
          <w:b/>
        </w:rPr>
        <w:t xml:space="preserve"> </w:t>
      </w:r>
      <w:r>
        <w:rPr>
          <w:rFonts w:hint="eastAsia"/>
          <w:b/>
        </w:rPr>
        <w:t>园区自来水用水量表</w:t>
      </w:r>
    </w:p>
    <w:tbl>
      <w:tblPr>
        <w:tblStyle w:val="104"/>
        <w:tblW w:w="83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5"/>
        <w:gridCol w:w="2561"/>
        <w:gridCol w:w="2559"/>
        <w:gridCol w:w="2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b/>
                <w:kern w:val="0"/>
                <w:szCs w:val="21"/>
              </w:rPr>
            </w:pPr>
            <w:r>
              <w:rPr>
                <w:b/>
                <w:kern w:val="0"/>
                <w:szCs w:val="21"/>
              </w:rPr>
              <w:t>序号</w:t>
            </w:r>
          </w:p>
        </w:tc>
        <w:tc>
          <w:tcPr>
            <w:tcW w:w="2561" w:type="dxa"/>
            <w:shd w:val="clear" w:color="auto" w:fill="auto"/>
            <w:vAlign w:val="center"/>
          </w:tcPr>
          <w:p>
            <w:pPr>
              <w:widowControl/>
              <w:adjustRightInd w:val="0"/>
              <w:snapToGrid w:val="0"/>
              <w:rPr>
                <w:b/>
                <w:kern w:val="0"/>
                <w:szCs w:val="21"/>
              </w:rPr>
            </w:pPr>
            <w:r>
              <w:rPr>
                <w:b/>
                <w:kern w:val="0"/>
                <w:szCs w:val="21"/>
              </w:rPr>
              <w:t>用水类别</w:t>
            </w:r>
          </w:p>
        </w:tc>
        <w:tc>
          <w:tcPr>
            <w:tcW w:w="2559" w:type="dxa"/>
            <w:shd w:val="clear" w:color="auto" w:fill="auto"/>
            <w:vAlign w:val="center"/>
          </w:tcPr>
          <w:p>
            <w:pPr>
              <w:widowControl/>
              <w:adjustRightInd w:val="0"/>
              <w:snapToGrid w:val="0"/>
              <w:jc w:val="center"/>
              <w:rPr>
                <w:b/>
                <w:kern w:val="0"/>
                <w:szCs w:val="21"/>
              </w:rPr>
            </w:pPr>
            <w:r>
              <w:rPr>
                <w:b/>
                <w:kern w:val="0"/>
                <w:szCs w:val="21"/>
              </w:rPr>
              <w:t>主要用水量标准</w:t>
            </w:r>
          </w:p>
        </w:tc>
        <w:tc>
          <w:tcPr>
            <w:tcW w:w="2289" w:type="dxa"/>
            <w:shd w:val="clear" w:color="auto" w:fill="auto"/>
            <w:vAlign w:val="center"/>
          </w:tcPr>
          <w:p>
            <w:pPr>
              <w:widowControl/>
              <w:adjustRightInd w:val="0"/>
              <w:snapToGrid w:val="0"/>
              <w:jc w:val="center"/>
              <w:rPr>
                <w:b/>
                <w:kern w:val="0"/>
                <w:szCs w:val="21"/>
              </w:rPr>
            </w:pPr>
            <w:r>
              <w:rPr>
                <w:b/>
                <w:kern w:val="0"/>
                <w:szCs w:val="21"/>
              </w:rPr>
              <w:t>日用水量（m³/d）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1</w:t>
            </w:r>
          </w:p>
        </w:tc>
        <w:tc>
          <w:tcPr>
            <w:tcW w:w="2561" w:type="dxa"/>
            <w:shd w:val="clear" w:color="auto" w:fill="auto"/>
            <w:vAlign w:val="center"/>
          </w:tcPr>
          <w:p>
            <w:pPr>
              <w:widowControl/>
              <w:adjustRightInd w:val="0"/>
              <w:snapToGrid w:val="0"/>
              <w:rPr>
                <w:kern w:val="0"/>
                <w:szCs w:val="21"/>
              </w:rPr>
            </w:pPr>
            <w:r>
              <w:rPr>
                <w:kern w:val="0"/>
                <w:szCs w:val="21"/>
              </w:rPr>
              <w:t>生活用水</w:t>
            </w:r>
          </w:p>
          <w:p>
            <w:pPr>
              <w:widowControl/>
              <w:adjustRightInd w:val="0"/>
              <w:snapToGrid w:val="0"/>
              <w:rPr>
                <w:kern w:val="0"/>
                <w:szCs w:val="21"/>
              </w:rPr>
            </w:pPr>
            <w:r>
              <w:rPr>
                <w:kern w:val="0"/>
                <w:szCs w:val="21"/>
              </w:rPr>
              <w:t>(含食堂用水)</w:t>
            </w:r>
          </w:p>
        </w:tc>
        <w:tc>
          <w:tcPr>
            <w:tcW w:w="2559" w:type="dxa"/>
            <w:shd w:val="clear" w:color="auto" w:fill="auto"/>
            <w:vAlign w:val="center"/>
          </w:tcPr>
          <w:p>
            <w:pPr>
              <w:widowControl/>
              <w:adjustRightInd w:val="0"/>
              <w:snapToGrid w:val="0"/>
              <w:jc w:val="center"/>
              <w:rPr>
                <w:kern w:val="0"/>
                <w:szCs w:val="21"/>
              </w:rPr>
            </w:pPr>
            <w:r>
              <w:rPr>
                <w:kern w:val="0"/>
                <w:szCs w:val="21"/>
              </w:rPr>
              <w:t>住宿150L/人·d</w:t>
            </w:r>
          </w:p>
          <w:p>
            <w:pPr>
              <w:widowControl/>
              <w:adjustRightInd w:val="0"/>
              <w:snapToGrid w:val="0"/>
              <w:jc w:val="center"/>
              <w:rPr>
                <w:kern w:val="0"/>
                <w:szCs w:val="21"/>
              </w:rPr>
            </w:pPr>
            <w:r>
              <w:rPr>
                <w:kern w:val="0"/>
                <w:szCs w:val="21"/>
              </w:rPr>
              <w:t>不住宿50L/人·d</w:t>
            </w:r>
          </w:p>
        </w:tc>
        <w:tc>
          <w:tcPr>
            <w:tcW w:w="2289" w:type="dxa"/>
            <w:shd w:val="clear" w:color="auto" w:fill="auto"/>
            <w:vAlign w:val="center"/>
          </w:tcPr>
          <w:p>
            <w:pPr>
              <w:widowControl/>
              <w:adjustRightInd w:val="0"/>
              <w:snapToGrid w:val="0"/>
              <w:jc w:val="center"/>
              <w:rPr>
                <w:kern w:val="0"/>
                <w:szCs w:val="21"/>
              </w:rPr>
            </w:pPr>
            <w:r>
              <w:rPr>
                <w:kern w:val="0"/>
                <w:szCs w:val="21"/>
              </w:rPr>
              <w:t>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2</w:t>
            </w:r>
          </w:p>
        </w:tc>
        <w:tc>
          <w:tcPr>
            <w:tcW w:w="2561" w:type="dxa"/>
            <w:shd w:val="clear" w:color="auto" w:fill="auto"/>
            <w:vAlign w:val="center"/>
          </w:tcPr>
          <w:p>
            <w:pPr>
              <w:widowControl/>
              <w:adjustRightInd w:val="0"/>
              <w:snapToGrid w:val="0"/>
              <w:rPr>
                <w:kern w:val="0"/>
                <w:szCs w:val="21"/>
              </w:rPr>
            </w:pPr>
            <w:r>
              <w:rPr>
                <w:kern w:val="0"/>
                <w:szCs w:val="21"/>
              </w:rPr>
              <w:t>道路及绿化</w:t>
            </w:r>
          </w:p>
        </w:tc>
        <w:tc>
          <w:tcPr>
            <w:tcW w:w="2559" w:type="dxa"/>
            <w:shd w:val="clear" w:color="auto" w:fill="auto"/>
            <w:vAlign w:val="center"/>
          </w:tcPr>
          <w:p>
            <w:pPr>
              <w:widowControl/>
              <w:adjustRightInd w:val="0"/>
              <w:snapToGrid w:val="0"/>
              <w:jc w:val="center"/>
              <w:rPr>
                <w:kern w:val="0"/>
                <w:szCs w:val="21"/>
              </w:rPr>
            </w:pPr>
            <w:r>
              <w:rPr>
                <w:kern w:val="0"/>
                <w:szCs w:val="21"/>
              </w:rPr>
              <w:t>3L/d·m</w:t>
            </w:r>
            <w:r>
              <w:rPr>
                <w:kern w:val="0"/>
                <w:szCs w:val="21"/>
                <w:vertAlign w:val="superscript"/>
              </w:rPr>
              <w:t>2</w:t>
            </w:r>
          </w:p>
        </w:tc>
        <w:tc>
          <w:tcPr>
            <w:tcW w:w="2289" w:type="dxa"/>
            <w:shd w:val="clear" w:color="auto" w:fill="auto"/>
            <w:vAlign w:val="center"/>
          </w:tcPr>
          <w:p>
            <w:pPr>
              <w:adjustRightInd w:val="0"/>
              <w:snapToGrid w:val="0"/>
              <w:jc w:val="center"/>
              <w:rPr>
                <w:szCs w:val="21"/>
              </w:rPr>
            </w:pPr>
            <w:r>
              <w:rPr>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3</w:t>
            </w:r>
          </w:p>
        </w:tc>
        <w:tc>
          <w:tcPr>
            <w:tcW w:w="2561" w:type="dxa"/>
            <w:shd w:val="clear" w:color="auto" w:fill="auto"/>
            <w:vAlign w:val="center"/>
          </w:tcPr>
          <w:p>
            <w:pPr>
              <w:widowControl/>
              <w:adjustRightInd w:val="0"/>
              <w:snapToGrid w:val="0"/>
              <w:rPr>
                <w:kern w:val="0"/>
                <w:szCs w:val="21"/>
              </w:rPr>
            </w:pPr>
            <w:r>
              <w:rPr>
                <w:kern w:val="0"/>
                <w:szCs w:val="21"/>
              </w:rPr>
              <w:t>未预见及漏失水量</w:t>
            </w:r>
          </w:p>
        </w:tc>
        <w:tc>
          <w:tcPr>
            <w:tcW w:w="2559" w:type="dxa"/>
            <w:shd w:val="clear" w:color="auto" w:fill="auto"/>
            <w:vAlign w:val="center"/>
          </w:tcPr>
          <w:p>
            <w:pPr>
              <w:widowControl/>
              <w:adjustRightInd w:val="0"/>
              <w:snapToGrid w:val="0"/>
              <w:jc w:val="center"/>
              <w:rPr>
                <w:kern w:val="0"/>
                <w:szCs w:val="21"/>
              </w:rPr>
            </w:pPr>
          </w:p>
        </w:tc>
        <w:tc>
          <w:tcPr>
            <w:tcW w:w="2289" w:type="dxa"/>
            <w:shd w:val="clear" w:color="auto" w:fill="auto"/>
            <w:vAlign w:val="center"/>
          </w:tcPr>
          <w:p>
            <w:pPr>
              <w:adjustRightInd w:val="0"/>
              <w:snapToGrid w:val="0"/>
              <w:jc w:val="center"/>
              <w:rPr>
                <w:szCs w:val="21"/>
              </w:rPr>
            </w:pPr>
            <w:r>
              <w:rPr>
                <w:szCs w:val="21"/>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4</w:t>
            </w:r>
          </w:p>
        </w:tc>
        <w:tc>
          <w:tcPr>
            <w:tcW w:w="2561" w:type="dxa"/>
            <w:shd w:val="clear" w:color="auto" w:fill="auto"/>
            <w:vAlign w:val="center"/>
          </w:tcPr>
          <w:p>
            <w:pPr>
              <w:widowControl/>
              <w:adjustRightInd w:val="0"/>
              <w:snapToGrid w:val="0"/>
              <w:rPr>
                <w:kern w:val="0"/>
                <w:szCs w:val="21"/>
              </w:rPr>
            </w:pPr>
            <w:r>
              <w:rPr>
                <w:kern w:val="0"/>
                <w:szCs w:val="21"/>
              </w:rPr>
              <w:t>最高日用水量</w:t>
            </w:r>
          </w:p>
        </w:tc>
        <w:tc>
          <w:tcPr>
            <w:tcW w:w="2559" w:type="dxa"/>
            <w:shd w:val="clear" w:color="auto" w:fill="auto"/>
            <w:vAlign w:val="center"/>
          </w:tcPr>
          <w:p>
            <w:pPr>
              <w:widowControl/>
              <w:adjustRightInd w:val="0"/>
              <w:snapToGrid w:val="0"/>
              <w:rPr>
                <w:kern w:val="0"/>
                <w:szCs w:val="21"/>
              </w:rPr>
            </w:pPr>
          </w:p>
        </w:tc>
        <w:tc>
          <w:tcPr>
            <w:tcW w:w="2289" w:type="dxa"/>
            <w:shd w:val="clear" w:color="auto" w:fill="auto"/>
            <w:vAlign w:val="center"/>
          </w:tcPr>
          <w:p>
            <w:pPr>
              <w:adjustRightInd w:val="0"/>
              <w:snapToGrid w:val="0"/>
              <w:jc w:val="center"/>
              <w:rPr>
                <w:szCs w:val="21"/>
              </w:rPr>
            </w:pPr>
            <w:r>
              <w:rPr>
                <w:szCs w:val="21"/>
              </w:rPr>
              <w:t>523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5</w:t>
            </w:r>
          </w:p>
        </w:tc>
        <w:tc>
          <w:tcPr>
            <w:tcW w:w="2561" w:type="dxa"/>
            <w:shd w:val="clear" w:color="auto" w:fill="auto"/>
            <w:vAlign w:val="center"/>
          </w:tcPr>
          <w:p>
            <w:pPr>
              <w:widowControl/>
              <w:adjustRightInd w:val="0"/>
              <w:snapToGrid w:val="0"/>
              <w:rPr>
                <w:kern w:val="0"/>
                <w:szCs w:val="21"/>
              </w:rPr>
            </w:pPr>
            <w:r>
              <w:rPr>
                <w:kern w:val="0"/>
                <w:szCs w:val="21"/>
              </w:rPr>
              <w:t>最大时用水量</w:t>
            </w:r>
          </w:p>
        </w:tc>
        <w:tc>
          <w:tcPr>
            <w:tcW w:w="2559" w:type="dxa"/>
            <w:shd w:val="clear" w:color="auto" w:fill="auto"/>
            <w:vAlign w:val="center"/>
          </w:tcPr>
          <w:p>
            <w:pPr>
              <w:widowControl/>
              <w:adjustRightInd w:val="0"/>
              <w:snapToGrid w:val="0"/>
              <w:rPr>
                <w:kern w:val="0"/>
                <w:szCs w:val="21"/>
              </w:rPr>
            </w:pPr>
          </w:p>
        </w:tc>
        <w:tc>
          <w:tcPr>
            <w:tcW w:w="2289" w:type="dxa"/>
            <w:shd w:val="clear" w:color="auto" w:fill="auto"/>
            <w:vAlign w:val="center"/>
          </w:tcPr>
          <w:p>
            <w:pPr>
              <w:widowControl/>
              <w:adjustRightInd w:val="0"/>
              <w:snapToGrid w:val="0"/>
              <w:jc w:val="center"/>
              <w:rPr>
                <w:kern w:val="0"/>
                <w:szCs w:val="21"/>
              </w:rPr>
            </w:pPr>
            <w:r>
              <w:rPr>
                <w:kern w:val="0"/>
                <w:szCs w:val="21"/>
              </w:rPr>
              <w:t>64m³/h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895" w:type="dxa"/>
            <w:shd w:val="clear" w:color="auto" w:fill="auto"/>
            <w:vAlign w:val="center"/>
          </w:tcPr>
          <w:p>
            <w:pPr>
              <w:widowControl/>
              <w:adjustRightInd w:val="0"/>
              <w:snapToGrid w:val="0"/>
              <w:jc w:val="center"/>
              <w:rPr>
                <w:kern w:val="0"/>
                <w:szCs w:val="21"/>
              </w:rPr>
            </w:pPr>
            <w:r>
              <w:rPr>
                <w:rFonts w:hint="eastAsia"/>
                <w:kern w:val="0"/>
                <w:szCs w:val="21"/>
              </w:rPr>
              <w:t>6</w:t>
            </w:r>
          </w:p>
        </w:tc>
        <w:tc>
          <w:tcPr>
            <w:tcW w:w="2561" w:type="dxa"/>
            <w:shd w:val="clear" w:color="auto" w:fill="auto"/>
            <w:vAlign w:val="center"/>
          </w:tcPr>
          <w:p>
            <w:pPr>
              <w:widowControl/>
              <w:adjustRightInd w:val="0"/>
              <w:snapToGrid w:val="0"/>
              <w:rPr>
                <w:kern w:val="0"/>
                <w:szCs w:val="21"/>
              </w:rPr>
            </w:pPr>
            <w:r>
              <w:rPr>
                <w:kern w:val="0"/>
                <w:szCs w:val="21"/>
              </w:rPr>
              <w:t>一次消防用水量</w:t>
            </w:r>
          </w:p>
        </w:tc>
        <w:tc>
          <w:tcPr>
            <w:tcW w:w="2559" w:type="dxa"/>
            <w:shd w:val="clear" w:color="auto" w:fill="auto"/>
            <w:vAlign w:val="center"/>
          </w:tcPr>
          <w:p>
            <w:pPr>
              <w:widowControl/>
              <w:adjustRightInd w:val="0"/>
              <w:snapToGrid w:val="0"/>
              <w:jc w:val="center"/>
              <w:rPr>
                <w:kern w:val="0"/>
                <w:szCs w:val="21"/>
              </w:rPr>
            </w:pPr>
            <w:r>
              <w:rPr>
                <w:kern w:val="0"/>
                <w:szCs w:val="21"/>
              </w:rPr>
              <w:t>1314m³/次</w:t>
            </w:r>
          </w:p>
        </w:tc>
        <w:tc>
          <w:tcPr>
            <w:tcW w:w="2289" w:type="dxa"/>
            <w:shd w:val="clear" w:color="auto" w:fill="auto"/>
            <w:vAlign w:val="center"/>
          </w:tcPr>
          <w:p>
            <w:pPr>
              <w:widowControl/>
              <w:adjustRightInd w:val="0"/>
              <w:snapToGrid w:val="0"/>
              <w:jc w:val="center"/>
              <w:rPr>
                <w:kern w:val="0"/>
                <w:szCs w:val="21"/>
              </w:rPr>
            </w:pPr>
            <w:r>
              <w:rPr>
                <w:kern w:val="0"/>
                <w:szCs w:val="21"/>
              </w:rPr>
              <w:t>仓库</w:t>
            </w:r>
          </w:p>
        </w:tc>
      </w:tr>
    </w:tbl>
    <w:p>
      <w:pPr>
        <w:pStyle w:val="4"/>
        <w:spacing w:line="360" w:lineRule="auto"/>
        <w:ind w:firstLine="482"/>
        <w:rPr>
          <w:b/>
          <w:sz w:val="24"/>
        </w:rPr>
      </w:pPr>
      <w:r>
        <w:rPr>
          <w:b/>
          <w:sz w:val="24"/>
        </w:rPr>
        <w:t>（3）给水系统</w:t>
      </w:r>
    </w:p>
    <w:p>
      <w:pPr>
        <w:spacing w:line="360" w:lineRule="auto"/>
        <w:ind w:firstLine="480" w:firstLineChars="200"/>
        <w:jc w:val="left"/>
        <w:rPr>
          <w:sz w:val="24"/>
        </w:rPr>
      </w:pPr>
      <w:r>
        <w:rPr>
          <w:sz w:val="24"/>
        </w:rPr>
        <w:t>园区设两套给水管道系统：自喷供水+高层建筑室内消火栓供水设一套供水管网，干管环状布置，管径DN250。其余用水另设一套室外给水管道，环状布置，沿园区道路铺设，干管径DN250-DN150。</w:t>
      </w:r>
    </w:p>
    <w:p>
      <w:pPr>
        <w:pStyle w:val="4"/>
        <w:spacing w:line="360" w:lineRule="auto"/>
        <w:ind w:firstLine="482"/>
        <w:rPr>
          <w:b/>
          <w:sz w:val="24"/>
        </w:rPr>
      </w:pPr>
      <w:r>
        <w:rPr>
          <w:b/>
          <w:sz w:val="24"/>
        </w:rPr>
        <w:t>（4）排水</w:t>
      </w:r>
    </w:p>
    <w:p>
      <w:pPr>
        <w:spacing w:line="360" w:lineRule="auto"/>
        <w:ind w:firstLine="480" w:firstLineChars="200"/>
        <w:rPr>
          <w:sz w:val="24"/>
        </w:rPr>
      </w:pPr>
      <w:r>
        <w:rPr>
          <w:sz w:val="24"/>
        </w:rPr>
        <w:t>室外排水采用雨、污分流制。建筑室内生活排水采用污废合流制排放。</w:t>
      </w:r>
    </w:p>
    <w:p>
      <w:pPr>
        <w:pStyle w:val="4"/>
        <w:spacing w:line="360" w:lineRule="auto"/>
        <w:ind w:firstLine="482"/>
        <w:rPr>
          <w:b/>
          <w:sz w:val="24"/>
        </w:rPr>
      </w:pPr>
      <w:r>
        <w:rPr>
          <w:rFonts w:hint="eastAsia" w:ascii="宋体" w:hAnsi="宋体" w:cs="宋体"/>
          <w:b/>
          <w:sz w:val="24"/>
        </w:rPr>
        <w:t>①</w:t>
      </w:r>
      <w:r>
        <w:rPr>
          <w:b/>
          <w:sz w:val="24"/>
        </w:rPr>
        <w:t>雨水系统</w:t>
      </w:r>
    </w:p>
    <w:p>
      <w:pPr>
        <w:spacing w:line="360" w:lineRule="auto"/>
        <w:ind w:firstLine="480" w:firstLineChars="200"/>
        <w:rPr>
          <w:sz w:val="24"/>
        </w:rPr>
      </w:pPr>
      <w:r>
        <w:rPr>
          <w:sz w:val="24"/>
        </w:rPr>
        <w:t>所有雨水经雨水口及管道系统收集后引至排水明渠处排放。</w:t>
      </w:r>
    </w:p>
    <w:p>
      <w:pPr>
        <w:pStyle w:val="4"/>
        <w:spacing w:line="360" w:lineRule="auto"/>
        <w:ind w:firstLine="482"/>
        <w:rPr>
          <w:b/>
          <w:sz w:val="24"/>
        </w:rPr>
      </w:pPr>
      <w:r>
        <w:rPr>
          <w:rFonts w:hint="eastAsia" w:ascii="宋体" w:hAnsi="宋体" w:cs="宋体"/>
          <w:b/>
          <w:sz w:val="24"/>
        </w:rPr>
        <w:t>②</w:t>
      </w:r>
      <w:r>
        <w:rPr>
          <w:b/>
          <w:sz w:val="24"/>
        </w:rPr>
        <w:t>污水系统</w:t>
      </w:r>
    </w:p>
    <w:p>
      <w:pPr>
        <w:spacing w:line="360" w:lineRule="auto"/>
        <w:ind w:firstLine="482" w:firstLineChars="200"/>
        <w:jc w:val="left"/>
        <w:rPr>
          <w:sz w:val="24"/>
        </w:rPr>
      </w:pPr>
      <w:r>
        <w:rPr>
          <w:b/>
          <w:sz w:val="24"/>
        </w:rPr>
        <w:t>生活污水系统</w:t>
      </w:r>
      <w:r>
        <w:rPr>
          <w:sz w:val="24"/>
        </w:rPr>
        <w:t>：园区建筑单体内部采用污水、废水合流排放的方式。生活污水通过化粪池预处理后排入规划市政污水管网。</w:t>
      </w:r>
    </w:p>
    <w:p>
      <w:pPr>
        <w:spacing w:line="360" w:lineRule="auto"/>
        <w:ind w:firstLine="482" w:firstLineChars="200"/>
        <w:jc w:val="left"/>
        <w:rPr>
          <w:sz w:val="24"/>
        </w:rPr>
      </w:pPr>
      <w:r>
        <w:rPr>
          <w:b/>
          <w:sz w:val="24"/>
        </w:rPr>
        <w:t>生产污、废水系统</w:t>
      </w:r>
      <w:r>
        <w:rPr>
          <w:sz w:val="24"/>
        </w:rPr>
        <w:t>：园区生产废水主要为污染较轻的道路冲洗废水等，主要污染因子为SS，堆场区的排水出口前设置初期雨水沉淀池，收集堆场的初期雨水及生产废水，经沉淀处理后回用堆场冲洗。</w:t>
      </w:r>
    </w:p>
    <w:p>
      <w:pPr>
        <w:spacing w:line="360" w:lineRule="auto"/>
        <w:ind w:firstLine="480" w:firstLineChars="200"/>
        <w:jc w:val="left"/>
        <w:rPr>
          <w:sz w:val="24"/>
        </w:rPr>
      </w:pPr>
      <w:r>
        <w:rPr>
          <w:sz w:val="24"/>
        </w:rPr>
        <w:t>生产污水主要为机修车间排出的少量机修污水，上述污水经隔油沉淀池处理后排入园区污水管网，最终排入市政污水管网。</w:t>
      </w:r>
    </w:p>
    <w:p>
      <w:pPr>
        <w:pStyle w:val="4"/>
        <w:spacing w:line="360" w:lineRule="auto"/>
        <w:ind w:firstLine="482"/>
        <w:rPr>
          <w:b/>
          <w:sz w:val="24"/>
        </w:rPr>
      </w:pPr>
      <w:r>
        <w:rPr>
          <w:b/>
          <w:sz w:val="24"/>
        </w:rPr>
        <w:t>（5）消防</w:t>
      </w:r>
    </w:p>
    <w:p>
      <w:pPr>
        <w:spacing w:line="360" w:lineRule="auto"/>
        <w:ind w:firstLine="480" w:firstLineChars="200"/>
        <w:jc w:val="left"/>
        <w:rPr>
          <w:sz w:val="24"/>
        </w:rPr>
      </w:pPr>
      <w:r>
        <w:rPr>
          <w:sz w:val="24"/>
        </w:rPr>
        <w:t>项目选址周围规划有DN800–DN400市政自来水环状管线，可提供本工程水源。</w:t>
      </w:r>
    </w:p>
    <w:p>
      <w:pPr>
        <w:pStyle w:val="5"/>
        <w:tabs>
          <w:tab w:val="left" w:pos="900"/>
          <w:tab w:val="left" w:pos="1210"/>
        </w:tabs>
        <w:ind w:left="843" w:hanging="843" w:hangingChars="300"/>
        <w:rPr>
          <w:rFonts w:ascii="宋体" w:hAnsi="宋体" w:eastAsia="宋体"/>
          <w:b/>
          <w:sz w:val="28"/>
          <w:szCs w:val="28"/>
        </w:rPr>
      </w:pPr>
      <w:bookmarkStart w:id="74" w:name="_Toc442195673"/>
      <w:r>
        <w:rPr>
          <w:rFonts w:hint="eastAsia" w:ascii="宋体" w:hAnsi="宋体" w:eastAsia="宋体"/>
          <w:b/>
          <w:sz w:val="28"/>
          <w:szCs w:val="28"/>
        </w:rPr>
        <w:t>建设方案</w:t>
      </w:r>
      <w:bookmarkEnd w:id="74"/>
    </w:p>
    <w:p>
      <w:pPr>
        <w:pStyle w:val="6"/>
        <w:tabs>
          <w:tab w:val="left" w:pos="-489"/>
        </w:tabs>
        <w:spacing w:beforeLines="0" w:afterLines="0"/>
        <w:ind w:left="0" w:firstLine="0"/>
        <w:rPr>
          <w:rFonts w:ascii="Times New Roman" w:hAnsi="Times New Roman"/>
        </w:rPr>
      </w:pPr>
      <w:r>
        <w:rPr>
          <w:rFonts w:hint="eastAsia" w:ascii="Times New Roman" w:hAnsi="Times New Roman"/>
        </w:rPr>
        <w:t>桥梁工程</w:t>
      </w:r>
    </w:p>
    <w:p>
      <w:pPr>
        <w:spacing w:line="360" w:lineRule="auto"/>
        <w:ind w:firstLine="480" w:firstLineChars="200"/>
        <w:rPr>
          <w:sz w:val="24"/>
        </w:rPr>
      </w:pPr>
      <w:r>
        <w:rPr>
          <w:rFonts w:hint="eastAsia"/>
          <w:sz w:val="24"/>
        </w:rPr>
        <w:t>沙湾路上垮桥设计起点桩号为K0+199，设计终点桩号为K0+467，桥梁全长268m，共8跨，跨径布置为（4×30+35+40+35+30）m，整体为一联。桥梁P5～P6墩跨越白洋大道，桥下净空不小于5.0m。沙湾路上垮桥净宽17.0m，采用等截面预应力混凝土连续梁桥结构形式。</w:t>
      </w:r>
      <w:r>
        <w:rPr>
          <w:rFonts w:hint="eastAsia"/>
          <w:sz w:val="24"/>
        </w:rPr>
        <w:tab/>
      </w:r>
    </w:p>
    <w:p>
      <w:pPr>
        <w:jc w:val="center"/>
      </w:pPr>
      <w:r>
        <w:drawing>
          <wp:inline distT="0" distB="0" distL="0" distR="0">
            <wp:extent cx="5753100" cy="14681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a:xfrm>
                      <a:off x="0" y="0"/>
                      <a:ext cx="5755095" cy="1468692"/>
                    </a:xfrm>
                    <a:prstGeom prst="rect">
                      <a:avLst/>
                    </a:prstGeom>
                    <a:noFill/>
                    <a:ln>
                      <a:noFill/>
                    </a:ln>
                  </pic:spPr>
                </pic:pic>
              </a:graphicData>
            </a:graphic>
          </wp:inline>
        </w:drawing>
      </w:r>
    </w:p>
    <w:p>
      <w:pPr>
        <w:jc w:val="center"/>
      </w:pPr>
      <w:r>
        <w:rPr>
          <w:rFonts w:hint="eastAsia"/>
        </w:rPr>
        <w:t>图2.3-2 桥梁立面布置图</w:t>
      </w:r>
    </w:p>
    <w:p>
      <w:pPr>
        <w:jc w:val="center"/>
      </w:pPr>
      <w:r>
        <w:drawing>
          <wp:inline distT="0" distB="0" distL="0" distR="0">
            <wp:extent cx="3093720" cy="38671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a:xfrm>
                      <a:off x="0" y="0"/>
                      <a:ext cx="3093720" cy="3867150"/>
                    </a:xfrm>
                    <a:prstGeom prst="rect">
                      <a:avLst/>
                    </a:prstGeom>
                    <a:noFill/>
                    <a:ln>
                      <a:noFill/>
                    </a:ln>
                  </pic:spPr>
                </pic:pic>
              </a:graphicData>
            </a:graphic>
          </wp:inline>
        </w:drawing>
      </w:r>
    </w:p>
    <w:p>
      <w:pPr>
        <w:jc w:val="center"/>
      </w:pPr>
      <w:r>
        <w:rPr>
          <w:rFonts w:hint="eastAsia"/>
        </w:rPr>
        <w:t>图2.3-3 桥梁横断面布置图</w:t>
      </w:r>
    </w:p>
    <w:p>
      <w:pPr>
        <w:pStyle w:val="6"/>
        <w:tabs>
          <w:tab w:val="left" w:pos="-489"/>
        </w:tabs>
        <w:spacing w:beforeLines="0" w:afterLines="0"/>
        <w:ind w:left="0" w:firstLine="0"/>
        <w:rPr>
          <w:rFonts w:ascii="Times New Roman" w:hAnsi="Times New Roman"/>
        </w:rPr>
      </w:pPr>
      <w:r>
        <w:rPr>
          <w:rFonts w:hint="eastAsia" w:ascii="Times New Roman" w:hAnsi="Times New Roman"/>
        </w:rPr>
        <w:t>道路工程</w:t>
      </w:r>
    </w:p>
    <w:p>
      <w:pPr>
        <w:spacing w:line="360" w:lineRule="auto"/>
        <w:ind w:firstLine="480" w:firstLineChars="200"/>
        <w:rPr>
          <w:sz w:val="24"/>
        </w:rPr>
      </w:pPr>
      <w:r>
        <w:rPr>
          <w:rFonts w:hint="eastAsia"/>
          <w:sz w:val="24"/>
        </w:rPr>
        <w:t>桂湖路标准断面</w:t>
      </w:r>
      <w:r>
        <w:rPr>
          <w:rFonts w:hint="eastAsia" w:asciiTheme="minorEastAsia" w:hAnsiTheme="minorEastAsia" w:eastAsiaTheme="minorEastAsia"/>
          <w:color w:val="000000"/>
          <w:sz w:val="24"/>
        </w:rPr>
        <w:t>7.5m（人行道）+16m（车行道）+7.5m（人行道）=30m；松岗路标准横断面：3m（人行道）+24m（车行道）+3m（人行道）=30m。</w:t>
      </w:r>
    </w:p>
    <w:p>
      <w:pPr>
        <w:pStyle w:val="6"/>
        <w:tabs>
          <w:tab w:val="left" w:pos="-489"/>
        </w:tabs>
        <w:spacing w:beforeLines="0" w:afterLines="0"/>
        <w:ind w:left="0" w:firstLine="0"/>
        <w:rPr>
          <w:rFonts w:ascii="Times New Roman" w:hAnsi="Times New Roman"/>
        </w:rPr>
      </w:pPr>
      <w:r>
        <w:rPr>
          <w:rFonts w:hint="eastAsia" w:ascii="Times New Roman" w:hAnsi="Times New Roman"/>
        </w:rPr>
        <w:t>交通量预测</w:t>
      </w:r>
    </w:p>
    <w:p>
      <w:pPr>
        <w:spacing w:line="360" w:lineRule="auto"/>
        <w:ind w:firstLine="480" w:firstLineChars="200"/>
        <w:rPr>
          <w:sz w:val="24"/>
        </w:rPr>
      </w:pPr>
      <w:r>
        <w:rPr>
          <w:rFonts w:hint="eastAsia"/>
          <w:sz w:val="24"/>
        </w:rPr>
        <w:t>根据工程可研设计说明，远期（203年）道路交通量预测结果见表2.6-1。</w:t>
      </w:r>
    </w:p>
    <w:p>
      <w:pPr>
        <w:pStyle w:val="4"/>
        <w:ind w:firstLine="422"/>
        <w:jc w:val="center"/>
        <w:rPr>
          <w:b/>
        </w:rPr>
      </w:pPr>
      <w:bookmarkStart w:id="75" w:name="_Ref432429725"/>
      <w:r>
        <w:rPr>
          <w:rFonts w:hint="eastAsia"/>
          <w:b/>
        </w:rPr>
        <w:t>表</w:t>
      </w:r>
      <w:bookmarkEnd w:id="75"/>
      <w:r>
        <w:rPr>
          <w:rFonts w:hint="eastAsia"/>
          <w:b/>
        </w:rPr>
        <w:t>2.3-13道路车流量（单位：pcu/d）</w:t>
      </w:r>
    </w:p>
    <w:tbl>
      <w:tblPr>
        <w:tblStyle w:val="104"/>
        <w:tblW w:w="76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762"/>
        <w:gridCol w:w="2264"/>
        <w:gridCol w:w="1290"/>
        <w:gridCol w:w="1775"/>
        <w:gridCol w:w="1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Ex>
        <w:trPr>
          <w:trHeight w:val="283" w:hRule="atLeast"/>
          <w:jc w:val="center"/>
        </w:trPr>
        <w:tc>
          <w:tcPr>
            <w:tcW w:w="762" w:type="dxa"/>
            <w:vMerge w:val="restart"/>
            <w:shd w:val="clear" w:color="auto" w:fill="FFFFFF"/>
            <w:vAlign w:val="center"/>
          </w:tcPr>
          <w:p>
            <w:pPr>
              <w:widowControl/>
              <w:jc w:val="center"/>
              <w:rPr>
                <w:b/>
                <w:kern w:val="0"/>
                <w:szCs w:val="21"/>
              </w:rPr>
            </w:pPr>
            <w:r>
              <w:rPr>
                <w:b/>
                <w:kern w:val="0"/>
                <w:szCs w:val="21"/>
              </w:rPr>
              <w:t>序号</w:t>
            </w:r>
          </w:p>
        </w:tc>
        <w:tc>
          <w:tcPr>
            <w:tcW w:w="2264" w:type="dxa"/>
            <w:vMerge w:val="restart"/>
            <w:shd w:val="clear" w:color="auto" w:fill="FFFFFF"/>
            <w:vAlign w:val="center"/>
          </w:tcPr>
          <w:p>
            <w:pPr>
              <w:widowControl/>
              <w:jc w:val="center"/>
              <w:rPr>
                <w:b/>
                <w:kern w:val="0"/>
                <w:szCs w:val="21"/>
              </w:rPr>
            </w:pPr>
            <w:r>
              <w:rPr>
                <w:b/>
                <w:kern w:val="0"/>
                <w:szCs w:val="21"/>
              </w:rPr>
              <w:t>道路名称</w:t>
            </w:r>
          </w:p>
        </w:tc>
        <w:tc>
          <w:tcPr>
            <w:tcW w:w="4663" w:type="dxa"/>
            <w:gridSpan w:val="3"/>
            <w:shd w:val="clear" w:color="auto" w:fill="FFFFFF"/>
            <w:vAlign w:val="center"/>
          </w:tcPr>
          <w:p>
            <w:pPr>
              <w:widowControl/>
              <w:jc w:val="center"/>
              <w:rPr>
                <w:b/>
                <w:kern w:val="0"/>
                <w:szCs w:val="21"/>
              </w:rPr>
            </w:pPr>
            <w:r>
              <w:rPr>
                <w:b/>
                <w:kern w:val="0"/>
                <w:szCs w:val="21"/>
              </w:rPr>
              <w:t>车流量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2" w:type="dxa"/>
            <w:vMerge w:val="continue"/>
            <w:shd w:val="clear" w:color="auto" w:fill="FFFFFF"/>
            <w:vAlign w:val="center"/>
          </w:tcPr>
          <w:p>
            <w:pPr>
              <w:widowControl/>
              <w:jc w:val="center"/>
              <w:rPr>
                <w:b/>
                <w:kern w:val="0"/>
                <w:szCs w:val="21"/>
              </w:rPr>
            </w:pPr>
          </w:p>
        </w:tc>
        <w:tc>
          <w:tcPr>
            <w:tcW w:w="2264" w:type="dxa"/>
            <w:vMerge w:val="continue"/>
            <w:shd w:val="clear" w:color="auto" w:fill="FFFFFF"/>
            <w:vAlign w:val="center"/>
          </w:tcPr>
          <w:p>
            <w:pPr>
              <w:widowControl/>
              <w:jc w:val="center"/>
              <w:rPr>
                <w:b/>
                <w:kern w:val="0"/>
                <w:szCs w:val="21"/>
              </w:rPr>
            </w:pPr>
          </w:p>
        </w:tc>
        <w:tc>
          <w:tcPr>
            <w:tcW w:w="1290" w:type="dxa"/>
            <w:shd w:val="clear" w:color="auto" w:fill="FFFFFF"/>
            <w:vAlign w:val="center"/>
          </w:tcPr>
          <w:p>
            <w:pPr>
              <w:widowControl/>
              <w:jc w:val="center"/>
              <w:rPr>
                <w:b/>
                <w:kern w:val="0"/>
                <w:szCs w:val="21"/>
              </w:rPr>
            </w:pPr>
            <w:r>
              <w:rPr>
                <w:rFonts w:hint="eastAsia"/>
                <w:b/>
                <w:kern w:val="0"/>
                <w:szCs w:val="21"/>
              </w:rPr>
              <w:t>近期</w:t>
            </w:r>
          </w:p>
        </w:tc>
        <w:tc>
          <w:tcPr>
            <w:tcW w:w="1775" w:type="dxa"/>
            <w:shd w:val="clear" w:color="auto" w:fill="FFFFFF"/>
            <w:vAlign w:val="center"/>
          </w:tcPr>
          <w:p>
            <w:pPr>
              <w:widowControl/>
              <w:jc w:val="center"/>
              <w:rPr>
                <w:b/>
                <w:kern w:val="0"/>
                <w:szCs w:val="21"/>
              </w:rPr>
            </w:pPr>
            <w:r>
              <w:rPr>
                <w:rFonts w:hint="eastAsia"/>
                <w:b/>
                <w:kern w:val="0"/>
                <w:szCs w:val="21"/>
              </w:rPr>
              <w:t>中期</w:t>
            </w:r>
          </w:p>
        </w:tc>
        <w:tc>
          <w:tcPr>
            <w:tcW w:w="1598" w:type="dxa"/>
            <w:shd w:val="clear" w:color="auto" w:fill="FFFFFF"/>
            <w:vAlign w:val="center"/>
          </w:tcPr>
          <w:p>
            <w:pPr>
              <w:widowControl/>
              <w:jc w:val="center"/>
              <w:rPr>
                <w:b/>
                <w:kern w:val="0"/>
                <w:szCs w:val="21"/>
              </w:rPr>
            </w:pPr>
            <w:r>
              <w:rPr>
                <w:rFonts w:hint="eastAsia"/>
                <w:b/>
                <w:kern w:val="0"/>
                <w:szCs w:val="21"/>
              </w:rPr>
              <w:t>远期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2" w:type="dxa"/>
            <w:shd w:val="clear" w:color="auto" w:fill="FFFFFF"/>
            <w:vAlign w:val="center"/>
          </w:tcPr>
          <w:p>
            <w:pPr>
              <w:widowControl/>
              <w:jc w:val="center"/>
              <w:rPr>
                <w:kern w:val="0"/>
                <w:szCs w:val="21"/>
              </w:rPr>
            </w:pPr>
            <w:r>
              <w:rPr>
                <w:kern w:val="0"/>
                <w:szCs w:val="21"/>
              </w:rPr>
              <w:t>1</w:t>
            </w:r>
          </w:p>
        </w:tc>
        <w:tc>
          <w:tcPr>
            <w:tcW w:w="2264" w:type="dxa"/>
            <w:shd w:val="clear" w:color="auto" w:fill="FFFFFF"/>
            <w:vAlign w:val="center"/>
          </w:tcPr>
          <w:p>
            <w:pPr>
              <w:widowControl/>
              <w:jc w:val="center"/>
              <w:rPr>
                <w:kern w:val="0"/>
                <w:szCs w:val="21"/>
              </w:rPr>
            </w:pPr>
            <w:r>
              <w:rPr>
                <w:kern w:val="0"/>
                <w:szCs w:val="21"/>
              </w:rPr>
              <w:t>桂湖路</w:t>
            </w:r>
          </w:p>
        </w:tc>
        <w:tc>
          <w:tcPr>
            <w:tcW w:w="1290" w:type="dxa"/>
            <w:shd w:val="clear" w:color="auto" w:fill="FFFFFF"/>
            <w:vAlign w:val="center"/>
          </w:tcPr>
          <w:p>
            <w:pPr>
              <w:jc w:val="right"/>
              <w:rPr>
                <w:rFonts w:ascii="宋体" w:hAnsi="宋体" w:cs="宋体"/>
                <w:color w:val="000000"/>
                <w:sz w:val="22"/>
                <w:szCs w:val="22"/>
              </w:rPr>
            </w:pPr>
            <w:r>
              <w:rPr>
                <w:rFonts w:hint="eastAsia"/>
                <w:color w:val="000000"/>
                <w:sz w:val="22"/>
                <w:szCs w:val="22"/>
              </w:rPr>
              <w:t>156</w:t>
            </w:r>
          </w:p>
        </w:tc>
        <w:tc>
          <w:tcPr>
            <w:tcW w:w="1775" w:type="dxa"/>
            <w:shd w:val="clear" w:color="auto" w:fill="FFFFFF"/>
            <w:vAlign w:val="center"/>
          </w:tcPr>
          <w:p>
            <w:pPr>
              <w:jc w:val="right"/>
              <w:rPr>
                <w:rFonts w:ascii="宋体" w:hAnsi="宋体" w:cs="宋体"/>
                <w:color w:val="000000"/>
                <w:sz w:val="22"/>
                <w:szCs w:val="22"/>
              </w:rPr>
            </w:pPr>
            <w:r>
              <w:rPr>
                <w:rFonts w:hint="eastAsia"/>
                <w:color w:val="000000"/>
                <w:sz w:val="22"/>
                <w:szCs w:val="22"/>
              </w:rPr>
              <w:t>200</w:t>
            </w:r>
          </w:p>
        </w:tc>
        <w:tc>
          <w:tcPr>
            <w:tcW w:w="1598" w:type="dxa"/>
            <w:shd w:val="clear" w:color="auto" w:fill="FFFFFF"/>
            <w:vAlign w:val="center"/>
          </w:tcPr>
          <w:p>
            <w:pPr>
              <w:jc w:val="right"/>
              <w:rPr>
                <w:rFonts w:ascii="宋体" w:hAnsi="宋体" w:cs="宋体"/>
                <w:color w:val="000000"/>
                <w:sz w:val="22"/>
                <w:szCs w:val="22"/>
              </w:rPr>
            </w:pPr>
            <w:r>
              <w:rPr>
                <w:rFonts w:hint="eastAsia"/>
                <w:color w:val="000000"/>
                <w:sz w:val="22"/>
                <w:szCs w:val="22"/>
              </w:rPr>
              <w:t>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2" w:type="dxa"/>
            <w:shd w:val="clear" w:color="auto" w:fill="FFFFFF"/>
            <w:vAlign w:val="center"/>
          </w:tcPr>
          <w:p>
            <w:pPr>
              <w:widowControl/>
              <w:jc w:val="center"/>
              <w:rPr>
                <w:kern w:val="0"/>
                <w:szCs w:val="21"/>
              </w:rPr>
            </w:pPr>
            <w:r>
              <w:rPr>
                <w:kern w:val="0"/>
                <w:szCs w:val="21"/>
              </w:rPr>
              <w:t>2</w:t>
            </w:r>
          </w:p>
        </w:tc>
        <w:tc>
          <w:tcPr>
            <w:tcW w:w="2264" w:type="dxa"/>
            <w:shd w:val="clear" w:color="auto" w:fill="FFFFFF"/>
            <w:vAlign w:val="center"/>
          </w:tcPr>
          <w:p>
            <w:pPr>
              <w:widowControl/>
              <w:jc w:val="center"/>
              <w:rPr>
                <w:kern w:val="0"/>
                <w:szCs w:val="21"/>
              </w:rPr>
            </w:pPr>
            <w:r>
              <w:rPr>
                <w:kern w:val="0"/>
                <w:szCs w:val="21"/>
              </w:rPr>
              <w:t>松岗二路</w:t>
            </w:r>
          </w:p>
        </w:tc>
        <w:tc>
          <w:tcPr>
            <w:tcW w:w="1290" w:type="dxa"/>
            <w:shd w:val="clear" w:color="auto" w:fill="FFFFFF"/>
            <w:vAlign w:val="center"/>
          </w:tcPr>
          <w:p>
            <w:pPr>
              <w:jc w:val="right"/>
              <w:rPr>
                <w:rFonts w:ascii="宋体" w:hAnsi="宋体" w:cs="宋体"/>
                <w:color w:val="000000"/>
                <w:sz w:val="22"/>
                <w:szCs w:val="22"/>
              </w:rPr>
            </w:pPr>
            <w:r>
              <w:rPr>
                <w:rFonts w:hint="eastAsia"/>
                <w:color w:val="000000"/>
                <w:sz w:val="22"/>
                <w:szCs w:val="22"/>
              </w:rPr>
              <w:t>576</w:t>
            </w:r>
          </w:p>
        </w:tc>
        <w:tc>
          <w:tcPr>
            <w:tcW w:w="1775" w:type="dxa"/>
            <w:shd w:val="clear" w:color="auto" w:fill="FFFFFF"/>
            <w:vAlign w:val="center"/>
          </w:tcPr>
          <w:p>
            <w:pPr>
              <w:jc w:val="right"/>
              <w:rPr>
                <w:rFonts w:ascii="宋体" w:hAnsi="宋体" w:cs="宋体"/>
                <w:color w:val="000000"/>
                <w:sz w:val="22"/>
                <w:szCs w:val="22"/>
              </w:rPr>
            </w:pPr>
            <w:r>
              <w:rPr>
                <w:rFonts w:hint="eastAsia"/>
                <w:color w:val="000000"/>
                <w:sz w:val="22"/>
                <w:szCs w:val="22"/>
              </w:rPr>
              <w:t>735</w:t>
            </w:r>
          </w:p>
        </w:tc>
        <w:tc>
          <w:tcPr>
            <w:tcW w:w="1598" w:type="dxa"/>
            <w:shd w:val="clear" w:color="auto" w:fill="FFFFFF"/>
            <w:vAlign w:val="center"/>
          </w:tcPr>
          <w:p>
            <w:pPr>
              <w:jc w:val="right"/>
              <w:rPr>
                <w:rFonts w:ascii="宋体" w:hAnsi="宋体" w:cs="宋体"/>
                <w:color w:val="000000"/>
                <w:sz w:val="22"/>
                <w:szCs w:val="22"/>
              </w:rPr>
            </w:pPr>
            <w:r>
              <w:rPr>
                <w:rFonts w:hint="eastAsia"/>
                <w:color w:val="000000"/>
                <w:sz w:val="22"/>
                <w:szCs w:val="22"/>
              </w:rPr>
              <w:t>1097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2" w:type="dxa"/>
            <w:shd w:val="clear" w:color="auto" w:fill="FFFFFF"/>
            <w:vAlign w:val="center"/>
          </w:tcPr>
          <w:p>
            <w:pPr>
              <w:widowControl/>
              <w:jc w:val="center"/>
              <w:rPr>
                <w:kern w:val="0"/>
                <w:szCs w:val="21"/>
              </w:rPr>
            </w:pPr>
            <w:r>
              <w:rPr>
                <w:kern w:val="0"/>
                <w:szCs w:val="21"/>
              </w:rPr>
              <w:t>3</w:t>
            </w:r>
          </w:p>
        </w:tc>
        <w:tc>
          <w:tcPr>
            <w:tcW w:w="2264" w:type="dxa"/>
            <w:shd w:val="clear" w:color="auto" w:fill="FFFFFF"/>
            <w:vAlign w:val="center"/>
          </w:tcPr>
          <w:p>
            <w:pPr>
              <w:widowControl/>
              <w:jc w:val="center"/>
              <w:rPr>
                <w:kern w:val="0"/>
                <w:szCs w:val="21"/>
              </w:rPr>
            </w:pPr>
            <w:r>
              <w:rPr>
                <w:rFonts w:hint="eastAsia"/>
                <w:kern w:val="0"/>
                <w:szCs w:val="21"/>
              </w:rPr>
              <w:t>318国道</w:t>
            </w:r>
          </w:p>
        </w:tc>
        <w:tc>
          <w:tcPr>
            <w:tcW w:w="1290" w:type="dxa"/>
            <w:shd w:val="clear" w:color="auto" w:fill="FFFFFF"/>
            <w:vAlign w:val="center"/>
          </w:tcPr>
          <w:p>
            <w:pPr>
              <w:jc w:val="right"/>
              <w:rPr>
                <w:rFonts w:ascii="宋体" w:hAnsi="宋体" w:cs="宋体"/>
                <w:color w:val="000000"/>
                <w:sz w:val="22"/>
                <w:szCs w:val="22"/>
              </w:rPr>
            </w:pPr>
            <w:r>
              <w:rPr>
                <w:rFonts w:hint="eastAsia"/>
                <w:color w:val="000000"/>
                <w:sz w:val="22"/>
                <w:szCs w:val="22"/>
              </w:rPr>
              <w:t>2477</w:t>
            </w:r>
          </w:p>
        </w:tc>
        <w:tc>
          <w:tcPr>
            <w:tcW w:w="1775" w:type="dxa"/>
            <w:shd w:val="clear" w:color="auto" w:fill="FFFFFF"/>
            <w:vAlign w:val="center"/>
          </w:tcPr>
          <w:p>
            <w:pPr>
              <w:jc w:val="right"/>
              <w:rPr>
                <w:rFonts w:ascii="宋体" w:hAnsi="宋体" w:cs="宋体"/>
                <w:color w:val="000000"/>
                <w:sz w:val="22"/>
                <w:szCs w:val="22"/>
              </w:rPr>
            </w:pPr>
            <w:r>
              <w:rPr>
                <w:rFonts w:hint="eastAsia"/>
                <w:color w:val="000000"/>
                <w:sz w:val="22"/>
                <w:szCs w:val="22"/>
              </w:rPr>
              <w:t>3161</w:t>
            </w:r>
          </w:p>
        </w:tc>
        <w:tc>
          <w:tcPr>
            <w:tcW w:w="1598" w:type="dxa"/>
            <w:shd w:val="clear" w:color="auto" w:fill="FFFFFF"/>
            <w:vAlign w:val="center"/>
          </w:tcPr>
          <w:p>
            <w:pPr>
              <w:jc w:val="right"/>
              <w:rPr>
                <w:rFonts w:ascii="宋体" w:hAnsi="宋体" w:cs="宋体"/>
                <w:color w:val="000000"/>
                <w:sz w:val="22"/>
                <w:szCs w:val="22"/>
              </w:rPr>
            </w:pPr>
            <w:r>
              <w:rPr>
                <w:rFonts w:hint="eastAsia"/>
                <w:color w:val="000000"/>
                <w:sz w:val="22"/>
                <w:szCs w:val="22"/>
              </w:rPr>
              <w:t>4718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2" w:type="dxa"/>
            <w:shd w:val="clear" w:color="auto" w:fill="FFFFFF"/>
            <w:vAlign w:val="center"/>
          </w:tcPr>
          <w:p>
            <w:pPr>
              <w:widowControl/>
              <w:jc w:val="center"/>
              <w:rPr>
                <w:kern w:val="0"/>
                <w:szCs w:val="21"/>
              </w:rPr>
            </w:pPr>
            <w:r>
              <w:rPr>
                <w:rFonts w:hint="eastAsia"/>
                <w:kern w:val="0"/>
                <w:szCs w:val="21"/>
              </w:rPr>
              <w:t>4</w:t>
            </w:r>
          </w:p>
        </w:tc>
        <w:tc>
          <w:tcPr>
            <w:tcW w:w="2264" w:type="dxa"/>
            <w:shd w:val="clear" w:color="auto" w:fill="FFFFFF"/>
            <w:vAlign w:val="center"/>
          </w:tcPr>
          <w:p>
            <w:pPr>
              <w:widowControl/>
              <w:jc w:val="center"/>
              <w:rPr>
                <w:kern w:val="0"/>
                <w:szCs w:val="21"/>
              </w:rPr>
            </w:pPr>
            <w:r>
              <w:rPr>
                <w:kern w:val="0"/>
                <w:szCs w:val="21"/>
              </w:rPr>
              <w:t>沙湾路上跨桥</w:t>
            </w:r>
          </w:p>
        </w:tc>
        <w:tc>
          <w:tcPr>
            <w:tcW w:w="1290" w:type="dxa"/>
            <w:shd w:val="clear" w:color="auto" w:fill="FFFFFF"/>
            <w:vAlign w:val="center"/>
          </w:tcPr>
          <w:p>
            <w:pPr>
              <w:jc w:val="right"/>
              <w:rPr>
                <w:rFonts w:ascii="宋体" w:hAnsi="宋体" w:cs="宋体"/>
                <w:color w:val="000000"/>
                <w:sz w:val="22"/>
                <w:szCs w:val="22"/>
              </w:rPr>
            </w:pPr>
            <w:r>
              <w:rPr>
                <w:rFonts w:hint="eastAsia"/>
                <w:color w:val="000000"/>
                <w:sz w:val="22"/>
                <w:szCs w:val="22"/>
              </w:rPr>
              <w:t>303</w:t>
            </w:r>
          </w:p>
        </w:tc>
        <w:tc>
          <w:tcPr>
            <w:tcW w:w="1775" w:type="dxa"/>
            <w:shd w:val="clear" w:color="auto" w:fill="FFFFFF"/>
            <w:vAlign w:val="center"/>
          </w:tcPr>
          <w:p>
            <w:pPr>
              <w:jc w:val="right"/>
              <w:rPr>
                <w:rFonts w:ascii="宋体" w:hAnsi="宋体" w:cs="宋体"/>
                <w:color w:val="000000"/>
                <w:sz w:val="22"/>
                <w:szCs w:val="22"/>
              </w:rPr>
            </w:pPr>
            <w:r>
              <w:rPr>
                <w:rFonts w:hint="eastAsia"/>
                <w:color w:val="000000"/>
                <w:sz w:val="22"/>
                <w:szCs w:val="22"/>
              </w:rPr>
              <w:t>387</w:t>
            </w:r>
          </w:p>
        </w:tc>
        <w:tc>
          <w:tcPr>
            <w:tcW w:w="1598" w:type="dxa"/>
            <w:shd w:val="clear" w:color="auto" w:fill="FFFFFF"/>
            <w:vAlign w:val="center"/>
          </w:tcPr>
          <w:p>
            <w:pPr>
              <w:jc w:val="right"/>
              <w:rPr>
                <w:rFonts w:ascii="宋体" w:hAnsi="宋体" w:cs="宋体"/>
                <w:color w:val="000000"/>
                <w:sz w:val="22"/>
                <w:szCs w:val="22"/>
              </w:rPr>
            </w:pPr>
            <w:r>
              <w:rPr>
                <w:rFonts w:hint="eastAsia"/>
                <w:color w:val="000000"/>
                <w:sz w:val="22"/>
                <w:szCs w:val="22"/>
              </w:rPr>
              <w:t>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7689" w:type="dxa"/>
            <w:gridSpan w:val="5"/>
            <w:shd w:val="clear" w:color="auto" w:fill="FFFFFF"/>
            <w:vAlign w:val="center"/>
          </w:tcPr>
          <w:p>
            <w:pPr>
              <w:jc w:val="center"/>
              <w:rPr>
                <w:color w:val="000000"/>
                <w:sz w:val="22"/>
                <w:szCs w:val="22"/>
              </w:rPr>
            </w:pPr>
            <w:r>
              <w:rPr>
                <w:rFonts w:hint="eastAsia"/>
                <w:color w:val="000000"/>
                <w:sz w:val="22"/>
                <w:szCs w:val="22"/>
              </w:rPr>
              <w:t>车型比 大：中：小=22：33：45</w:t>
            </w:r>
          </w:p>
        </w:tc>
      </w:tr>
    </w:tbl>
    <w:p>
      <w:pPr>
        <w:spacing w:line="360" w:lineRule="auto"/>
        <w:rPr>
          <w:b/>
        </w:rPr>
      </w:pPr>
      <w:r>
        <w:rPr>
          <w:rFonts w:hint="eastAsia"/>
          <w:b/>
        </w:rPr>
        <w:t>备注根据可研推算</w:t>
      </w:r>
    </w:p>
    <w:p>
      <w:pPr>
        <w:pStyle w:val="6"/>
        <w:tabs>
          <w:tab w:val="left" w:pos="-489"/>
        </w:tabs>
        <w:spacing w:beforeLines="0" w:afterLines="0"/>
        <w:ind w:left="0" w:firstLine="0"/>
        <w:rPr>
          <w:rFonts w:ascii="Times New Roman" w:hAnsi="Times New Roman"/>
        </w:rPr>
      </w:pPr>
      <w:r>
        <w:rPr>
          <w:rFonts w:hint="eastAsia" w:ascii="Times New Roman" w:hAnsi="Times New Roman"/>
        </w:rPr>
        <w:t>管网工程</w:t>
      </w:r>
    </w:p>
    <w:p>
      <w:pPr>
        <w:spacing w:line="360" w:lineRule="auto"/>
        <w:ind w:firstLine="480" w:firstLineChars="200"/>
        <w:rPr>
          <w:sz w:val="24"/>
        </w:rPr>
      </w:pPr>
      <w:r>
        <w:rPr>
          <w:rFonts w:hint="eastAsia"/>
          <w:sz w:val="24"/>
        </w:rPr>
        <w:t>包括</w:t>
      </w:r>
      <w:r>
        <w:rPr>
          <w:sz w:val="24"/>
        </w:rPr>
        <w:t>松岗二路</w:t>
      </w:r>
      <w:r>
        <w:rPr>
          <w:rFonts w:hint="eastAsia"/>
          <w:sz w:val="24"/>
        </w:rPr>
        <w:t>、</w:t>
      </w:r>
      <w:r>
        <w:rPr>
          <w:sz w:val="24"/>
        </w:rPr>
        <w:t>桂湖路</w:t>
      </w:r>
      <w:r>
        <w:rPr>
          <w:rFonts w:hint="eastAsia"/>
          <w:sz w:val="24"/>
        </w:rPr>
        <w:t>排水管线，</w:t>
      </w:r>
      <w:r>
        <w:rPr>
          <w:sz w:val="24"/>
        </w:rPr>
        <w:t>给水管线</w:t>
      </w:r>
      <w:r>
        <w:rPr>
          <w:rFonts w:hint="eastAsia"/>
          <w:sz w:val="24"/>
        </w:rPr>
        <w:t>，</w:t>
      </w:r>
      <w:r>
        <w:rPr>
          <w:sz w:val="24"/>
        </w:rPr>
        <w:t>通信管线</w:t>
      </w:r>
      <w:r>
        <w:rPr>
          <w:rFonts w:hint="eastAsia"/>
          <w:sz w:val="24"/>
        </w:rPr>
        <w:t>，</w:t>
      </w:r>
      <w:r>
        <w:rPr>
          <w:sz w:val="24"/>
        </w:rPr>
        <w:t>电力管线</w:t>
      </w:r>
      <w:r>
        <w:rPr>
          <w:rFonts w:hint="eastAsia"/>
          <w:sz w:val="24"/>
        </w:rPr>
        <w:t>和</w:t>
      </w:r>
      <w:r>
        <w:rPr>
          <w:sz w:val="24"/>
        </w:rPr>
        <w:t>燃气管线</w:t>
      </w:r>
      <w:r>
        <w:rPr>
          <w:rFonts w:hint="eastAsia"/>
          <w:sz w:val="24"/>
        </w:rPr>
        <w:t>。</w:t>
      </w:r>
    </w:p>
    <w:p>
      <w:pPr>
        <w:pStyle w:val="3"/>
        <w:tabs>
          <w:tab w:val="left" w:pos="426"/>
          <w:tab w:val="left" w:pos="2200"/>
          <w:tab w:val="clear" w:pos="3695"/>
        </w:tabs>
        <w:spacing w:beforeLines="0" w:afterLines="0"/>
        <w:ind w:left="0" w:firstLine="0"/>
      </w:pPr>
      <w:bookmarkStart w:id="76" w:name="_Toc442195674"/>
      <w:bookmarkStart w:id="77" w:name="_Toc410895431"/>
      <w:bookmarkStart w:id="78" w:name="_Toc350087813"/>
      <w:bookmarkStart w:id="79" w:name="_Toc208807812"/>
      <w:bookmarkStart w:id="80" w:name="_Toc317842966"/>
      <w:r>
        <w:rPr>
          <w:rFonts w:hint="eastAsia"/>
        </w:rPr>
        <w:t>关联项目</w:t>
      </w:r>
      <w:bookmarkEnd w:id="76"/>
    </w:p>
    <w:p>
      <w:pPr>
        <w:spacing w:line="360" w:lineRule="auto"/>
        <w:ind w:firstLine="480" w:firstLineChars="200"/>
        <w:rPr>
          <w:sz w:val="24"/>
        </w:rPr>
      </w:pPr>
      <w:r>
        <w:rPr>
          <w:rFonts w:hint="eastAsia"/>
          <w:sz w:val="24"/>
        </w:rPr>
        <w:t>与本项目有关的主要基础设施为白洋作业区一期工程、318国道（与园区相关的约有3.0km段）。</w:t>
      </w:r>
    </w:p>
    <w:p>
      <w:pPr>
        <w:pStyle w:val="5"/>
        <w:tabs>
          <w:tab w:val="left" w:pos="1210"/>
        </w:tabs>
        <w:ind w:left="708" w:hanging="708" w:hangingChars="252"/>
        <w:rPr>
          <w:rFonts w:ascii="宋体" w:hAnsi="宋体" w:eastAsia="宋体"/>
          <w:b/>
          <w:sz w:val="28"/>
          <w:szCs w:val="28"/>
        </w:rPr>
      </w:pPr>
      <w:bookmarkStart w:id="81" w:name="_Toc442195675"/>
      <w:r>
        <w:rPr>
          <w:rFonts w:hint="eastAsia" w:ascii="宋体" w:hAnsi="宋体" w:eastAsia="宋体"/>
          <w:b/>
          <w:sz w:val="28"/>
          <w:szCs w:val="28"/>
        </w:rPr>
        <w:t>白洋港一期</w:t>
      </w:r>
      <w:bookmarkEnd w:id="81"/>
    </w:p>
    <w:p>
      <w:pPr>
        <w:spacing w:line="360" w:lineRule="auto"/>
        <w:ind w:firstLine="480" w:firstLineChars="200"/>
        <w:rPr>
          <w:sz w:val="24"/>
        </w:rPr>
      </w:pPr>
      <w:r>
        <w:rPr>
          <w:rFonts w:hint="eastAsia"/>
          <w:sz w:val="24"/>
        </w:rPr>
        <w:t>根据实际调查情况，目前该段部分岸线正在进行白洋作业区起步工程（白洋作业区一期工程）施工建设，2011年十一月份完成了环境影响评价报告，并获得了省环境保护厅批复，当前涉水及主体工程基本建设完毕，建设过程中基本遵守了环境影响评价的相关要求，根据对临近地表水的监测，地表水水质满足</w:t>
      </w:r>
      <w:r>
        <w:rPr>
          <w:rFonts w:hint="eastAsia" w:ascii="宋体" w:hAnsi="宋体"/>
          <w:sz w:val="24"/>
        </w:rPr>
        <w:t>Ⅲ</w:t>
      </w:r>
      <w:r>
        <w:rPr>
          <w:rFonts w:hint="eastAsia"/>
          <w:sz w:val="24"/>
        </w:rPr>
        <w:t>类地表水标准，建设过程中没有居民或其他相关单位投诉，工程预计</w:t>
      </w:r>
      <w:r>
        <w:rPr>
          <w:rFonts w:hint="eastAsia"/>
          <w:sz w:val="24"/>
          <w:highlight w:val="yellow"/>
        </w:rPr>
        <w:t>2016年中旬可全部</w:t>
      </w:r>
      <w:r>
        <w:rPr>
          <w:rFonts w:hint="eastAsia"/>
          <w:sz w:val="24"/>
        </w:rPr>
        <w:t>完工，本项目不占用白洋作业区起步工程岸线及后方陆域，项目岸线使用符合《宜昌港总体规划》和《宜昌港主城港区调整专项规划》，对相邻近的白洋作业区起步工程基本无影响。</w:t>
      </w:r>
    </w:p>
    <w:p>
      <w:pPr>
        <w:pStyle w:val="5"/>
        <w:tabs>
          <w:tab w:val="left" w:pos="1210"/>
        </w:tabs>
        <w:ind w:left="708" w:hanging="708" w:hangingChars="252"/>
        <w:rPr>
          <w:rFonts w:ascii="宋体" w:hAnsi="宋体" w:eastAsia="宋体"/>
          <w:b/>
          <w:sz w:val="28"/>
          <w:szCs w:val="28"/>
        </w:rPr>
      </w:pPr>
      <w:bookmarkStart w:id="82" w:name="_Toc442195676"/>
      <w:r>
        <w:rPr>
          <w:rFonts w:hint="eastAsia" w:ascii="宋体" w:hAnsi="宋体" w:eastAsia="宋体"/>
          <w:b/>
          <w:sz w:val="28"/>
          <w:szCs w:val="28"/>
        </w:rPr>
        <w:t>318国道相关路段</w:t>
      </w:r>
      <w:bookmarkEnd w:id="82"/>
      <w:r>
        <w:rPr>
          <w:rFonts w:hint="eastAsia" w:ascii="宋体" w:hAnsi="宋体" w:eastAsia="宋体"/>
          <w:b/>
          <w:sz w:val="28"/>
          <w:szCs w:val="28"/>
        </w:rPr>
        <w:t>及项目周边现状</w:t>
      </w:r>
    </w:p>
    <w:p>
      <w:pPr>
        <w:autoSpaceDE w:val="0"/>
        <w:autoSpaceDN w:val="0"/>
        <w:adjustRightInd w:val="0"/>
        <w:spacing w:line="360" w:lineRule="auto"/>
        <w:ind w:firstLine="480" w:firstLineChars="200"/>
        <w:jc w:val="left"/>
        <w:rPr>
          <w:rFonts w:ascii="宋体" w:hAnsi="TimesNewRomanPSMT" w:cs="宋体"/>
          <w:kern w:val="0"/>
          <w:sz w:val="24"/>
        </w:rPr>
      </w:pPr>
      <w:r>
        <w:rPr>
          <w:rFonts w:hint="eastAsia" w:ascii="宋体" w:cs="宋体" w:hAnsiTheme="minorHAnsi"/>
          <w:kern w:val="0"/>
          <w:sz w:val="24"/>
        </w:rPr>
        <w:t>选用四车道一级公路设计标准建设，设计速度</w:t>
      </w:r>
      <w:r>
        <w:rPr>
          <w:rFonts w:ascii="TimesNewRomanPSMT" w:hAnsi="TimesNewRomanPSMT" w:cs="TimesNewRomanPSMT"/>
          <w:kern w:val="0"/>
          <w:sz w:val="24"/>
        </w:rPr>
        <w:t>80km/h</w:t>
      </w:r>
      <w:r>
        <w:rPr>
          <w:rFonts w:hint="eastAsia" w:ascii="TimesNewRomanPSMT" w:hAnsi="TimesNewRomanPSMT" w:cs="TimesNewRomanPSMT"/>
          <w:kern w:val="0"/>
          <w:sz w:val="24"/>
        </w:rPr>
        <w:t>，路基宽度21.5m，</w:t>
      </w:r>
      <w:r>
        <w:rPr>
          <w:rFonts w:hint="eastAsia" w:ascii="宋体" w:hAnsi="TimesNewRomanPSMT" w:cs="宋体"/>
          <w:kern w:val="0"/>
          <w:sz w:val="24"/>
        </w:rPr>
        <w:t>宽度组成为：中间带</w:t>
      </w:r>
      <w:r>
        <w:rPr>
          <w:rFonts w:ascii="TimesNewRomanPSMT" w:hAnsi="TimesNewRomanPSMT" w:cs="TimesNewRomanPSMT" w:eastAsiaTheme="minorEastAsia"/>
          <w:kern w:val="0"/>
          <w:sz w:val="24"/>
        </w:rPr>
        <w:t xml:space="preserve">1 </w:t>
      </w:r>
      <w:r>
        <w:rPr>
          <w:rFonts w:hint="eastAsia" w:ascii="宋体" w:hAnsi="TimesNewRomanPSMT" w:cs="宋体"/>
          <w:kern w:val="0"/>
          <w:sz w:val="24"/>
        </w:rPr>
        <w:t>米（双黄线间距</w:t>
      </w:r>
      <w:r>
        <w:rPr>
          <w:rFonts w:ascii="TimesNewRomanPSMT" w:hAnsi="TimesNewRomanPSMT" w:cs="TimesNewRomanPSMT" w:eastAsiaTheme="minorEastAsia"/>
          <w:kern w:val="0"/>
          <w:sz w:val="24"/>
        </w:rPr>
        <w:t>0.5m</w:t>
      </w:r>
      <w:r>
        <w:rPr>
          <w:rFonts w:hint="eastAsia" w:ascii="宋体" w:hAnsi="TimesNewRomanPSMT" w:cs="宋体"/>
          <w:kern w:val="0"/>
          <w:sz w:val="24"/>
        </w:rPr>
        <w:t>），行车道宽</w:t>
      </w:r>
      <w:r>
        <w:rPr>
          <w:rFonts w:ascii="TimesNewRomanPSMT" w:hAnsi="TimesNewRomanPSMT" w:cs="TimesNewRomanPSMT" w:eastAsiaTheme="minorEastAsia"/>
          <w:kern w:val="0"/>
          <w:sz w:val="24"/>
        </w:rPr>
        <w:t>2×2×3.75m</w:t>
      </w:r>
      <w:r>
        <w:rPr>
          <w:rFonts w:hint="eastAsia" w:ascii="宋体" w:hAnsi="TimesNewRomanPSMT" w:cs="宋体"/>
          <w:kern w:val="0"/>
          <w:sz w:val="24"/>
        </w:rPr>
        <w:t>，硬路肩宽</w:t>
      </w:r>
      <w:r>
        <w:rPr>
          <w:rFonts w:ascii="TimesNewRomanPSMT" w:hAnsi="TimesNewRomanPSMT" w:cs="TimesNewRomanPSMT" w:eastAsiaTheme="minorEastAsia"/>
          <w:kern w:val="0"/>
          <w:sz w:val="24"/>
        </w:rPr>
        <w:t>2×2.0m</w:t>
      </w:r>
      <w:r>
        <w:rPr>
          <w:rFonts w:hint="eastAsia" w:ascii="宋体" w:hAnsi="TimesNewRomanPSMT" w:cs="宋体"/>
          <w:kern w:val="0"/>
          <w:sz w:val="24"/>
        </w:rPr>
        <w:t>，土路肩</w:t>
      </w:r>
      <w:r>
        <w:rPr>
          <w:rFonts w:ascii="TimesNewRomanPSMT" w:hAnsi="TimesNewRomanPSMT" w:cs="TimesNewRomanPSMT" w:eastAsiaTheme="minorEastAsia"/>
          <w:kern w:val="0"/>
          <w:sz w:val="24"/>
        </w:rPr>
        <w:t>2×0.75m</w:t>
      </w:r>
      <w:r>
        <w:rPr>
          <w:rFonts w:hint="eastAsia" w:ascii="宋体" w:hAnsi="TimesNewRomanPSMT" w:cs="宋体"/>
          <w:kern w:val="0"/>
          <w:sz w:val="24"/>
        </w:rPr>
        <w:t>，路基外两侧设排水设施。</w:t>
      </w:r>
    </w:p>
    <w:p>
      <w:pPr>
        <w:autoSpaceDE w:val="0"/>
        <w:autoSpaceDN w:val="0"/>
        <w:adjustRightInd w:val="0"/>
        <w:jc w:val="left"/>
      </w:pPr>
      <w:r>
        <w:drawing>
          <wp:inline distT="0" distB="0" distL="0" distR="0">
            <wp:extent cx="5486400" cy="215392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27"/>
                    <a:stretch>
                      <a:fillRect/>
                    </a:stretch>
                  </pic:blipFill>
                  <pic:spPr>
                    <a:xfrm>
                      <a:off x="0" y="0"/>
                      <a:ext cx="5486400" cy="2153920"/>
                    </a:xfrm>
                    <a:prstGeom prst="rect">
                      <a:avLst/>
                    </a:prstGeom>
                  </pic:spPr>
                </pic:pic>
              </a:graphicData>
            </a:graphic>
          </wp:inline>
        </w:drawing>
      </w:r>
    </w:p>
    <w:p>
      <w:pPr>
        <w:autoSpaceDE w:val="0"/>
        <w:autoSpaceDN w:val="0"/>
        <w:adjustRightInd w:val="0"/>
        <w:jc w:val="center"/>
        <w:rPr>
          <w:rFonts w:ascii="黑体" w:eastAsia="黑体" w:cs="黑体" w:hAnsiTheme="minorHAnsi"/>
          <w:kern w:val="0"/>
          <w:sz w:val="24"/>
        </w:rPr>
      </w:pPr>
      <w:r>
        <w:rPr>
          <w:rFonts w:hint="eastAsia" w:ascii="黑体" w:eastAsia="黑体" w:cs="黑体" w:hAnsiTheme="minorHAnsi"/>
          <w:kern w:val="0"/>
          <w:sz w:val="24"/>
        </w:rPr>
        <w:t>图</w:t>
      </w:r>
      <w:r>
        <w:rPr>
          <w:rFonts w:ascii="TimesNewRomanPSMT" w:hAnsi="TimesNewRomanPSMT" w:eastAsia="黑体" w:cs="TimesNewRomanPSMT"/>
          <w:kern w:val="0"/>
          <w:sz w:val="24"/>
        </w:rPr>
        <w:t>2.</w:t>
      </w:r>
      <w:r>
        <w:rPr>
          <w:rFonts w:hint="eastAsia" w:ascii="TimesNewRomanPSMT" w:hAnsi="TimesNewRomanPSMT" w:eastAsia="黑体" w:cs="TimesNewRomanPSMT"/>
          <w:kern w:val="0"/>
          <w:sz w:val="24"/>
        </w:rPr>
        <w:t>4</w:t>
      </w:r>
      <w:r>
        <w:rPr>
          <w:rFonts w:ascii="TimesNewRomanPSMT" w:hAnsi="TimesNewRomanPSMT" w:eastAsia="黑体" w:cs="TimesNewRomanPSMT"/>
          <w:kern w:val="0"/>
          <w:sz w:val="24"/>
        </w:rPr>
        <w:t>-</w:t>
      </w:r>
      <w:r>
        <w:rPr>
          <w:rFonts w:hint="eastAsia" w:ascii="TimesNewRomanPSMT" w:hAnsi="TimesNewRomanPSMT" w:eastAsia="黑体" w:cs="TimesNewRomanPSMT"/>
          <w:kern w:val="0"/>
          <w:sz w:val="24"/>
        </w:rPr>
        <w:t>1</w:t>
      </w:r>
      <w:r>
        <w:rPr>
          <w:rFonts w:ascii="TimesNewRomanPSMT" w:hAnsi="TimesNewRomanPSMT" w:eastAsia="黑体" w:cs="TimesNewRomanPSMT"/>
          <w:kern w:val="0"/>
          <w:sz w:val="24"/>
        </w:rPr>
        <w:t xml:space="preserve"> </w:t>
      </w:r>
      <w:r>
        <w:rPr>
          <w:rFonts w:hint="eastAsia" w:ascii="黑体" w:eastAsia="黑体" w:cs="黑体" w:hAnsiTheme="minorHAnsi"/>
          <w:kern w:val="0"/>
          <w:sz w:val="24"/>
        </w:rPr>
        <w:t>一般路段路基横断面示意图</w:t>
      </w:r>
    </w:p>
    <w:p>
      <w:pPr>
        <w:autoSpaceDE w:val="0"/>
        <w:autoSpaceDN w:val="0"/>
        <w:adjustRightInd w:val="0"/>
        <w:spacing w:line="360" w:lineRule="auto"/>
        <w:ind w:firstLine="480" w:firstLineChars="200"/>
        <w:jc w:val="left"/>
        <w:rPr>
          <w:sz w:val="24"/>
        </w:rPr>
      </w:pPr>
      <w:r>
        <w:rPr>
          <w:sz w:val="24"/>
        </w:rPr>
        <w:t>该项目2009年完成环境影响报告，并由省环保厅审批，当前项目</w:t>
      </w:r>
      <w:r>
        <w:rPr>
          <w:rFonts w:hint="eastAsia"/>
          <w:sz w:val="24"/>
        </w:rPr>
        <w:t>主体工程</w:t>
      </w:r>
      <w:r>
        <w:rPr>
          <w:sz w:val="24"/>
        </w:rPr>
        <w:t>已经建成</w:t>
      </w:r>
      <w:r>
        <w:rPr>
          <w:rFonts w:hint="eastAsia"/>
          <w:sz w:val="24"/>
        </w:rPr>
        <w:t>，剩下面层柏油没有摊铺。</w:t>
      </w:r>
    </w:p>
    <w:p>
      <w:pPr>
        <w:autoSpaceDE w:val="0"/>
        <w:autoSpaceDN w:val="0"/>
        <w:adjustRightInd w:val="0"/>
        <w:spacing w:line="360" w:lineRule="auto"/>
        <w:ind w:firstLine="480" w:firstLineChars="200"/>
        <w:jc w:val="left"/>
        <w:rPr>
          <w:sz w:val="24"/>
        </w:rPr>
      </w:pPr>
      <w:r>
        <w:rPr>
          <w:rFonts w:hint="eastAsia"/>
          <w:sz w:val="24"/>
        </w:rPr>
        <w:t>项目周边交通现状见图2.4-2。</w:t>
      </w:r>
    </w:p>
    <w:p>
      <w:pPr>
        <w:pStyle w:val="1116"/>
        <w:snapToGrid w:val="0"/>
        <w:spacing w:line="360" w:lineRule="auto"/>
        <w:ind w:firstLine="0" w:firstLineChars="0"/>
        <w:jc w:val="center"/>
        <w:rPr>
          <w:rFonts w:cs="黑体" w:asciiTheme="minorEastAsia" w:hAnsiTheme="minorEastAsia" w:eastAsiaTheme="minorEastAsia"/>
          <w:color w:val="000000"/>
          <w:w w:val="100"/>
          <w:sz w:val="24"/>
          <w:szCs w:val="22"/>
        </w:rPr>
      </w:pPr>
      <w:r>
        <w:rPr>
          <w:rFonts w:hint="eastAsia" w:cs="黑体" w:asciiTheme="minorEastAsia" w:hAnsiTheme="minorEastAsia" w:eastAsiaTheme="minorEastAsia"/>
          <w:color w:val="000000"/>
          <w:w w:val="100"/>
          <w:sz w:val="24"/>
          <w:szCs w:val="22"/>
        </w:rPr>
        <w:drawing>
          <wp:inline distT="0" distB="0" distL="0" distR="0">
            <wp:extent cx="3946525" cy="2808605"/>
            <wp:effectExtent l="19050" t="0" r="0" b="0"/>
            <wp:docPr id="57" name="图片 15" descr="说明: 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5" descr="说明: 图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947551" cy="2809364"/>
                    </a:xfrm>
                    <a:prstGeom prst="rect">
                      <a:avLst/>
                    </a:prstGeom>
                    <a:noFill/>
                    <a:ln>
                      <a:noFill/>
                    </a:ln>
                  </pic:spPr>
                </pic:pic>
              </a:graphicData>
            </a:graphic>
          </wp:inline>
        </w:drawing>
      </w:r>
    </w:p>
    <w:p>
      <w:pPr>
        <w:pStyle w:val="452"/>
      </w:pPr>
      <w:r>
        <w:rPr>
          <w:rFonts w:hint="eastAsia"/>
        </w:rPr>
        <w:t>图2.4-2项目周边交通现状图</w:t>
      </w:r>
    </w:p>
    <w:p>
      <w:pPr>
        <w:pStyle w:val="5"/>
        <w:tabs>
          <w:tab w:val="left" w:pos="1210"/>
        </w:tabs>
        <w:ind w:left="708" w:hanging="708" w:hangingChars="252"/>
        <w:rPr>
          <w:rFonts w:ascii="宋体" w:hAnsi="宋体" w:eastAsia="宋体"/>
          <w:b/>
          <w:sz w:val="28"/>
          <w:szCs w:val="28"/>
        </w:rPr>
      </w:pPr>
      <w:bookmarkStart w:id="83" w:name="_Toc442195677"/>
      <w:r>
        <w:rPr>
          <w:rFonts w:hint="eastAsia" w:ascii="宋体" w:hAnsi="宋体" w:eastAsia="宋体"/>
          <w:b/>
          <w:sz w:val="28"/>
          <w:szCs w:val="28"/>
        </w:rPr>
        <w:t>白洋镇沙湾污水处理厂</w:t>
      </w:r>
      <w:bookmarkEnd w:id="83"/>
    </w:p>
    <w:p>
      <w:pPr>
        <w:spacing w:line="360" w:lineRule="auto"/>
        <w:ind w:firstLine="480" w:firstLineChars="200"/>
        <w:rPr>
          <w:rFonts w:eastAsiaTheme="minorEastAsia"/>
          <w:sz w:val="24"/>
        </w:rPr>
      </w:pPr>
      <w:r>
        <w:rPr>
          <w:rFonts w:eastAsiaTheme="minorEastAsia"/>
          <w:color w:val="000000"/>
          <w:sz w:val="24"/>
        </w:rPr>
        <w:t>宜昌市沙湾污水处理工程位于宜昌市白洋港东侧，白洋大道以南的长江边。一期工程主要建设内容包括：日处理能力为50000m</w:t>
      </w:r>
      <w:r>
        <w:rPr>
          <w:rFonts w:eastAsiaTheme="minorEastAsia"/>
          <w:color w:val="000000"/>
          <w:sz w:val="24"/>
          <w:vertAlign w:val="superscript"/>
        </w:rPr>
        <w:t>3</w:t>
      </w:r>
      <w:r>
        <w:rPr>
          <w:rFonts w:eastAsiaTheme="minorEastAsia"/>
          <w:color w:val="000000"/>
          <w:sz w:val="24"/>
        </w:rPr>
        <w:t>污水处理主体工程及14010m污水收集管道。项目采用改良型A</w:t>
      </w:r>
      <w:r>
        <w:rPr>
          <w:rFonts w:eastAsiaTheme="minorEastAsia"/>
          <w:color w:val="000000"/>
          <w:sz w:val="24"/>
          <w:vertAlign w:val="superscript"/>
        </w:rPr>
        <w:t>2</w:t>
      </w:r>
      <w:r>
        <w:rPr>
          <w:rFonts w:eastAsiaTheme="minorEastAsia"/>
          <w:color w:val="000000"/>
          <w:sz w:val="24"/>
        </w:rPr>
        <w:t>/O生物池工艺，污水处理厂收集范围为21.37 km</w:t>
      </w:r>
      <w:r>
        <w:rPr>
          <w:rFonts w:eastAsiaTheme="minorEastAsia"/>
          <w:color w:val="000000"/>
          <w:sz w:val="24"/>
          <w:vertAlign w:val="superscript"/>
        </w:rPr>
        <w:t>2</w:t>
      </w:r>
      <w:r>
        <w:rPr>
          <w:rFonts w:eastAsiaTheme="minorEastAsia"/>
          <w:color w:val="000000"/>
          <w:sz w:val="24"/>
        </w:rPr>
        <w:t>，服务人口为7.4万人。</w:t>
      </w:r>
      <w:r>
        <w:rPr>
          <w:rFonts w:eastAsiaTheme="minorEastAsia"/>
          <w:sz w:val="24"/>
        </w:rPr>
        <w:t>项目总投资20120.08万元。</w:t>
      </w:r>
    </w:p>
    <w:p>
      <w:pPr>
        <w:spacing w:line="360" w:lineRule="auto"/>
        <w:ind w:firstLine="480" w:firstLineChars="200"/>
        <w:rPr>
          <w:rFonts w:eastAsiaTheme="minorEastAsia"/>
          <w:color w:val="000000"/>
          <w:sz w:val="24"/>
        </w:rPr>
      </w:pPr>
      <w:r>
        <w:rPr>
          <w:rFonts w:eastAsiaTheme="minorEastAsia"/>
          <w:color w:val="000000"/>
          <w:sz w:val="24"/>
        </w:rPr>
        <w:t>宜市环审[2012]248号</w:t>
      </w:r>
      <w:r>
        <w:rPr>
          <w:rFonts w:hint="eastAsia" w:eastAsiaTheme="minorEastAsia"/>
          <w:color w:val="000000"/>
          <w:sz w:val="24"/>
        </w:rPr>
        <w:t>文对本项目进行了批复，目前项目一期已经建成，由于周围企业尚未运作，污水处理站没有污水需要处理，因而尚未正式运营。</w:t>
      </w:r>
    </w:p>
    <w:p>
      <w:pPr>
        <w:pStyle w:val="3"/>
        <w:tabs>
          <w:tab w:val="clear" w:pos="3695"/>
        </w:tabs>
        <w:spacing w:line="520" w:lineRule="exact"/>
        <w:ind w:left="0" w:hanging="9"/>
        <w:jc w:val="left"/>
      </w:pPr>
      <w:bookmarkStart w:id="84" w:name="_Toc442195678"/>
      <w:r>
        <w:t>环境保护目标</w:t>
      </w:r>
      <w:bookmarkEnd w:id="77"/>
      <w:bookmarkEnd w:id="78"/>
      <w:bookmarkEnd w:id="79"/>
      <w:bookmarkEnd w:id="80"/>
      <w:bookmarkEnd w:id="84"/>
    </w:p>
    <w:p>
      <w:pPr>
        <w:pStyle w:val="5"/>
        <w:tabs>
          <w:tab w:val="left" w:pos="567"/>
        </w:tabs>
        <w:spacing w:before="62" w:beforeLines="20" w:afterLines="0" w:line="360" w:lineRule="auto"/>
        <w:ind w:left="0" w:firstLine="0"/>
      </w:pPr>
      <w:bookmarkStart w:id="85" w:name="_Toc237340878"/>
      <w:bookmarkStart w:id="86" w:name="_Toc350087814"/>
      <w:bookmarkStart w:id="87" w:name="_Toc442195679"/>
      <w:bookmarkStart w:id="88" w:name="_Toc317842967"/>
      <w:r>
        <w:rPr>
          <w:rFonts w:hint="eastAsia"/>
        </w:rPr>
        <w:t>地表水环境保护目标</w:t>
      </w:r>
      <w:bookmarkEnd w:id="85"/>
      <w:bookmarkEnd w:id="86"/>
      <w:bookmarkEnd w:id="87"/>
      <w:bookmarkEnd w:id="88"/>
    </w:p>
    <w:p>
      <w:pPr>
        <w:spacing w:line="360" w:lineRule="auto"/>
        <w:ind w:firstLine="480" w:firstLineChars="200"/>
        <w:rPr>
          <w:rFonts w:ascii="宋体" w:cs="宋体" w:hAnsiTheme="minorHAnsi"/>
          <w:kern w:val="0"/>
          <w:sz w:val="24"/>
        </w:rPr>
      </w:pPr>
      <w:r>
        <w:rPr>
          <w:rFonts w:hint="eastAsia" w:ascii="宋体" w:cs="宋体" w:hAnsiTheme="minorHAnsi"/>
          <w:kern w:val="0"/>
          <w:sz w:val="24"/>
        </w:rPr>
        <w:t>本工程下游最近的取水口规模及与本工程的相对位置关系见表2</w:t>
      </w:r>
      <w:r>
        <w:rPr>
          <w:rFonts w:ascii="宋体" w:cs="宋体" w:hAnsiTheme="minorHAnsi"/>
          <w:kern w:val="0"/>
          <w:sz w:val="24"/>
        </w:rPr>
        <w:t>.</w:t>
      </w:r>
      <w:r>
        <w:rPr>
          <w:rFonts w:hint="eastAsia" w:ascii="宋体" w:cs="宋体" w:hAnsiTheme="minorHAnsi"/>
          <w:kern w:val="0"/>
          <w:sz w:val="24"/>
        </w:rPr>
        <w:t>5</w:t>
      </w:r>
      <w:r>
        <w:rPr>
          <w:rFonts w:ascii="宋体" w:cs="宋体" w:hAnsiTheme="minorHAnsi"/>
          <w:kern w:val="0"/>
          <w:sz w:val="24"/>
        </w:rPr>
        <w:t>-</w:t>
      </w:r>
      <w:r>
        <w:rPr>
          <w:rFonts w:hint="eastAsia" w:ascii="宋体" w:cs="宋体" w:hAnsiTheme="minorHAnsi"/>
          <w:kern w:val="0"/>
          <w:sz w:val="24"/>
        </w:rPr>
        <w:t>1，</w:t>
      </w:r>
      <w:r>
        <w:rPr>
          <w:rFonts w:hint="eastAsia" w:ascii="宋体" w:cs="宋体" w:hAnsiTheme="minorHAnsi"/>
          <w:color w:val="FF0000"/>
          <w:kern w:val="0"/>
          <w:sz w:val="24"/>
        </w:rPr>
        <w:t>图2</w:t>
      </w:r>
      <w:r>
        <w:rPr>
          <w:rFonts w:ascii="宋体" w:cs="宋体" w:hAnsiTheme="minorHAnsi"/>
          <w:color w:val="FF0000"/>
          <w:kern w:val="0"/>
          <w:sz w:val="24"/>
        </w:rPr>
        <w:t>.5-1</w:t>
      </w:r>
      <w:r>
        <w:rPr>
          <w:rFonts w:hint="eastAsia" w:ascii="宋体" w:cs="宋体" w:hAnsiTheme="minorHAnsi"/>
          <w:color w:val="FF0000"/>
          <w:kern w:val="0"/>
          <w:sz w:val="24"/>
        </w:rPr>
        <w:t>。</w:t>
      </w:r>
    </w:p>
    <w:p>
      <w:pPr>
        <w:jc w:val="center"/>
        <w:rPr>
          <w:rFonts w:ascii="宋体" w:cs="宋体" w:hAnsiTheme="minorHAnsi"/>
          <w:b/>
          <w:kern w:val="0"/>
          <w:szCs w:val="21"/>
        </w:rPr>
      </w:pPr>
      <w:r>
        <w:rPr>
          <w:rFonts w:hint="eastAsia" w:ascii="宋体" w:cs="宋体" w:hAnsiTheme="minorHAnsi"/>
          <w:b/>
          <w:kern w:val="0"/>
          <w:szCs w:val="21"/>
        </w:rPr>
        <w:t>表2.5-1地表水环境保护目标</w:t>
      </w:r>
    </w:p>
    <w:tbl>
      <w:tblPr>
        <w:tblStyle w:val="104"/>
        <w:tblW w:w="92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2025"/>
        <w:gridCol w:w="1094"/>
        <w:gridCol w:w="1275"/>
        <w:gridCol w:w="1134"/>
        <w:gridCol w:w="2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0" w:hRule="atLeast"/>
        </w:trPr>
        <w:tc>
          <w:tcPr>
            <w:tcW w:w="1384" w:type="dxa"/>
            <w:vAlign w:val="center"/>
          </w:tcPr>
          <w:p>
            <w:pPr>
              <w:pStyle w:val="175"/>
              <w:rPr>
                <w:sz w:val="21"/>
                <w:szCs w:val="21"/>
              </w:rPr>
            </w:pPr>
            <w:r>
              <w:rPr>
                <w:rFonts w:hint="eastAsia"/>
                <w:sz w:val="21"/>
                <w:szCs w:val="21"/>
              </w:rPr>
              <w:t>取水口名称</w:t>
            </w:r>
            <w:r>
              <w:rPr>
                <w:sz w:val="21"/>
                <w:szCs w:val="21"/>
              </w:rPr>
              <w:t xml:space="preserve"> </w:t>
            </w:r>
          </w:p>
        </w:tc>
        <w:tc>
          <w:tcPr>
            <w:tcW w:w="2025" w:type="dxa"/>
            <w:vAlign w:val="center"/>
          </w:tcPr>
          <w:p>
            <w:pPr>
              <w:pStyle w:val="175"/>
              <w:ind w:left="-107" w:leftChars="-51" w:right="-67" w:rightChars="-32"/>
              <w:rPr>
                <w:sz w:val="21"/>
                <w:szCs w:val="21"/>
              </w:rPr>
            </w:pPr>
            <w:r>
              <w:rPr>
                <w:rFonts w:hint="eastAsia"/>
                <w:sz w:val="21"/>
                <w:szCs w:val="21"/>
              </w:rPr>
              <w:t>与码头的距离</w:t>
            </w:r>
            <w:r>
              <w:rPr>
                <w:sz w:val="21"/>
                <w:szCs w:val="21"/>
              </w:rPr>
              <w:t xml:space="preserve"> </w:t>
            </w:r>
          </w:p>
        </w:tc>
        <w:tc>
          <w:tcPr>
            <w:tcW w:w="1094" w:type="dxa"/>
            <w:vAlign w:val="center"/>
          </w:tcPr>
          <w:p>
            <w:pPr>
              <w:pStyle w:val="175"/>
              <w:rPr>
                <w:sz w:val="21"/>
                <w:szCs w:val="21"/>
              </w:rPr>
            </w:pPr>
            <w:r>
              <w:rPr>
                <w:rFonts w:hint="eastAsia"/>
                <w:sz w:val="21"/>
                <w:szCs w:val="21"/>
              </w:rPr>
              <w:t>取水规模</w:t>
            </w:r>
          </w:p>
        </w:tc>
        <w:tc>
          <w:tcPr>
            <w:tcW w:w="1275" w:type="dxa"/>
            <w:vAlign w:val="center"/>
          </w:tcPr>
          <w:p>
            <w:pPr>
              <w:pStyle w:val="175"/>
              <w:rPr>
                <w:sz w:val="21"/>
                <w:szCs w:val="21"/>
              </w:rPr>
            </w:pPr>
            <w:r>
              <w:rPr>
                <w:rFonts w:hint="eastAsia"/>
                <w:sz w:val="21"/>
                <w:szCs w:val="21"/>
              </w:rPr>
              <w:t>用途</w:t>
            </w:r>
            <w:r>
              <w:rPr>
                <w:sz w:val="21"/>
                <w:szCs w:val="21"/>
              </w:rPr>
              <w:t xml:space="preserve"> </w:t>
            </w:r>
          </w:p>
        </w:tc>
        <w:tc>
          <w:tcPr>
            <w:tcW w:w="1134" w:type="dxa"/>
            <w:vAlign w:val="center"/>
          </w:tcPr>
          <w:p>
            <w:pPr>
              <w:pStyle w:val="175"/>
              <w:jc w:val="center"/>
              <w:rPr>
                <w:sz w:val="21"/>
                <w:szCs w:val="21"/>
              </w:rPr>
            </w:pPr>
            <w:r>
              <w:rPr>
                <w:rFonts w:hint="eastAsia"/>
                <w:sz w:val="21"/>
                <w:szCs w:val="21"/>
              </w:rPr>
              <w:t>备注</w:t>
            </w:r>
            <w:r>
              <w:rPr>
                <w:sz w:val="21"/>
                <w:szCs w:val="21"/>
              </w:rPr>
              <w:t xml:space="preserve"> </w:t>
            </w:r>
          </w:p>
        </w:tc>
        <w:tc>
          <w:tcPr>
            <w:tcW w:w="2311" w:type="dxa"/>
            <w:vAlign w:val="center"/>
          </w:tcPr>
          <w:p>
            <w:pPr>
              <w:pStyle w:val="175"/>
              <w:jc w:val="center"/>
              <w:rPr>
                <w:sz w:val="21"/>
                <w:szCs w:val="21"/>
              </w:rPr>
            </w:pPr>
            <w:r>
              <w:rPr>
                <w:rFonts w:hint="eastAsia"/>
                <w:sz w:val="21"/>
                <w:szCs w:val="21"/>
              </w:rPr>
              <w:t>保护区范围</w:t>
            </w:r>
            <w:r>
              <w:rPr>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 w:hRule="atLeast"/>
        </w:trPr>
        <w:tc>
          <w:tcPr>
            <w:tcW w:w="1384" w:type="dxa"/>
          </w:tcPr>
          <w:p>
            <w:pPr>
              <w:pStyle w:val="175"/>
              <w:rPr>
                <w:b/>
                <w:sz w:val="21"/>
                <w:szCs w:val="21"/>
              </w:rPr>
            </w:pPr>
            <w:r>
              <w:rPr>
                <w:rFonts w:hint="eastAsia"/>
                <w:b/>
                <w:sz w:val="21"/>
                <w:szCs w:val="21"/>
              </w:rPr>
              <w:t>白洋镇水厂取水口</w:t>
            </w:r>
            <w:r>
              <w:rPr>
                <w:b/>
                <w:sz w:val="21"/>
                <w:szCs w:val="21"/>
              </w:rPr>
              <w:t xml:space="preserve"> </w:t>
            </w:r>
          </w:p>
        </w:tc>
        <w:tc>
          <w:tcPr>
            <w:tcW w:w="2025" w:type="dxa"/>
            <w:vAlign w:val="center"/>
          </w:tcPr>
          <w:p>
            <w:pPr>
              <w:pStyle w:val="175"/>
              <w:ind w:left="-107" w:leftChars="-51" w:right="-67" w:rightChars="-32"/>
              <w:rPr>
                <w:sz w:val="21"/>
                <w:szCs w:val="21"/>
              </w:rPr>
            </w:pPr>
            <w:r>
              <w:rPr>
                <w:rFonts w:hint="eastAsia"/>
                <w:sz w:val="21"/>
                <w:szCs w:val="21"/>
              </w:rPr>
              <w:t>11#泊位下游1.5</w:t>
            </w:r>
            <w:r>
              <w:rPr>
                <w:sz w:val="21"/>
                <w:szCs w:val="21"/>
              </w:rPr>
              <w:t xml:space="preserve">km </w:t>
            </w:r>
          </w:p>
        </w:tc>
        <w:tc>
          <w:tcPr>
            <w:tcW w:w="1094" w:type="dxa"/>
            <w:vAlign w:val="center"/>
          </w:tcPr>
          <w:p>
            <w:pPr>
              <w:pStyle w:val="175"/>
              <w:ind w:right="-67" w:rightChars="-32"/>
              <w:rPr>
                <w:sz w:val="21"/>
                <w:szCs w:val="21"/>
              </w:rPr>
            </w:pPr>
            <w:r>
              <w:rPr>
                <w:sz w:val="21"/>
                <w:szCs w:val="21"/>
              </w:rPr>
              <w:t>0.5</w:t>
            </w:r>
            <w:r>
              <w:rPr>
                <w:rFonts w:hint="eastAsia"/>
                <w:sz w:val="21"/>
                <w:szCs w:val="21"/>
              </w:rPr>
              <w:t>万</w:t>
            </w:r>
            <w:r>
              <w:rPr>
                <w:sz w:val="21"/>
                <w:szCs w:val="21"/>
              </w:rPr>
              <w:t>t/d</w:t>
            </w:r>
          </w:p>
        </w:tc>
        <w:tc>
          <w:tcPr>
            <w:tcW w:w="1275" w:type="dxa"/>
            <w:vAlign w:val="center"/>
          </w:tcPr>
          <w:p>
            <w:pPr>
              <w:pStyle w:val="175"/>
              <w:rPr>
                <w:sz w:val="21"/>
                <w:szCs w:val="21"/>
              </w:rPr>
            </w:pPr>
            <w:r>
              <w:rPr>
                <w:rFonts w:hint="eastAsia"/>
                <w:sz w:val="21"/>
                <w:szCs w:val="21"/>
              </w:rPr>
              <w:t>生活用水</w:t>
            </w:r>
          </w:p>
        </w:tc>
        <w:tc>
          <w:tcPr>
            <w:tcW w:w="1134" w:type="dxa"/>
          </w:tcPr>
          <w:p>
            <w:pPr>
              <w:pStyle w:val="175"/>
              <w:jc w:val="center"/>
              <w:rPr>
                <w:sz w:val="21"/>
                <w:szCs w:val="21"/>
              </w:rPr>
            </w:pPr>
            <w:r>
              <w:rPr>
                <w:rFonts w:hint="eastAsia"/>
                <w:sz w:val="21"/>
                <w:szCs w:val="21"/>
              </w:rPr>
              <w:t>现有，规划取消</w:t>
            </w:r>
            <w:r>
              <w:rPr>
                <w:sz w:val="21"/>
                <w:szCs w:val="21"/>
              </w:rPr>
              <w:t xml:space="preserve"> </w:t>
            </w:r>
          </w:p>
        </w:tc>
        <w:tc>
          <w:tcPr>
            <w:tcW w:w="2311" w:type="dxa"/>
            <w:vMerge w:val="restart"/>
            <w:vAlign w:val="center"/>
          </w:tcPr>
          <w:p>
            <w:pPr>
              <w:pStyle w:val="175"/>
              <w:jc w:val="center"/>
              <w:rPr>
                <w:sz w:val="21"/>
                <w:szCs w:val="21"/>
              </w:rPr>
            </w:pPr>
            <w:r>
              <w:rPr>
                <w:rFonts w:hint="eastAsia"/>
                <w:sz w:val="21"/>
                <w:szCs w:val="21"/>
              </w:rPr>
              <w:t>一级：取水口上游</w:t>
            </w:r>
            <w:r>
              <w:rPr>
                <w:sz w:val="21"/>
                <w:szCs w:val="21"/>
              </w:rPr>
              <w:t xml:space="preserve"> 1000m</w:t>
            </w:r>
            <w:r>
              <w:rPr>
                <w:rFonts w:hint="eastAsia"/>
                <w:sz w:val="21"/>
                <w:szCs w:val="21"/>
              </w:rPr>
              <w:t>至下游</w:t>
            </w:r>
            <w:r>
              <w:rPr>
                <w:sz w:val="21"/>
                <w:szCs w:val="21"/>
              </w:rPr>
              <w:t>100m</w:t>
            </w:r>
            <w:r>
              <w:rPr>
                <w:rFonts w:hint="eastAsia"/>
                <w:sz w:val="21"/>
                <w:szCs w:val="21"/>
              </w:rPr>
              <w:t>；</w:t>
            </w:r>
            <w:r>
              <w:rPr>
                <w:sz w:val="21"/>
                <w:szCs w:val="21"/>
              </w:rPr>
              <w:t xml:space="preserve"> </w:t>
            </w:r>
            <w:r>
              <w:rPr>
                <w:rFonts w:hint="eastAsia"/>
                <w:sz w:val="21"/>
                <w:szCs w:val="21"/>
              </w:rPr>
              <w:t>二级：取水口上游</w:t>
            </w:r>
            <w:r>
              <w:rPr>
                <w:sz w:val="21"/>
                <w:szCs w:val="21"/>
              </w:rPr>
              <w:t xml:space="preserve"> 3000m</w:t>
            </w:r>
            <w:r>
              <w:rPr>
                <w:rFonts w:hint="eastAsia"/>
                <w:sz w:val="21"/>
                <w:szCs w:val="21"/>
              </w:rPr>
              <w:t>至下游</w:t>
            </w:r>
            <w:r>
              <w:rPr>
                <w:sz w:val="21"/>
                <w:szCs w:val="21"/>
              </w:rPr>
              <w:t xml:space="preserve">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 w:hRule="atLeast"/>
        </w:trPr>
        <w:tc>
          <w:tcPr>
            <w:tcW w:w="1384" w:type="dxa"/>
          </w:tcPr>
          <w:p>
            <w:pPr>
              <w:pStyle w:val="175"/>
              <w:rPr>
                <w:sz w:val="21"/>
                <w:szCs w:val="21"/>
              </w:rPr>
            </w:pPr>
            <w:r>
              <w:rPr>
                <w:rFonts w:hint="eastAsia"/>
                <w:sz w:val="21"/>
                <w:szCs w:val="21"/>
              </w:rPr>
              <w:t>田家河水厂取水口</w:t>
            </w:r>
            <w:r>
              <w:rPr>
                <w:sz w:val="21"/>
                <w:szCs w:val="21"/>
              </w:rPr>
              <w:t xml:space="preserve"> </w:t>
            </w:r>
          </w:p>
        </w:tc>
        <w:tc>
          <w:tcPr>
            <w:tcW w:w="2025" w:type="dxa"/>
            <w:vAlign w:val="center"/>
          </w:tcPr>
          <w:p>
            <w:pPr>
              <w:pStyle w:val="175"/>
              <w:ind w:left="-107" w:leftChars="-51" w:right="-67" w:rightChars="-32"/>
              <w:rPr>
                <w:sz w:val="21"/>
                <w:szCs w:val="21"/>
              </w:rPr>
            </w:pPr>
            <w:r>
              <w:rPr>
                <w:rFonts w:hint="eastAsia"/>
                <w:sz w:val="21"/>
                <w:szCs w:val="21"/>
              </w:rPr>
              <w:t>11#泊位下游3</w:t>
            </w:r>
            <w:r>
              <w:rPr>
                <w:sz w:val="21"/>
                <w:szCs w:val="21"/>
              </w:rPr>
              <w:t>.</w:t>
            </w:r>
            <w:r>
              <w:rPr>
                <w:rFonts w:hint="eastAsia"/>
                <w:sz w:val="21"/>
                <w:szCs w:val="21"/>
              </w:rPr>
              <w:t>8</w:t>
            </w:r>
            <w:r>
              <w:rPr>
                <w:sz w:val="21"/>
                <w:szCs w:val="21"/>
              </w:rPr>
              <w:t xml:space="preserve">km </w:t>
            </w:r>
          </w:p>
        </w:tc>
        <w:tc>
          <w:tcPr>
            <w:tcW w:w="1094" w:type="dxa"/>
            <w:vAlign w:val="center"/>
          </w:tcPr>
          <w:p>
            <w:pPr>
              <w:pStyle w:val="175"/>
              <w:ind w:right="-67" w:rightChars="-32"/>
              <w:rPr>
                <w:sz w:val="21"/>
                <w:szCs w:val="21"/>
              </w:rPr>
            </w:pPr>
            <w:r>
              <w:rPr>
                <w:sz w:val="21"/>
                <w:szCs w:val="21"/>
              </w:rPr>
              <w:t>25</w:t>
            </w:r>
            <w:r>
              <w:rPr>
                <w:rFonts w:hint="eastAsia"/>
                <w:sz w:val="21"/>
                <w:szCs w:val="21"/>
              </w:rPr>
              <w:t>万</w:t>
            </w:r>
            <w:r>
              <w:rPr>
                <w:sz w:val="21"/>
                <w:szCs w:val="21"/>
              </w:rPr>
              <w:t>t/d</w:t>
            </w:r>
          </w:p>
        </w:tc>
        <w:tc>
          <w:tcPr>
            <w:tcW w:w="1275" w:type="dxa"/>
          </w:tcPr>
          <w:p>
            <w:pPr>
              <w:pStyle w:val="175"/>
              <w:rPr>
                <w:sz w:val="21"/>
                <w:szCs w:val="21"/>
              </w:rPr>
            </w:pPr>
            <w:r>
              <w:rPr>
                <w:rFonts w:hint="eastAsia"/>
                <w:sz w:val="21"/>
                <w:szCs w:val="21"/>
              </w:rPr>
              <w:t>生活、工业用水</w:t>
            </w:r>
            <w:r>
              <w:rPr>
                <w:sz w:val="21"/>
                <w:szCs w:val="21"/>
              </w:rPr>
              <w:t xml:space="preserve"> </w:t>
            </w:r>
          </w:p>
        </w:tc>
        <w:tc>
          <w:tcPr>
            <w:tcW w:w="1134" w:type="dxa"/>
            <w:vAlign w:val="center"/>
          </w:tcPr>
          <w:p>
            <w:pPr>
              <w:pStyle w:val="175"/>
              <w:jc w:val="center"/>
              <w:rPr>
                <w:sz w:val="21"/>
                <w:szCs w:val="21"/>
              </w:rPr>
            </w:pPr>
            <w:r>
              <w:rPr>
                <w:rFonts w:hint="eastAsia"/>
                <w:sz w:val="21"/>
                <w:szCs w:val="21"/>
              </w:rPr>
              <w:t>规划</w:t>
            </w:r>
            <w:r>
              <w:rPr>
                <w:sz w:val="21"/>
                <w:szCs w:val="21"/>
              </w:rPr>
              <w:t xml:space="preserve"> </w:t>
            </w:r>
          </w:p>
        </w:tc>
        <w:tc>
          <w:tcPr>
            <w:tcW w:w="2311" w:type="dxa"/>
            <w:vMerge w:val="continue"/>
            <w:vAlign w:val="center"/>
          </w:tcPr>
          <w:p>
            <w:pPr>
              <w:pStyle w:val="175"/>
              <w:jc w:val="center"/>
              <w:rPr>
                <w:rFonts w:cstheme="minorBidi"/>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trPr>
        <w:tc>
          <w:tcPr>
            <w:tcW w:w="1384" w:type="dxa"/>
          </w:tcPr>
          <w:p>
            <w:pPr>
              <w:pStyle w:val="175"/>
              <w:rPr>
                <w:sz w:val="21"/>
                <w:szCs w:val="21"/>
              </w:rPr>
            </w:pPr>
            <w:r>
              <w:rPr>
                <w:rFonts w:hint="eastAsia"/>
                <w:sz w:val="21"/>
                <w:szCs w:val="21"/>
              </w:rPr>
              <w:t>陆城二水厂取水口</w:t>
            </w:r>
            <w:r>
              <w:rPr>
                <w:sz w:val="21"/>
                <w:szCs w:val="21"/>
              </w:rPr>
              <w:t xml:space="preserve"> </w:t>
            </w:r>
          </w:p>
        </w:tc>
        <w:tc>
          <w:tcPr>
            <w:tcW w:w="2025" w:type="dxa"/>
            <w:vAlign w:val="center"/>
          </w:tcPr>
          <w:p>
            <w:pPr>
              <w:pStyle w:val="175"/>
              <w:ind w:left="-107" w:leftChars="-51" w:right="-67" w:rightChars="-32"/>
              <w:rPr>
                <w:sz w:val="21"/>
                <w:szCs w:val="21"/>
              </w:rPr>
            </w:pPr>
            <w:r>
              <w:rPr>
                <w:rFonts w:hint="eastAsia"/>
                <w:sz w:val="21"/>
                <w:szCs w:val="21"/>
              </w:rPr>
              <w:t>12#泊位上游1.8</w:t>
            </w:r>
            <w:r>
              <w:rPr>
                <w:sz w:val="21"/>
                <w:szCs w:val="21"/>
              </w:rPr>
              <w:t xml:space="preserve">km </w:t>
            </w:r>
          </w:p>
        </w:tc>
        <w:tc>
          <w:tcPr>
            <w:tcW w:w="1094" w:type="dxa"/>
            <w:vAlign w:val="center"/>
          </w:tcPr>
          <w:p>
            <w:pPr>
              <w:pStyle w:val="175"/>
              <w:ind w:right="-67" w:rightChars="-32"/>
              <w:rPr>
                <w:sz w:val="21"/>
                <w:szCs w:val="21"/>
              </w:rPr>
            </w:pPr>
            <w:r>
              <w:rPr>
                <w:sz w:val="21"/>
                <w:szCs w:val="21"/>
              </w:rPr>
              <w:t>2.5</w:t>
            </w:r>
            <w:r>
              <w:rPr>
                <w:rFonts w:hint="eastAsia"/>
                <w:sz w:val="21"/>
                <w:szCs w:val="21"/>
              </w:rPr>
              <w:t>万</w:t>
            </w:r>
            <w:r>
              <w:rPr>
                <w:sz w:val="21"/>
                <w:szCs w:val="21"/>
              </w:rPr>
              <w:t>t/d</w:t>
            </w:r>
          </w:p>
        </w:tc>
        <w:tc>
          <w:tcPr>
            <w:tcW w:w="1275" w:type="dxa"/>
            <w:vAlign w:val="center"/>
          </w:tcPr>
          <w:p>
            <w:pPr>
              <w:pStyle w:val="175"/>
              <w:rPr>
                <w:sz w:val="21"/>
                <w:szCs w:val="21"/>
              </w:rPr>
            </w:pPr>
            <w:r>
              <w:rPr>
                <w:rFonts w:hint="eastAsia"/>
                <w:sz w:val="21"/>
                <w:szCs w:val="21"/>
              </w:rPr>
              <w:t>生活用水</w:t>
            </w:r>
          </w:p>
        </w:tc>
        <w:tc>
          <w:tcPr>
            <w:tcW w:w="1134" w:type="dxa"/>
            <w:vAlign w:val="center"/>
          </w:tcPr>
          <w:p>
            <w:pPr>
              <w:pStyle w:val="175"/>
              <w:jc w:val="center"/>
              <w:rPr>
                <w:sz w:val="21"/>
                <w:szCs w:val="21"/>
              </w:rPr>
            </w:pPr>
            <w:r>
              <w:rPr>
                <w:rFonts w:hint="eastAsia"/>
                <w:sz w:val="21"/>
                <w:szCs w:val="21"/>
              </w:rPr>
              <w:t>现有</w:t>
            </w:r>
            <w:r>
              <w:rPr>
                <w:sz w:val="21"/>
                <w:szCs w:val="21"/>
              </w:rPr>
              <w:t xml:space="preserve"> </w:t>
            </w:r>
          </w:p>
        </w:tc>
        <w:tc>
          <w:tcPr>
            <w:tcW w:w="2311" w:type="dxa"/>
            <w:vMerge w:val="continue"/>
            <w:vAlign w:val="center"/>
          </w:tcPr>
          <w:p>
            <w:pPr>
              <w:pStyle w:val="175"/>
              <w:jc w:val="center"/>
              <w:rPr>
                <w:rFonts w:cstheme="minorBidi"/>
                <w:color w:val="auto"/>
              </w:rPr>
            </w:pPr>
          </w:p>
        </w:tc>
      </w:tr>
    </w:tbl>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hAnsi="Calibri" w:cs="宋体"/>
          <w:kern w:val="0"/>
          <w:sz w:val="24"/>
        </w:rPr>
        <w:t>程位于现有白洋镇水厂二级水源地保护区范围内。根据《宜昌高新区白洋工业园建设管理办公室关于白洋港区及物流园区配套工程建设的说明》，白洋水厂于</w:t>
      </w:r>
      <w:r>
        <w:rPr>
          <w:rFonts w:ascii="宋体" w:hAnsi="Calibri" w:cs="宋体"/>
          <w:kern w:val="0"/>
          <w:sz w:val="24"/>
        </w:rPr>
        <w:t xml:space="preserve">2011 </w:t>
      </w:r>
      <w:r>
        <w:rPr>
          <w:rFonts w:hint="eastAsia" w:ascii="宋体" w:hAnsi="Calibri" w:cs="宋体"/>
          <w:kern w:val="0"/>
          <w:sz w:val="24"/>
        </w:rPr>
        <w:t>年</w:t>
      </w:r>
      <w:r>
        <w:rPr>
          <w:rFonts w:ascii="宋体" w:hAnsi="Calibri" w:cs="宋体"/>
          <w:kern w:val="0"/>
          <w:sz w:val="24"/>
        </w:rPr>
        <w:t xml:space="preserve">12 </w:t>
      </w:r>
      <w:r>
        <w:rPr>
          <w:rFonts w:hint="eastAsia" w:ascii="宋体" w:hAnsi="Calibri" w:cs="宋体"/>
          <w:kern w:val="0"/>
          <w:sz w:val="24"/>
        </w:rPr>
        <w:t>月前取消长江备用水源，实行白洋水厂和猇亭水厂并网运行，当前已经并网运行（现有取水口作为备用）</w:t>
      </w:r>
      <w:r>
        <w:rPr>
          <w:rFonts w:hint="eastAsia" w:ascii="宋体" w:cs="宋体" w:hAnsiTheme="minorHAnsi"/>
          <w:kern w:val="0"/>
          <w:sz w:val="24"/>
        </w:rPr>
        <w:t>。</w:t>
      </w:r>
    </w:p>
    <w:p>
      <w:pPr>
        <w:pStyle w:val="5"/>
        <w:tabs>
          <w:tab w:val="left" w:pos="567"/>
        </w:tabs>
        <w:spacing w:before="62" w:beforeLines="20" w:afterLines="0" w:line="360" w:lineRule="auto"/>
        <w:ind w:left="0" w:firstLine="0"/>
        <w:rPr>
          <w:rFonts w:ascii="宋体" w:cs="宋体" w:hAnsiTheme="minorHAnsi"/>
          <w:kern w:val="0"/>
        </w:rPr>
      </w:pPr>
      <w:r>
        <w:rPr>
          <w:rFonts w:ascii="宋体" w:cs="宋体" w:hAnsiTheme="minorHAnsi"/>
          <w:kern w:val="0"/>
        </w:rPr>
        <w:t xml:space="preserve"> </w:t>
      </w:r>
      <w:bookmarkStart w:id="89" w:name="_Toc442195680"/>
      <w:r>
        <w:rPr>
          <w:rFonts w:hint="eastAsia" w:ascii="宋体" w:cs="宋体" w:hAnsiTheme="minorHAnsi"/>
          <w:kern w:val="0"/>
        </w:rPr>
        <w:t>大气环境、声环境保护目标</w:t>
      </w:r>
      <w:bookmarkEnd w:id="89"/>
    </w:p>
    <w:p>
      <w:pPr>
        <w:autoSpaceDE w:val="0"/>
        <w:autoSpaceDN w:val="0"/>
        <w:adjustRightInd w:val="0"/>
        <w:spacing w:line="360" w:lineRule="auto"/>
        <w:ind w:firstLine="567"/>
        <w:jc w:val="left"/>
        <w:rPr>
          <w:rFonts w:ascii="宋体" w:cs="宋体" w:hAnsiTheme="minorHAnsi"/>
          <w:kern w:val="0"/>
          <w:sz w:val="24"/>
        </w:rPr>
      </w:pPr>
      <w:r>
        <w:rPr>
          <w:rFonts w:hint="eastAsia" w:ascii="宋体" w:cs="宋体" w:hAnsiTheme="minorHAnsi"/>
          <w:kern w:val="0"/>
          <w:sz w:val="24"/>
        </w:rPr>
        <w:t>拟建项目红线范围内有垭子山村和桂溪湖村部分村民，属于本工程征地拆迁范围，评价将征地红线外，半径</w:t>
      </w:r>
      <w:r>
        <w:rPr>
          <w:rFonts w:ascii="TimesNewRomanPSMT" w:hAnsi="TimesNewRomanPSMT" w:cs="TimesNewRomanPSMT"/>
          <w:kern w:val="0"/>
          <w:sz w:val="24"/>
        </w:rPr>
        <w:t xml:space="preserve">2500m </w:t>
      </w:r>
      <w:r>
        <w:rPr>
          <w:rFonts w:hint="eastAsia" w:ascii="宋体" w:cs="宋体" w:hAnsiTheme="minorHAnsi"/>
          <w:kern w:val="0"/>
          <w:sz w:val="24"/>
        </w:rPr>
        <w:t>范围内的白洋镇、桂溪湖村、垭子山村、万福垴村村民住宅作为大气环境和声环境敏感点。</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拟建码头大气环境、声环境敏感目标见表</w:t>
      </w:r>
      <w:r>
        <w:rPr>
          <w:rFonts w:hint="eastAsia" w:ascii="TimesNewRomanPSMT" w:hAnsi="TimesNewRomanPSMT" w:cs="TimesNewRomanPSMT"/>
          <w:kern w:val="0"/>
          <w:sz w:val="24"/>
        </w:rPr>
        <w:t>2</w:t>
      </w:r>
      <w:r>
        <w:rPr>
          <w:rFonts w:ascii="TimesNewRomanPSMT" w:hAnsi="TimesNewRomanPSMT" w:cs="TimesNewRomanPSMT"/>
          <w:kern w:val="0"/>
          <w:sz w:val="24"/>
        </w:rPr>
        <w:t>.</w:t>
      </w:r>
      <w:r>
        <w:rPr>
          <w:rFonts w:hint="eastAsia" w:ascii="TimesNewRomanPSMT" w:hAnsi="TimesNewRomanPSMT" w:cs="TimesNewRomanPSMT"/>
          <w:kern w:val="0"/>
          <w:sz w:val="24"/>
        </w:rPr>
        <w:t>5</w:t>
      </w:r>
      <w:r>
        <w:rPr>
          <w:rFonts w:ascii="TimesNewRomanPSMT" w:hAnsi="TimesNewRomanPSMT" w:cs="TimesNewRomanPSMT"/>
          <w:kern w:val="0"/>
          <w:sz w:val="24"/>
        </w:rPr>
        <w:t>-</w:t>
      </w:r>
      <w:r>
        <w:rPr>
          <w:rFonts w:hint="eastAsia" w:ascii="TimesNewRomanPSMT" w:hAnsi="TimesNewRomanPSMT" w:cs="TimesNewRomanPSMT"/>
          <w:kern w:val="0"/>
          <w:sz w:val="24"/>
        </w:rPr>
        <w:t>2</w:t>
      </w:r>
      <w:r>
        <w:rPr>
          <w:rFonts w:ascii="TimesNewRomanPSMT" w:hAnsi="TimesNewRomanPSMT" w:cs="TimesNewRomanPSMT"/>
          <w:kern w:val="0"/>
          <w:sz w:val="24"/>
        </w:rPr>
        <w:t xml:space="preserve"> </w:t>
      </w:r>
      <w:r>
        <w:rPr>
          <w:rFonts w:hint="eastAsia" w:ascii="宋体" w:cs="宋体" w:hAnsiTheme="minorHAnsi"/>
          <w:color w:val="FF0000"/>
          <w:kern w:val="0"/>
          <w:sz w:val="24"/>
        </w:rPr>
        <w:t>和图</w:t>
      </w:r>
      <w:r>
        <w:rPr>
          <w:rFonts w:hint="eastAsia" w:ascii="TimesNewRomanPSMT" w:hAnsi="TimesNewRomanPSMT" w:cs="TimesNewRomanPSMT"/>
          <w:color w:val="FF0000"/>
          <w:kern w:val="0"/>
          <w:sz w:val="24"/>
        </w:rPr>
        <w:t>2</w:t>
      </w:r>
      <w:r>
        <w:rPr>
          <w:rFonts w:ascii="TimesNewRomanPSMT" w:hAnsi="TimesNewRomanPSMT" w:cs="TimesNewRomanPSMT"/>
          <w:color w:val="FF0000"/>
          <w:kern w:val="0"/>
          <w:sz w:val="24"/>
        </w:rPr>
        <w:t>.5-</w:t>
      </w:r>
      <w:r>
        <w:rPr>
          <w:rFonts w:hint="eastAsia" w:ascii="TimesNewRomanPSMT" w:hAnsi="TimesNewRomanPSMT" w:cs="TimesNewRomanPSMT"/>
          <w:color w:val="FF0000"/>
          <w:kern w:val="0"/>
          <w:sz w:val="24"/>
        </w:rPr>
        <w:t>2</w:t>
      </w:r>
      <w:r>
        <w:rPr>
          <w:rFonts w:hint="eastAsia" w:ascii="宋体" w:cs="宋体" w:hAnsiTheme="minorHAnsi"/>
          <w:kern w:val="0"/>
          <w:sz w:val="24"/>
        </w:rPr>
        <w:t>。</w:t>
      </w:r>
    </w:p>
    <w:p>
      <w:pPr>
        <w:autoSpaceDE w:val="0"/>
        <w:autoSpaceDN w:val="0"/>
        <w:adjustRightInd w:val="0"/>
        <w:spacing w:line="360" w:lineRule="auto"/>
        <w:ind w:firstLine="422" w:firstLineChars="200"/>
        <w:jc w:val="center"/>
        <w:rPr>
          <w:rFonts w:ascii="宋体" w:cs="宋体" w:hAnsiTheme="minorHAnsi"/>
          <w:b/>
          <w:kern w:val="0"/>
          <w:szCs w:val="21"/>
        </w:rPr>
      </w:pPr>
      <w:r>
        <w:rPr>
          <w:rFonts w:hint="eastAsia" w:ascii="宋体" w:cs="宋体" w:hAnsiTheme="minorHAnsi"/>
          <w:b/>
          <w:kern w:val="0"/>
          <w:szCs w:val="21"/>
        </w:rPr>
        <w:t>表</w:t>
      </w:r>
      <w:r>
        <w:rPr>
          <w:rFonts w:hint="eastAsia"/>
          <w:b/>
          <w:bCs/>
          <w:kern w:val="0"/>
          <w:szCs w:val="21"/>
        </w:rPr>
        <w:t>2</w:t>
      </w:r>
      <w:r>
        <w:rPr>
          <w:b/>
          <w:bCs/>
          <w:kern w:val="0"/>
          <w:szCs w:val="21"/>
        </w:rPr>
        <w:t>.</w:t>
      </w:r>
      <w:r>
        <w:rPr>
          <w:rFonts w:hint="eastAsia"/>
          <w:b/>
          <w:bCs/>
          <w:kern w:val="0"/>
          <w:szCs w:val="21"/>
        </w:rPr>
        <w:t>5</w:t>
      </w:r>
      <w:r>
        <w:rPr>
          <w:b/>
          <w:bCs/>
          <w:kern w:val="0"/>
          <w:szCs w:val="21"/>
        </w:rPr>
        <w:t>-</w:t>
      </w:r>
      <w:r>
        <w:rPr>
          <w:rFonts w:hint="eastAsia"/>
          <w:b/>
          <w:bCs/>
          <w:kern w:val="0"/>
          <w:szCs w:val="21"/>
        </w:rPr>
        <w:t>2</w:t>
      </w:r>
      <w:r>
        <w:rPr>
          <w:b/>
          <w:bCs/>
          <w:kern w:val="0"/>
          <w:szCs w:val="21"/>
        </w:rPr>
        <w:t xml:space="preserve"> </w:t>
      </w:r>
      <w:r>
        <w:rPr>
          <w:rFonts w:hint="eastAsia" w:ascii="宋体" w:cs="宋体" w:hAnsiTheme="minorHAnsi"/>
          <w:b/>
          <w:kern w:val="0"/>
          <w:szCs w:val="21"/>
        </w:rPr>
        <w:t>环境敏感目标一览表</w:t>
      </w:r>
    </w:p>
    <w:tbl>
      <w:tblPr>
        <w:tblStyle w:val="104"/>
        <w:tblW w:w="8379"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8"/>
        <w:gridCol w:w="1781"/>
        <w:gridCol w:w="2538"/>
        <w:gridCol w:w="25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环境</w:t>
            </w: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环境保护目标</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规模</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与工程相对方位</w:t>
            </w:r>
          </w:p>
        </w:tc>
        <w:tc>
          <w:tcPr>
            <w:tcW w:w="8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restart"/>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声环境</w:t>
            </w: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白洋镇桂溪湖村</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居民 10户约 30人（2～3层砖混结构房屋为主）</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位于本工程港区西侧，距离港区西侧围墙最近距离约 50m。</w:t>
            </w:r>
          </w:p>
        </w:tc>
        <w:tc>
          <w:tcPr>
            <w:tcW w:w="8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拆迁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continue"/>
            <w:shd w:val="clear" w:color="auto" w:fill="auto"/>
            <w:vAlign w:val="center"/>
          </w:tcPr>
          <w:p>
            <w:pPr>
              <w:widowControl/>
              <w:jc w:val="left"/>
              <w:rPr>
                <w:rFonts w:ascii="宋体" w:hAnsi="宋体" w:cs="宋体"/>
                <w:color w:val="000000"/>
                <w:kern w:val="0"/>
                <w:sz w:val="22"/>
                <w:szCs w:val="22"/>
              </w:rPr>
            </w:pPr>
          </w:p>
        </w:tc>
        <w:tc>
          <w:tcPr>
            <w:tcW w:w="1781" w:type="dxa"/>
            <w:shd w:val="clear" w:color="auto" w:fill="auto"/>
          </w:tcPr>
          <w:p>
            <w:pPr/>
            <w:r>
              <w:rPr>
                <w:rFonts w:hint="eastAsia"/>
              </w:rPr>
              <w:t>白洋镇垭子山村</w:t>
            </w:r>
          </w:p>
        </w:tc>
        <w:tc>
          <w:tcPr>
            <w:tcW w:w="2538" w:type="dxa"/>
            <w:shd w:val="clear" w:color="auto" w:fill="auto"/>
          </w:tcPr>
          <w:p>
            <w:pPr/>
            <w:r>
              <w:rPr>
                <w:rFonts w:hint="eastAsia"/>
              </w:rPr>
              <w:t>居民 500户约 1670人（2～3层砖混结构房屋为主）</w:t>
            </w:r>
          </w:p>
        </w:tc>
        <w:tc>
          <w:tcPr>
            <w:tcW w:w="2551" w:type="dxa"/>
            <w:shd w:val="clear" w:color="auto" w:fill="auto"/>
          </w:tcPr>
          <w:p>
            <w:pPr/>
            <w:r>
              <w:rPr>
                <w:rFonts w:hint="eastAsia"/>
              </w:rPr>
              <w:t>位于本工程港区北侧，距离港区北侧围墙最近距离约 60m。</w:t>
            </w:r>
          </w:p>
        </w:tc>
        <w:tc>
          <w:tcPr>
            <w:tcW w:w="851" w:type="dxa"/>
            <w:shd w:val="clear" w:color="auto" w:fill="auto"/>
          </w:tcPr>
          <w:p>
            <w:pPr/>
            <w:r>
              <w:rPr>
                <w:rFonts w:hint="eastAsia"/>
              </w:rPr>
              <w:t>部分拆迁，剩余200户不拆迁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restart"/>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大气环境</w:t>
            </w: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白洋镇</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居民 300户约 980人（2～3层砖混结构房屋为主）</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位于本工程港区东侧，距离项目边界最近处 1.30km。</w:t>
            </w:r>
          </w:p>
        </w:tc>
        <w:tc>
          <w:tcPr>
            <w:tcW w:w="851" w:type="dxa"/>
            <w:shd w:val="clear" w:color="auto" w:fill="auto"/>
            <w:vAlign w:val="center"/>
          </w:tcPr>
          <w:p>
            <w:pPr>
              <w:widowControl/>
              <w:jc w:val="left"/>
              <w:rPr>
                <w:rFonts w:ascii="宋体" w:hAnsi="宋体" w:cs="宋体"/>
                <w:color w:val="000000"/>
                <w:kern w:val="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continue"/>
            <w:shd w:val="clear" w:color="auto" w:fill="auto"/>
            <w:vAlign w:val="center"/>
          </w:tcPr>
          <w:p>
            <w:pPr>
              <w:widowControl/>
              <w:jc w:val="left"/>
              <w:rPr>
                <w:rFonts w:ascii="宋体" w:hAnsi="宋体" w:cs="宋体"/>
                <w:color w:val="000000"/>
                <w:kern w:val="0"/>
                <w:sz w:val="22"/>
                <w:szCs w:val="22"/>
              </w:rPr>
            </w:pP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白洋镇桂溪湖村</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居民 600户约2089人（2～3层砖混结构房屋为主）</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位于本工程区域内。</w:t>
            </w:r>
          </w:p>
        </w:tc>
        <w:tc>
          <w:tcPr>
            <w:tcW w:w="8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规划拆迁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continue"/>
            <w:shd w:val="clear" w:color="auto" w:fill="auto"/>
            <w:vAlign w:val="center"/>
          </w:tcPr>
          <w:p>
            <w:pPr>
              <w:widowControl/>
              <w:jc w:val="left"/>
              <w:rPr>
                <w:rFonts w:ascii="宋体" w:hAnsi="宋体" w:cs="宋体"/>
                <w:color w:val="000000"/>
                <w:kern w:val="0"/>
                <w:sz w:val="22"/>
                <w:szCs w:val="22"/>
              </w:rPr>
            </w:pP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白洋镇垭子山村</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居民 500户约 1670人（2～3层砖混结构房屋为主）</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位于本工程港区北侧，距离港区北侧围墙最近距离约 60m。</w:t>
            </w:r>
          </w:p>
        </w:tc>
        <w:tc>
          <w:tcPr>
            <w:tcW w:w="8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部分拆迁，剩余200户不拆迁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658" w:type="dxa"/>
            <w:vMerge w:val="continue"/>
            <w:shd w:val="clear" w:color="auto" w:fill="auto"/>
            <w:vAlign w:val="center"/>
          </w:tcPr>
          <w:p>
            <w:pPr>
              <w:widowControl/>
              <w:jc w:val="left"/>
              <w:rPr>
                <w:rFonts w:ascii="宋体" w:hAnsi="宋体" w:cs="宋体"/>
                <w:color w:val="000000"/>
                <w:kern w:val="0"/>
                <w:sz w:val="22"/>
                <w:szCs w:val="22"/>
              </w:rPr>
            </w:pPr>
          </w:p>
        </w:tc>
        <w:tc>
          <w:tcPr>
            <w:tcW w:w="178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白洋镇万福垴村</w:t>
            </w:r>
          </w:p>
        </w:tc>
        <w:tc>
          <w:tcPr>
            <w:tcW w:w="2538"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居民 700户约 2547人（2～3层砖混结构房屋为主）</w:t>
            </w:r>
          </w:p>
        </w:tc>
        <w:tc>
          <w:tcPr>
            <w:tcW w:w="2551" w:type="dxa"/>
            <w:shd w:val="clear" w:color="auto" w:fill="auto"/>
            <w:vAlign w:val="center"/>
          </w:tcPr>
          <w:p>
            <w:pPr>
              <w:widowControl/>
              <w:jc w:val="left"/>
              <w:rPr>
                <w:rFonts w:ascii="宋体" w:hAnsi="宋体" w:cs="宋体"/>
                <w:color w:val="000000"/>
                <w:kern w:val="0"/>
                <w:sz w:val="22"/>
                <w:szCs w:val="22"/>
              </w:rPr>
            </w:pPr>
            <w:r>
              <w:rPr>
                <w:rFonts w:hint="eastAsia" w:ascii="宋体" w:hAnsi="宋体" w:cs="宋体"/>
                <w:color w:val="000000"/>
                <w:kern w:val="0"/>
                <w:sz w:val="22"/>
                <w:szCs w:val="22"/>
              </w:rPr>
              <w:t>位于本工程港区西侧，距离港区西侧围墙最近距离约 1.00km。</w:t>
            </w:r>
          </w:p>
        </w:tc>
        <w:tc>
          <w:tcPr>
            <w:tcW w:w="851" w:type="dxa"/>
            <w:shd w:val="clear" w:color="auto" w:fill="auto"/>
            <w:vAlign w:val="center"/>
          </w:tcPr>
          <w:p>
            <w:pPr>
              <w:widowControl/>
              <w:jc w:val="left"/>
              <w:rPr>
                <w:rFonts w:ascii="宋体" w:hAnsi="宋体" w:cs="宋体"/>
                <w:b/>
                <w:color w:val="000000"/>
                <w:kern w:val="0"/>
                <w:sz w:val="22"/>
                <w:szCs w:val="22"/>
              </w:rPr>
            </w:pPr>
          </w:p>
        </w:tc>
      </w:tr>
    </w:tbl>
    <w:p>
      <w:pPr>
        <w:pStyle w:val="5"/>
        <w:tabs>
          <w:tab w:val="left" w:pos="567"/>
        </w:tabs>
        <w:spacing w:before="62" w:beforeLines="20" w:afterLines="0" w:line="360" w:lineRule="auto"/>
        <w:ind w:left="0" w:firstLine="0"/>
        <w:rPr>
          <w:rFonts w:ascii="宋体" w:cs="宋体" w:hAnsiTheme="minorHAnsi"/>
          <w:kern w:val="0"/>
        </w:rPr>
      </w:pPr>
      <w:bookmarkStart w:id="90" w:name="_Toc442195681"/>
      <w:r>
        <w:rPr>
          <w:rFonts w:hint="eastAsia" w:ascii="宋体" w:cs="宋体" w:hAnsiTheme="minorHAnsi"/>
          <w:kern w:val="0"/>
        </w:rPr>
        <w:t>生态保护目标</w:t>
      </w:r>
      <w:bookmarkEnd w:id="90"/>
    </w:p>
    <w:p>
      <w:pPr>
        <w:autoSpaceDE w:val="0"/>
        <w:autoSpaceDN w:val="0"/>
        <w:adjustRightInd w:val="0"/>
        <w:spacing w:line="360" w:lineRule="auto"/>
        <w:ind w:firstLine="480" w:firstLineChars="200"/>
        <w:jc w:val="left"/>
        <w:rPr>
          <w:rFonts w:ascii="宋体" w:cs="宋体" w:hAnsiTheme="minorHAnsi"/>
          <w:color w:val="0070C0"/>
          <w:kern w:val="0"/>
          <w:sz w:val="24"/>
        </w:rPr>
        <w:sectPr>
          <w:headerReference r:id="rId8" w:type="default"/>
          <w:pgSz w:w="11906" w:h="16838"/>
          <w:pgMar w:top="1440" w:right="1274" w:bottom="1440" w:left="1800" w:header="851" w:footer="992" w:gutter="0"/>
          <w:cols w:space="425" w:num="1"/>
          <w:docGrid w:type="lines" w:linePitch="312" w:charSpace="0"/>
        </w:sectPr>
      </w:pPr>
      <w:r>
        <w:rPr>
          <w:rFonts w:hint="eastAsia" w:ascii="宋体" w:cs="宋体" w:hAnsiTheme="minorHAnsi"/>
          <w:color w:val="0070C0"/>
          <w:kern w:val="0"/>
          <w:sz w:val="24"/>
        </w:rPr>
        <w:t>据调查，本工程工程的码头位于长江湖北宜昌中华鲟自然保护区的试验区，生态保护目标为长江湖北宜昌中华鲟自然保护区。具体见</w:t>
      </w:r>
      <w:r>
        <w:rPr>
          <w:rFonts w:hint="eastAsia" w:ascii="TimesNewRomanPSMT" w:hAnsi="TimesNewRomanPSMT" w:cs="TimesNewRomanPSMT"/>
          <w:color w:val="0070C0"/>
          <w:kern w:val="0"/>
          <w:sz w:val="24"/>
        </w:rPr>
        <w:t>2</w:t>
      </w:r>
      <w:r>
        <w:rPr>
          <w:rFonts w:ascii="TimesNewRomanPSMT" w:hAnsi="TimesNewRomanPSMT" w:cs="TimesNewRomanPSMT"/>
          <w:color w:val="0070C0"/>
          <w:kern w:val="0"/>
          <w:sz w:val="24"/>
        </w:rPr>
        <w:t>.</w:t>
      </w:r>
      <w:r>
        <w:rPr>
          <w:rFonts w:hint="eastAsia" w:ascii="TimesNewRomanPSMT" w:hAnsi="TimesNewRomanPSMT" w:cs="TimesNewRomanPSMT"/>
          <w:color w:val="0070C0"/>
          <w:kern w:val="0"/>
          <w:sz w:val="24"/>
        </w:rPr>
        <w:t>5</w:t>
      </w:r>
      <w:r>
        <w:rPr>
          <w:rFonts w:ascii="TimesNewRomanPSMT" w:hAnsi="TimesNewRomanPSMT" w:cs="TimesNewRomanPSMT"/>
          <w:color w:val="0070C0"/>
          <w:kern w:val="0"/>
          <w:sz w:val="24"/>
        </w:rPr>
        <w:t>-</w:t>
      </w:r>
      <w:r>
        <w:rPr>
          <w:rFonts w:hint="eastAsia" w:ascii="TimesNewRomanPSMT" w:hAnsi="TimesNewRomanPSMT" w:cs="TimesNewRomanPSMT"/>
          <w:color w:val="0070C0"/>
          <w:kern w:val="0"/>
          <w:sz w:val="24"/>
        </w:rPr>
        <w:t>3</w:t>
      </w:r>
      <w:r>
        <w:rPr>
          <w:rFonts w:hint="eastAsia" w:ascii="宋体" w:cs="宋体" w:hAnsiTheme="minorHAnsi"/>
          <w:color w:val="0070C0"/>
          <w:kern w:val="0"/>
          <w:sz w:val="24"/>
        </w:rPr>
        <w:t>。</w:t>
      </w:r>
    </w:p>
    <w:p>
      <w:pPr>
        <w:jc w:val="center"/>
        <w:rPr>
          <w:rFonts w:ascii="黑体" w:eastAsia="黑体" w:cs="黑体" w:hAnsiTheme="minorHAnsi"/>
          <w:color w:val="0070C0"/>
          <w:kern w:val="0"/>
          <w:sz w:val="24"/>
        </w:rPr>
      </w:pPr>
    </w:p>
    <w:p>
      <w:pPr>
        <w:pStyle w:val="4"/>
        <w:ind w:firstLine="0" w:firstLineChars="0"/>
        <w:jc w:val="center"/>
      </w:pPr>
      <w:r>
        <w:drawing>
          <wp:inline distT="0" distB="0" distL="0" distR="0">
            <wp:extent cx="7760970" cy="51136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7762821" cy="5115017"/>
                    </a:xfrm>
                    <a:prstGeom prst="rect">
                      <a:avLst/>
                    </a:prstGeom>
                  </pic:spPr>
                </pic:pic>
              </a:graphicData>
            </a:graphic>
          </wp:inline>
        </w:drawing>
      </w:r>
    </w:p>
    <w:p>
      <w:pPr>
        <w:pStyle w:val="4"/>
        <w:ind w:firstLine="482"/>
        <w:jc w:val="center"/>
        <w:rPr>
          <w:b/>
          <w:sz w:val="24"/>
        </w:rPr>
      </w:pPr>
      <w:r>
        <w:rPr>
          <w:rFonts w:hint="eastAsia"/>
          <w:b/>
          <w:sz w:val="24"/>
        </w:rPr>
        <w:t>图2.5-2大气、声环境保护目标</w:t>
      </w:r>
    </w:p>
    <w:p>
      <w:pPr>
        <w:autoSpaceDE w:val="0"/>
        <w:autoSpaceDN w:val="0"/>
        <w:adjustRightInd w:val="0"/>
        <w:spacing w:line="360" w:lineRule="auto"/>
        <w:ind w:left="-53" w:leftChars="-25" w:right="-239" w:rightChars="-114" w:firstLine="50" w:firstLineChars="24"/>
        <w:jc w:val="center"/>
        <w:rPr>
          <w:rFonts w:eastAsiaTheme="minorEastAsia"/>
          <w:sz w:val="24"/>
        </w:rPr>
      </w:pPr>
      <w:r>
        <w:drawing>
          <wp:inline distT="0" distB="0" distL="0" distR="0">
            <wp:extent cx="8410575" cy="53251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8410575" cy="5325724"/>
                    </a:xfrm>
                    <a:prstGeom prst="rect">
                      <a:avLst/>
                    </a:prstGeom>
                  </pic:spPr>
                </pic:pic>
              </a:graphicData>
            </a:graphic>
          </wp:inline>
        </w:drawing>
      </w:r>
    </w:p>
    <w:p>
      <w:pPr>
        <w:jc w:val="center"/>
        <w:rPr>
          <w:rFonts w:ascii="黑体" w:eastAsia="黑体" w:cs="黑体" w:hAnsiTheme="minorHAnsi"/>
          <w:color w:val="0070C0"/>
          <w:kern w:val="0"/>
          <w:sz w:val="24"/>
        </w:rPr>
      </w:pPr>
      <w:r>
        <w:rPr>
          <w:rFonts w:hint="eastAsia" w:ascii="黑体" w:eastAsia="黑体" w:cs="黑体" w:hAnsiTheme="minorHAnsi"/>
          <w:color w:val="0070C0"/>
          <w:kern w:val="0"/>
          <w:sz w:val="24"/>
        </w:rPr>
        <w:t>图2.5</w:t>
      </w:r>
      <w:r>
        <w:rPr>
          <w:rFonts w:ascii="黑体" w:eastAsia="黑体" w:cs="黑体" w:hAnsiTheme="minorHAnsi"/>
          <w:color w:val="0070C0"/>
          <w:kern w:val="0"/>
          <w:sz w:val="24"/>
        </w:rPr>
        <w:t>-</w:t>
      </w:r>
      <w:r>
        <w:rPr>
          <w:rFonts w:hint="eastAsia" w:ascii="黑体" w:eastAsia="黑体" w:cs="黑体" w:hAnsiTheme="minorHAnsi"/>
          <w:color w:val="0070C0"/>
          <w:kern w:val="0"/>
          <w:sz w:val="24"/>
        </w:rPr>
        <w:t>3</w:t>
      </w:r>
      <w:r>
        <w:rPr>
          <w:rFonts w:ascii="黑体" w:eastAsia="黑体" w:cs="黑体" w:hAnsiTheme="minorHAnsi"/>
          <w:color w:val="0070C0"/>
          <w:kern w:val="0"/>
          <w:sz w:val="24"/>
        </w:rPr>
        <w:t xml:space="preserve"> </w:t>
      </w:r>
      <w:r>
        <w:rPr>
          <w:rFonts w:hint="eastAsia" w:ascii="黑体" w:eastAsia="黑体" w:cs="黑体" w:hAnsiTheme="minorHAnsi"/>
          <w:color w:val="0070C0"/>
          <w:kern w:val="0"/>
          <w:sz w:val="24"/>
        </w:rPr>
        <w:t>中华鲟保护区与本工程相互关系</w:t>
      </w:r>
    </w:p>
    <w:p>
      <w:pPr>
        <w:jc w:val="center"/>
        <w:rPr>
          <w:rFonts w:ascii="黑体" w:eastAsia="黑体" w:cs="黑体" w:hAnsiTheme="minorHAnsi"/>
          <w:color w:val="0070C0"/>
          <w:kern w:val="0"/>
          <w:sz w:val="24"/>
        </w:rPr>
        <w:sectPr>
          <w:pgSz w:w="16838" w:h="11906" w:orient="landscape"/>
          <w:pgMar w:top="1274" w:right="1440" w:bottom="1800" w:left="1440" w:header="851" w:footer="992" w:gutter="0"/>
          <w:cols w:space="425" w:num="1"/>
          <w:docGrid w:type="lines" w:linePitch="312" w:charSpace="0"/>
        </w:sectPr>
      </w:pPr>
    </w:p>
    <w:p>
      <w:pPr>
        <w:pStyle w:val="2"/>
        <w:tabs>
          <w:tab w:val="left" w:pos="432"/>
          <w:tab w:val="left" w:pos="2520"/>
          <w:tab w:val="clear" w:pos="6231"/>
        </w:tabs>
        <w:spacing w:before="240" w:beforeLines="0" w:after="240" w:afterLines="0" w:line="360" w:lineRule="auto"/>
        <w:ind w:left="2881" w:hanging="2342"/>
      </w:pPr>
      <w:bookmarkStart w:id="91" w:name="_Toc442195682"/>
      <w:r>
        <w:rPr>
          <w:rFonts w:hint="eastAsia"/>
        </w:rPr>
        <w:t>自然与社会现状</w:t>
      </w:r>
      <w:bookmarkEnd w:id="91"/>
    </w:p>
    <w:p>
      <w:pPr>
        <w:pStyle w:val="3"/>
        <w:tabs>
          <w:tab w:val="left" w:pos="426"/>
          <w:tab w:val="left" w:pos="576"/>
          <w:tab w:val="clear" w:pos="3695"/>
        </w:tabs>
        <w:spacing w:beforeLines="0" w:afterLines="0"/>
        <w:ind w:left="0" w:firstLine="0"/>
      </w:pPr>
      <w:bookmarkStart w:id="92" w:name="_Toc205976341"/>
      <w:bookmarkStart w:id="93" w:name="_Toc271725861"/>
      <w:bookmarkStart w:id="94" w:name="_Toc442195683"/>
      <w:bookmarkStart w:id="95" w:name="_Toc245528700"/>
      <w:bookmarkStart w:id="96" w:name="_Toc143401685"/>
      <w:r>
        <w:rPr>
          <w:rFonts w:hint="eastAsia"/>
        </w:rPr>
        <w:t>自然</w:t>
      </w:r>
      <w:r>
        <w:t>概况</w:t>
      </w:r>
      <w:bookmarkEnd w:id="92"/>
      <w:bookmarkEnd w:id="93"/>
      <w:bookmarkEnd w:id="94"/>
      <w:bookmarkEnd w:id="95"/>
      <w:bookmarkEnd w:id="96"/>
    </w:p>
    <w:p>
      <w:pPr>
        <w:pStyle w:val="5"/>
        <w:tabs>
          <w:tab w:val="left" w:pos="709"/>
        </w:tabs>
        <w:spacing w:before="62" w:beforeLines="20" w:line="360" w:lineRule="auto"/>
        <w:ind w:left="0" w:firstLine="0"/>
      </w:pPr>
      <w:bookmarkStart w:id="97" w:name="_Toc442195684"/>
      <w:r>
        <w:t>地理</w:t>
      </w:r>
      <w:bookmarkEnd w:id="97"/>
    </w:p>
    <w:p>
      <w:pPr>
        <w:adjustRightInd w:val="0"/>
        <w:snapToGrid w:val="0"/>
        <w:spacing w:line="500" w:lineRule="exact"/>
        <w:ind w:firstLine="480" w:firstLineChars="200"/>
        <w:rPr>
          <w:bCs/>
          <w:sz w:val="24"/>
        </w:rPr>
      </w:pPr>
      <w:r>
        <w:rPr>
          <w:rFonts w:eastAsia="新宋体"/>
          <w:sz w:val="24"/>
        </w:rPr>
        <w:t>枝江市位于宜昌市的东南面，上连宜昌，下接荆州，地处千里荆江之首，扼守三峡门户，区位优势得天独厚。全市除百里洲在江心外，其余均位于长江以北，东隔沮漳河与江陵县相望，南与松滋市相临，西南隔长江与宜都市一桥相连，西北与宜昌市城区及当阳市接壤。1996年经国务院批准撤县设市，全市东西长58公里，南北宽45公里，国土面积1310平方公里，现辖9镇（街道办事处）198个行政村，总人口50.74万人。枝江是长江流域开放开发的前沿，是全国开放开发的重点和热点地区。是宜昌三峡地区唯一的平原县市，也是宜昌市工业项目集中发展的一座新城。枝江交通极为便利，万里长江贯东而去，焦柳铁路穿市南下，宜黄高速公路和318国道并行东西，三峡机场距市中心30公里，构成了水陆空立体交通网络。</w:t>
      </w:r>
    </w:p>
    <w:p>
      <w:pPr>
        <w:adjustRightInd w:val="0"/>
        <w:snapToGrid w:val="0"/>
        <w:spacing w:line="520" w:lineRule="exact"/>
        <w:ind w:firstLine="480" w:firstLineChars="200"/>
        <w:rPr>
          <w:rFonts w:eastAsia="新宋体"/>
          <w:sz w:val="24"/>
        </w:rPr>
      </w:pPr>
      <w:r>
        <w:rPr>
          <w:rFonts w:hint="eastAsia" w:eastAsia="新宋体"/>
          <w:sz w:val="24"/>
        </w:rPr>
        <w:t>宜昌市白洋工业园地跨宜昌市城区和枝江市，西面与宜昌市中心城区相距约35公里，东端与枝江市区相距约25公里，规划区西南侧濒临长江，西北向与宜昌开发区猇亭园区毗邻，北面离汉宜高速公路和三峡机场均约12公里。</w:t>
      </w:r>
    </w:p>
    <w:p>
      <w:pPr>
        <w:adjustRightInd w:val="0"/>
        <w:snapToGrid w:val="0"/>
        <w:spacing w:line="500" w:lineRule="exact"/>
        <w:ind w:firstLine="480" w:firstLineChars="200"/>
        <w:rPr>
          <w:bCs/>
          <w:sz w:val="24"/>
        </w:rPr>
      </w:pPr>
      <w:r>
        <w:rPr>
          <w:rFonts w:hint="eastAsia" w:eastAsia="新宋体"/>
          <w:sz w:val="24"/>
        </w:rPr>
        <w:t>宜昌市白洋工业园用地以枝江市白洋镇为主，并含有顾家店镇和猇亭区云池办事处的部分用地，范围是：北端以现状318国道部分线型和规划主干道为界，东侧以焦柳铁路和化学工业园规划主干道为界，西南面以长江岸线为界，总用地面积为80.66平方公里。</w:t>
      </w:r>
    </w:p>
    <w:p>
      <w:pPr>
        <w:pStyle w:val="5"/>
        <w:tabs>
          <w:tab w:val="left" w:pos="567"/>
        </w:tabs>
        <w:spacing w:before="62" w:beforeLines="20" w:line="360" w:lineRule="auto"/>
        <w:ind w:left="0" w:firstLine="0"/>
      </w:pPr>
      <w:bookmarkStart w:id="98" w:name="_Toc442195685"/>
      <w:r>
        <w:t>地形地貌</w:t>
      </w:r>
      <w:bookmarkEnd w:id="98"/>
    </w:p>
    <w:p>
      <w:pPr>
        <w:autoSpaceDE w:val="0"/>
        <w:autoSpaceDN w:val="0"/>
        <w:spacing w:line="480" w:lineRule="exact"/>
        <w:ind w:firstLine="480" w:firstLineChars="200"/>
        <w:rPr>
          <w:rFonts w:eastAsia="新宋体"/>
          <w:sz w:val="24"/>
        </w:rPr>
      </w:pPr>
      <w:r>
        <w:rPr>
          <w:rFonts w:eastAsia="新宋体"/>
          <w:sz w:val="24"/>
        </w:rPr>
        <w:t>枝江市地处黄陵山地与江汉平原接壤的丘陵地带，是由山区型向平原型过渡地段，山势由陡峭趋于平缓，地势呈带状沿长江由西北向东南倾斜，以平原为主，西北最高处海拔225m，最低点为七星台镇的杨林湖，海拔仅35.1m，平均海拔77.9m，分为平原、岗地、低丘三种类型。西北部丘陵、岗地占总面积的58.8%，东南部平原占41.2%。耕地面积71.5万亩，占总面积的36.4%。水域面积52.58万亩，占总面积的26.7%。</w:t>
      </w:r>
    </w:p>
    <w:p>
      <w:pPr>
        <w:autoSpaceDE w:val="0"/>
        <w:autoSpaceDN w:val="0"/>
        <w:spacing w:line="480" w:lineRule="exact"/>
        <w:ind w:firstLine="480" w:firstLineChars="200"/>
        <w:rPr>
          <w:rFonts w:eastAsia="新宋体"/>
          <w:sz w:val="24"/>
        </w:rPr>
      </w:pPr>
      <w:r>
        <w:rPr>
          <w:rFonts w:eastAsia="新宋体"/>
          <w:sz w:val="24"/>
        </w:rPr>
        <w:t>平原：海拔35.1-50m之间，相对高差小于10m。分布在沿长江，沮漳河两岸，均为近代河流冲积母质。其范围包括百里洲、七星台两区及马家店，董市、顾家店、白洋等镇(区)的东南部沿江平原。地势平坦，土层深厚，肥力较高，质地多为中壤、轻壤，是全市棉、麦集中产区。</w:t>
      </w:r>
    </w:p>
    <w:p>
      <w:pPr>
        <w:autoSpaceDE w:val="0"/>
        <w:autoSpaceDN w:val="0"/>
        <w:spacing w:line="480" w:lineRule="exact"/>
        <w:ind w:firstLine="480" w:firstLineChars="200"/>
        <w:rPr>
          <w:rFonts w:eastAsia="新宋体"/>
          <w:sz w:val="24"/>
        </w:rPr>
      </w:pPr>
      <w:r>
        <w:rPr>
          <w:rFonts w:eastAsia="新宋体"/>
          <w:sz w:val="24"/>
        </w:rPr>
        <w:t>岗地：海拔50-100m，相对高差10-30m，多为第四纪的粘土母质。范围包括问安，老周场、马家店，董市、姚家港，顾家店、白洋等区(镇)的大部和安福寺计149个村，总面积81.67万亩。其地势平缓，土壤肥沃，田块大而成片，为粮油集中产区。</w:t>
      </w:r>
    </w:p>
    <w:p>
      <w:pPr>
        <w:autoSpaceDE w:val="0"/>
        <w:autoSpaceDN w:val="0"/>
        <w:spacing w:line="480" w:lineRule="exact"/>
        <w:ind w:firstLine="480" w:firstLineChars="200"/>
        <w:rPr>
          <w:rFonts w:eastAsia="新宋体"/>
          <w:sz w:val="24"/>
        </w:rPr>
      </w:pPr>
      <w:r>
        <w:rPr>
          <w:rFonts w:eastAsia="新宋体"/>
          <w:sz w:val="24"/>
        </w:rPr>
        <w:t>低丘：海拔100-225m，相对高差大于30m。主要分布在西北部的安福寺，虢亭，白洋、顾家店，老周场等区(镇)的部分地区计75个村，总面积57.28万亩，为枝江市粮、林、特产区。</w:t>
      </w:r>
    </w:p>
    <w:p>
      <w:pPr>
        <w:autoSpaceDE w:val="0"/>
        <w:autoSpaceDN w:val="0"/>
        <w:spacing w:line="480" w:lineRule="exact"/>
        <w:ind w:firstLine="480" w:firstLineChars="200"/>
        <w:rPr>
          <w:rFonts w:eastAsia="新宋体"/>
          <w:sz w:val="24"/>
        </w:rPr>
      </w:pPr>
      <w:r>
        <w:rPr>
          <w:rFonts w:eastAsia="新宋体"/>
          <w:sz w:val="24"/>
        </w:rPr>
        <w:t>山脉：枝江市境属大巴山脉荆山支脉，自西北向东南缓缓下降，均属无名山岗，构成了县境西北向东南倾斜的山岗群体。较有名的山包有五座：虎牙山（海拔120m）、芝山（海拔125m）、莲花山（海拔116m）、石宝山（海拔151m）。</w:t>
      </w:r>
    </w:p>
    <w:p>
      <w:pPr>
        <w:adjustRightInd w:val="0"/>
        <w:snapToGrid w:val="0"/>
        <w:spacing w:line="500" w:lineRule="exact"/>
        <w:ind w:firstLine="480" w:firstLineChars="200"/>
        <w:rPr>
          <w:sz w:val="24"/>
        </w:rPr>
      </w:pPr>
      <w:r>
        <w:rPr>
          <w:rFonts w:eastAsia="新宋体"/>
          <w:sz w:val="24"/>
        </w:rPr>
        <w:t>沙洲：枝江至江陵的长江段内，历史上有99洲，清乾隆年间，枝江段内仍有37洲，其中19洲有人居住。由于江水不断冲刷，有的消失，有的数洲并连，现从上至下有关洲、百里洲、董市沙洲、江洲、火箭洲、马羊洲6个。</w:t>
      </w:r>
    </w:p>
    <w:p>
      <w:pPr>
        <w:adjustRightInd w:val="0"/>
        <w:snapToGrid w:val="0"/>
        <w:spacing w:line="500" w:lineRule="exact"/>
        <w:ind w:firstLine="480" w:firstLineChars="200"/>
        <w:rPr>
          <w:rFonts w:eastAsia="新宋体"/>
          <w:sz w:val="24"/>
        </w:rPr>
      </w:pPr>
      <w:r>
        <w:rPr>
          <w:rFonts w:eastAsia="新宋体"/>
          <w:sz w:val="24"/>
        </w:rPr>
        <w:t>工业区属于丘陵</w:t>
      </w:r>
      <w:r>
        <w:rPr>
          <w:rFonts w:hint="eastAsia" w:eastAsia="新宋体"/>
          <w:sz w:val="24"/>
        </w:rPr>
        <w:t>与平原</w:t>
      </w:r>
      <w:r>
        <w:rPr>
          <w:rFonts w:eastAsia="新宋体"/>
          <w:sz w:val="24"/>
        </w:rPr>
        <w:t>地带相间区域，</w:t>
      </w:r>
      <w:r>
        <w:rPr>
          <w:rFonts w:hint="eastAsia" w:eastAsia="新宋体"/>
          <w:sz w:val="24"/>
        </w:rPr>
        <w:t>现状用地总体呈现南低北高、西高东低的态势。其中工业新城片区现状用地条件较好，南侧为自然山体，地势较高，地形地貌形成西、南高，东、北低的缓坡用地高程在80-110米之间；沙湾工业园综合服务中心片位于善溪冲冲沟，现状地形北高南低，用地条件较好，高程在50-85米之间；沙湾工业片地面高程在45-60米之间，场地平整，工程地质条件好；善溪窑工业片现状地形西高东低，地形起伏较大，高差达90米，现状地貌有山体、冲沟及水系，地面高程在80-150米之间；太保场工业片区现状地形较为平坦，西侧略微高于东侧，高差约20米，地面高程约在70-90米之间；化学工业区现状北部比南部高，东部比西部高，铁路专用线以北规划场地高程为92-86米，以南规划场地高程为84-70米。</w:t>
      </w:r>
    </w:p>
    <w:p>
      <w:pPr>
        <w:adjustRightInd w:val="0"/>
        <w:snapToGrid w:val="0"/>
        <w:spacing w:line="500" w:lineRule="exact"/>
        <w:ind w:firstLine="480" w:firstLineChars="200"/>
        <w:rPr>
          <w:rFonts w:eastAsia="新宋体"/>
          <w:sz w:val="24"/>
        </w:rPr>
      </w:pPr>
      <w:r>
        <w:rPr>
          <w:rFonts w:eastAsia="新宋体"/>
          <w:sz w:val="24"/>
        </w:rPr>
        <w:t>工业区</w:t>
      </w:r>
      <w:r>
        <w:rPr>
          <w:rFonts w:hint="eastAsia" w:eastAsia="新宋体"/>
          <w:sz w:val="24"/>
        </w:rPr>
        <w:t>最高点位于中部四陵坡白鹭保护区山体，高程约为160米，最低点位于沙湾工业片南侧临江地带，高程约为为40米，垂直高差约达120米。</w:t>
      </w:r>
    </w:p>
    <w:p>
      <w:pPr>
        <w:widowControl/>
        <w:spacing w:line="360" w:lineRule="auto"/>
        <w:ind w:firstLine="480" w:firstLineChars="200"/>
        <w:jc w:val="left"/>
        <w:rPr>
          <w:rFonts w:ascii="宋体" w:hAnsi="宋体" w:cs="宋体"/>
          <w:color w:val="3D3D3D"/>
          <w:kern w:val="0"/>
          <w:szCs w:val="21"/>
        </w:rPr>
      </w:pPr>
      <w:r>
        <w:rPr>
          <w:rFonts w:hint="eastAsia" w:ascii="宋体" w:hAnsi="宋体" w:cs="宋体"/>
          <w:color w:val="3D3D3D"/>
          <w:kern w:val="0"/>
          <w:sz w:val="24"/>
        </w:rPr>
        <w:t>白洋镇以低丘岗地为主，兼有平畈。丘陵起伏错落，西高东低，北高南低。全镇平均海拔在百米以下，最高处在层林，海拔181米；最低处在沙湾，海拔42米。东西最大横距16.8公里，南北最大横距14.5公里。境内地形丘岗相间，低丘地势占全境95%以上。全境土壤酸碱度为6.5—7PH，土地肥沃，土层深厚，适合多种农作物的生长。</w:t>
      </w:r>
    </w:p>
    <w:p>
      <w:pPr>
        <w:pStyle w:val="5"/>
        <w:tabs>
          <w:tab w:val="left" w:pos="709"/>
        </w:tabs>
        <w:spacing w:before="62" w:beforeLines="20" w:line="360" w:lineRule="auto"/>
        <w:ind w:left="0" w:firstLine="0"/>
      </w:pPr>
      <w:bookmarkStart w:id="99" w:name="_Toc442195686"/>
      <w:r>
        <w:t>气候概述</w:t>
      </w:r>
      <w:bookmarkEnd w:id="99"/>
    </w:p>
    <w:p>
      <w:pPr>
        <w:autoSpaceDE w:val="0"/>
        <w:autoSpaceDN w:val="0"/>
        <w:spacing w:line="480" w:lineRule="exact"/>
        <w:ind w:firstLine="480" w:firstLineChars="200"/>
        <w:rPr>
          <w:rFonts w:eastAsia="新宋体"/>
          <w:sz w:val="24"/>
        </w:rPr>
      </w:pPr>
      <w:r>
        <w:rPr>
          <w:rFonts w:eastAsia="新宋体"/>
          <w:sz w:val="24"/>
        </w:rPr>
        <w:t>枝江市地处中纬度，属亚热带大陆性季风气候，具有气候温和、雨量充沛、日照充足、四季分明等特点。根据枝江市气象台近五年的资料统计，年平均气温为16.5</w:t>
      </w:r>
      <w:r>
        <w:rPr>
          <w:rFonts w:hint="eastAsia" w:ascii="宋体" w:hAnsi="宋体" w:cs="宋体"/>
          <w:sz w:val="24"/>
        </w:rPr>
        <w:t>℃</w:t>
      </w:r>
      <w:r>
        <w:rPr>
          <w:rFonts w:eastAsia="新宋体"/>
          <w:sz w:val="24"/>
        </w:rPr>
        <w:t>，极端最高气温38.5</w:t>
      </w:r>
      <w:r>
        <w:rPr>
          <w:rFonts w:hint="eastAsia" w:ascii="宋体" w:hAnsi="宋体" w:cs="宋体"/>
          <w:sz w:val="24"/>
        </w:rPr>
        <w:t>℃</w:t>
      </w:r>
      <w:r>
        <w:rPr>
          <w:rFonts w:eastAsia="新宋体"/>
          <w:sz w:val="24"/>
        </w:rPr>
        <w:t>，极端最低温度-14.8</w:t>
      </w:r>
      <w:r>
        <w:rPr>
          <w:rFonts w:hint="eastAsia" w:ascii="宋体" w:hAnsi="宋体" w:cs="宋体"/>
          <w:sz w:val="24"/>
        </w:rPr>
        <w:t>℃</w:t>
      </w:r>
      <w:r>
        <w:rPr>
          <w:rFonts w:eastAsia="新宋体"/>
          <w:sz w:val="24"/>
        </w:rPr>
        <w:t>，平均相对湿度78%，年平均风速1.9m/s。</w:t>
      </w:r>
    </w:p>
    <w:p>
      <w:pPr>
        <w:adjustRightInd w:val="0"/>
        <w:snapToGrid w:val="0"/>
        <w:spacing w:line="500" w:lineRule="exact"/>
        <w:ind w:firstLine="480" w:firstLineChars="200"/>
        <w:rPr>
          <w:rFonts w:eastAsia="新宋体"/>
          <w:sz w:val="24"/>
        </w:rPr>
      </w:pPr>
      <w:r>
        <w:rPr>
          <w:rFonts w:eastAsia="新宋体"/>
          <w:sz w:val="24"/>
        </w:rPr>
        <w:t>年最大降雨量1036.0mm，日最大降雨量113.2mm，年平均降雨量1196.5mm，降雨主要集中在5-9月，占全年降雨量的61%。</w:t>
      </w:r>
    </w:p>
    <w:p>
      <w:pPr>
        <w:widowControl/>
        <w:spacing w:line="360" w:lineRule="auto"/>
        <w:ind w:firstLine="480" w:firstLineChars="200"/>
        <w:jc w:val="left"/>
        <w:rPr>
          <w:rFonts w:ascii="宋体" w:hAnsi="宋体" w:cs="宋体"/>
          <w:color w:val="3D3D3D"/>
          <w:kern w:val="0"/>
          <w:szCs w:val="21"/>
        </w:rPr>
      </w:pPr>
      <w:r>
        <w:rPr>
          <w:rFonts w:hint="eastAsia" w:ascii="宋体" w:hAnsi="宋体" w:cs="宋体"/>
          <w:color w:val="3D3D3D"/>
          <w:kern w:val="0"/>
          <w:sz w:val="24"/>
        </w:rPr>
        <w:t>白洋镇气候雨量白洋气候温和，四季分明，具有南北相间的气候特征。年平均降水量1041mm，年平均气温16.7℃，年最高气温39.6℃，年最低气温-14.8℃， 1977年曾出现过最低气温-17℃的短期极端低温；年日照时数1676.9小时，无霜期255—275天。</w:t>
      </w:r>
    </w:p>
    <w:p>
      <w:pPr>
        <w:pStyle w:val="5"/>
        <w:tabs>
          <w:tab w:val="left" w:pos="709"/>
        </w:tabs>
        <w:spacing w:before="62" w:beforeLines="20" w:line="360" w:lineRule="auto"/>
        <w:ind w:left="0" w:firstLine="0"/>
      </w:pPr>
      <w:bookmarkStart w:id="100" w:name="_Toc442195687"/>
      <w:r>
        <w:t>地表水</w:t>
      </w:r>
      <w:bookmarkEnd w:id="100"/>
    </w:p>
    <w:p>
      <w:pPr>
        <w:pStyle w:val="806"/>
        <w:spacing w:line="520" w:lineRule="exact"/>
        <w:ind w:firstLine="480" w:firstLineChars="200"/>
        <w:jc w:val="both"/>
        <w:rPr>
          <w:rFonts w:hAnsi="宋体" w:eastAsia="宋体"/>
          <w:sz w:val="24"/>
        </w:rPr>
      </w:pPr>
      <w:r>
        <w:rPr>
          <w:rFonts w:hint="eastAsia" w:hAnsi="宋体" w:eastAsia="宋体"/>
          <w:sz w:val="24"/>
        </w:rPr>
        <w:t>物流中心</w:t>
      </w:r>
      <w:r>
        <w:rPr>
          <w:rFonts w:hAnsi="宋体" w:eastAsia="宋体"/>
          <w:sz w:val="24"/>
        </w:rPr>
        <w:t>所在区域主要地表水为长江。</w:t>
      </w:r>
    </w:p>
    <w:p>
      <w:pPr>
        <w:pStyle w:val="806"/>
        <w:spacing w:line="520" w:lineRule="exact"/>
        <w:ind w:firstLine="480" w:firstLineChars="200"/>
        <w:jc w:val="both"/>
        <w:rPr>
          <w:rFonts w:hAnsi="宋体" w:eastAsia="宋体"/>
          <w:sz w:val="24"/>
        </w:rPr>
      </w:pPr>
      <w:r>
        <w:rPr>
          <w:rFonts w:hAnsi="宋体" w:eastAsia="宋体"/>
          <w:sz w:val="24"/>
        </w:rPr>
        <w:t>长江是枝江市主要用水水源和纳污水体。长江枝江段水量丰富，水质良好，具有很大的环境容量。多年水文资料统计：年平均流量为</w:t>
      </w:r>
      <w:r>
        <w:rPr>
          <w:rFonts w:eastAsia="宋体"/>
          <w:sz w:val="24"/>
        </w:rPr>
        <w:t>14300m</w:t>
      </w:r>
      <w:r>
        <w:rPr>
          <w:rFonts w:eastAsia="宋体"/>
          <w:sz w:val="24"/>
          <w:vertAlign w:val="superscript"/>
        </w:rPr>
        <w:t>3</w:t>
      </w:r>
      <w:r>
        <w:rPr>
          <w:rFonts w:eastAsia="宋体"/>
          <w:sz w:val="24"/>
        </w:rPr>
        <w:t>/s</w:t>
      </w:r>
      <w:r>
        <w:rPr>
          <w:rFonts w:hAnsi="宋体" w:eastAsia="宋体"/>
          <w:sz w:val="24"/>
        </w:rPr>
        <w:t>；其中：丰水期最大流量</w:t>
      </w:r>
      <w:r>
        <w:rPr>
          <w:rFonts w:eastAsia="宋体"/>
          <w:sz w:val="24"/>
        </w:rPr>
        <w:t>70800m</w:t>
      </w:r>
      <w:r>
        <w:rPr>
          <w:rFonts w:eastAsia="宋体"/>
          <w:sz w:val="24"/>
          <w:vertAlign w:val="superscript"/>
        </w:rPr>
        <w:t>3</w:t>
      </w:r>
      <w:r>
        <w:rPr>
          <w:rFonts w:eastAsia="宋体"/>
          <w:sz w:val="24"/>
        </w:rPr>
        <w:t>/s</w:t>
      </w:r>
      <w:r>
        <w:rPr>
          <w:rFonts w:hAnsi="宋体" w:eastAsia="宋体"/>
          <w:sz w:val="24"/>
        </w:rPr>
        <w:t>，平均流量</w:t>
      </w:r>
      <w:r>
        <w:rPr>
          <w:rFonts w:eastAsia="宋体"/>
          <w:sz w:val="24"/>
        </w:rPr>
        <w:t>29600m</w:t>
      </w:r>
      <w:r>
        <w:rPr>
          <w:rFonts w:eastAsia="宋体"/>
          <w:sz w:val="24"/>
          <w:vertAlign w:val="superscript"/>
        </w:rPr>
        <w:t>3</w:t>
      </w:r>
      <w:r>
        <w:rPr>
          <w:rFonts w:eastAsia="宋体"/>
          <w:sz w:val="24"/>
        </w:rPr>
        <w:t>/s</w:t>
      </w:r>
      <w:r>
        <w:rPr>
          <w:rFonts w:hAnsi="宋体" w:eastAsia="宋体"/>
          <w:sz w:val="24"/>
        </w:rPr>
        <w:t>；枯水期最小流量</w:t>
      </w:r>
      <w:r>
        <w:rPr>
          <w:rFonts w:eastAsia="宋体"/>
          <w:sz w:val="24"/>
        </w:rPr>
        <w:t>2770m</w:t>
      </w:r>
      <w:r>
        <w:rPr>
          <w:rFonts w:eastAsia="宋体"/>
          <w:sz w:val="24"/>
          <w:vertAlign w:val="superscript"/>
        </w:rPr>
        <w:t>3</w:t>
      </w:r>
      <w:r>
        <w:rPr>
          <w:rFonts w:eastAsia="宋体"/>
          <w:sz w:val="24"/>
        </w:rPr>
        <w:t>/s</w:t>
      </w:r>
      <w:r>
        <w:rPr>
          <w:rFonts w:hAnsi="宋体" w:eastAsia="宋体"/>
          <w:sz w:val="24"/>
        </w:rPr>
        <w:t>；年平均输砂量</w:t>
      </w:r>
      <w:r>
        <w:rPr>
          <w:rFonts w:eastAsia="宋体"/>
          <w:sz w:val="24"/>
        </w:rPr>
        <w:t>5.26</w:t>
      </w:r>
      <w:r>
        <w:rPr>
          <w:rFonts w:hAnsi="宋体" w:eastAsia="宋体"/>
          <w:sz w:val="24"/>
        </w:rPr>
        <w:t>亿吨。三峡工程兴建后，宜昌站多年平均流量将有所变化，但有关文献报道，正常水库调度运行方式下，水位变化幅度不大，且均在天然平均流量变化范围之内。</w:t>
      </w:r>
    </w:p>
    <w:p>
      <w:pPr>
        <w:pStyle w:val="5"/>
        <w:tabs>
          <w:tab w:val="left" w:pos="709"/>
        </w:tabs>
        <w:spacing w:before="62" w:beforeLines="20" w:line="360" w:lineRule="auto"/>
        <w:ind w:left="0" w:firstLine="0"/>
      </w:pPr>
      <w:bookmarkStart w:id="101" w:name="_Toc442195688"/>
      <w:r>
        <w:rPr>
          <w:rFonts w:hint="eastAsia"/>
        </w:rPr>
        <w:t>土壤与植被</w:t>
      </w:r>
      <w:bookmarkEnd w:id="101"/>
    </w:p>
    <w:p>
      <w:pPr>
        <w:pStyle w:val="806"/>
        <w:spacing w:line="520" w:lineRule="exact"/>
        <w:ind w:firstLine="480" w:firstLineChars="200"/>
        <w:jc w:val="both"/>
        <w:rPr>
          <w:rFonts w:hAnsi="宋体" w:eastAsia="宋体"/>
          <w:sz w:val="24"/>
        </w:rPr>
      </w:pPr>
      <w:r>
        <w:rPr>
          <w:rFonts w:hAnsi="宋体" w:eastAsia="宋体"/>
          <w:sz w:val="24"/>
        </w:rPr>
        <w:t>从查明的土壤种类看种植的适宜性很广，对枝江的农、林业发展十分有利。</w:t>
      </w:r>
    </w:p>
    <w:p>
      <w:pPr>
        <w:pStyle w:val="806"/>
        <w:spacing w:line="520" w:lineRule="exact"/>
        <w:ind w:firstLine="480" w:firstLineChars="200"/>
        <w:jc w:val="both"/>
        <w:rPr>
          <w:rFonts w:hAnsi="宋体" w:eastAsia="宋体"/>
          <w:sz w:val="24"/>
        </w:rPr>
      </w:pPr>
      <w:r>
        <w:rPr>
          <w:rFonts w:hAnsi="宋体" w:eastAsia="宋体"/>
          <w:sz w:val="24"/>
        </w:rPr>
        <w:t>枝江植被有人工植被区和天然植被区两种。人工植被区指农作物植被区；天然植被区指森林植被区和水生植被区。全市除长江、沮漳河、南河、玛瑙河和住宅，工厂、道路外，植被区为全县面积的77%，其中农田占44.8%，山林占18.5%，其它水面及草地占13.7%。自然植被中，园林类49科、158种；特产类10科、79种。全县森林覆盖面积330943亩，森林覆盖率占15.4%。草灌丛的灌木、茅草群落，海拔50米以上的低丘荒山皆是。</w:t>
      </w:r>
    </w:p>
    <w:p>
      <w:pPr>
        <w:pStyle w:val="806"/>
        <w:spacing w:line="520" w:lineRule="exact"/>
        <w:ind w:firstLine="480" w:firstLineChars="200"/>
        <w:jc w:val="both"/>
        <w:rPr>
          <w:rFonts w:hAnsi="宋体" w:eastAsia="宋体"/>
          <w:sz w:val="24"/>
        </w:rPr>
      </w:pPr>
      <w:r>
        <w:rPr>
          <w:rFonts w:hAnsi="宋体" w:eastAsia="宋体"/>
          <w:sz w:val="24"/>
        </w:rPr>
        <w:t>水生植被种类繁多，除常见的虾须草、扁担草，三菱草、菖蒲、水蓼，麦黄蓼、牛尾草外，据科学院水生所检测，全市湖泊、水库中的水生微管束植物覆盖率为40%。</w:t>
      </w:r>
    </w:p>
    <w:p>
      <w:pPr>
        <w:pStyle w:val="5"/>
        <w:tabs>
          <w:tab w:val="left" w:pos="709"/>
        </w:tabs>
        <w:spacing w:before="62" w:beforeLines="20" w:line="360" w:lineRule="auto"/>
        <w:ind w:left="0" w:firstLine="0"/>
      </w:pPr>
      <w:bookmarkStart w:id="102" w:name="_Toc442195689"/>
      <w:r>
        <w:t>自然资源</w:t>
      </w:r>
      <w:bookmarkEnd w:id="102"/>
    </w:p>
    <w:p>
      <w:pPr>
        <w:widowControl/>
        <w:spacing w:line="360" w:lineRule="auto"/>
        <w:ind w:firstLine="480" w:firstLineChars="200"/>
        <w:jc w:val="left"/>
        <w:rPr>
          <w:rFonts w:ascii="宋体" w:hAnsi="宋体" w:cs="宋体"/>
          <w:color w:val="3D3D3D"/>
          <w:kern w:val="0"/>
          <w:szCs w:val="21"/>
        </w:rPr>
      </w:pPr>
      <w:r>
        <w:rPr>
          <w:rFonts w:hint="eastAsia" w:ascii="宋体" w:hAnsi="宋体" w:cs="宋体"/>
          <w:color w:val="3D3D3D"/>
          <w:kern w:val="0"/>
          <w:sz w:val="24"/>
        </w:rPr>
        <w:t>白洋地处长江中、上游及鄂西与江汉平原的交汇处，土质肥沃，耕地资源及水资源极为丰富。有大量的陶土、卵石（其中有各类奇石）、河沙和建材资源；辖区内有雅石溪、善溪冲两条溪流，玛瑙河紧靠镇东，溪流中有名贵的玛瑙，雅石溪还有一种罕见的雅石。</w:t>
      </w:r>
    </w:p>
    <w:p>
      <w:pPr>
        <w:widowControl/>
        <w:spacing w:line="360" w:lineRule="auto"/>
        <w:ind w:firstLine="480" w:firstLineChars="200"/>
        <w:jc w:val="left"/>
        <w:rPr>
          <w:rFonts w:ascii="宋体" w:hAnsi="宋体" w:cs="宋体"/>
          <w:color w:val="3D3D3D"/>
          <w:kern w:val="0"/>
          <w:szCs w:val="21"/>
        </w:rPr>
      </w:pPr>
      <w:r>
        <w:rPr>
          <w:rFonts w:hint="eastAsia" w:ascii="宋体" w:hAnsi="宋体" w:cs="宋体"/>
          <w:color w:val="3D3D3D"/>
          <w:kern w:val="0"/>
          <w:sz w:val="24"/>
        </w:rPr>
        <w:t>境内的四陵坡森林是目前枝江市内惟一保存完好的原始次生林，森林中有各类动植物1000多种，其中珍稀动植物20多种，数以万计的国家二级保护飞禽“白鹭”在林区栖息繁衍。2002年被省政府批准四陵坡森林为“白鹭自然保护小区”。镇内的万亩森林以四陵坡为核心，东起梅子溪，西至白洋集镇，南接长江，北至318国道，总面积10500亩，区域内有68条山岗67条低谷，形成了特有的沟壑地形，是旅游休闲的好地方。</w:t>
      </w:r>
    </w:p>
    <w:p>
      <w:pPr>
        <w:widowControl/>
        <w:spacing w:line="360" w:lineRule="auto"/>
        <w:ind w:firstLine="480" w:firstLineChars="200"/>
        <w:jc w:val="left"/>
        <w:rPr>
          <w:rFonts w:ascii="宋体" w:hAnsi="宋体" w:cs="宋体"/>
          <w:color w:val="3D3D3D"/>
          <w:kern w:val="0"/>
          <w:sz w:val="24"/>
        </w:rPr>
      </w:pPr>
      <w:r>
        <w:rPr>
          <w:rFonts w:hint="eastAsia" w:ascii="宋体" w:hAnsi="宋体" w:cs="宋体"/>
          <w:color w:val="3D3D3D"/>
          <w:kern w:val="0"/>
          <w:sz w:val="24"/>
        </w:rPr>
        <w:t>白洋气候条件温和，水资源丰富，光照充足，适于多种农作物生长。盛产大米、油菜籽、花生、柑橘、奈李、油桃、水蜜桃、花卉、鲜鱼、畜禽，素有“鱼米之乡”的美誉。</w:t>
      </w:r>
    </w:p>
    <w:p>
      <w:pPr>
        <w:pStyle w:val="5"/>
        <w:tabs>
          <w:tab w:val="left" w:pos="709"/>
        </w:tabs>
        <w:spacing w:before="62" w:beforeLines="20" w:line="360" w:lineRule="auto"/>
        <w:ind w:left="0" w:firstLine="0"/>
      </w:pPr>
      <w:bookmarkStart w:id="103" w:name="_Toc440457352"/>
      <w:bookmarkStart w:id="104" w:name="_Toc442195690"/>
      <w:r>
        <w:rPr>
          <w:rFonts w:hint="eastAsia"/>
        </w:rPr>
        <w:t>水生生物</w:t>
      </w:r>
      <w:bookmarkEnd w:id="103"/>
      <w:bookmarkEnd w:id="104"/>
    </w:p>
    <w:p>
      <w:pPr>
        <w:autoSpaceDE w:val="0"/>
        <w:autoSpaceDN w:val="0"/>
        <w:snapToGrid w:val="0"/>
        <w:spacing w:line="520" w:lineRule="exact"/>
        <w:ind w:firstLine="480" w:firstLineChars="200"/>
        <w:rPr>
          <w:rFonts w:eastAsia="新宋体"/>
          <w:sz w:val="24"/>
        </w:rPr>
      </w:pPr>
      <w:r>
        <w:rPr>
          <w:rFonts w:eastAsia="新宋体"/>
          <w:sz w:val="24"/>
        </w:rPr>
        <w:t>宜昌江段是长江上、中游过渡区域，该江段兼有长江上游峡谷型河道和中游洪泛平原河道的特征。特殊的地理位置和环境条件，使得宜昌江段的水生生物多样性十分丰富，该水域有浮游植物有藻类8门59种，主要为硅藻门和绿藻门种类，浮游动物约43种，以枝角类最多，底栖动物40余种，以水生昆虫和软体动物占绝大多数。水生维管束植物的种类和数量较少。有鱼类123种，分属10目23科77属，其中鲤形目有54属83种或亚种，还有珍稀哺乳动物江豚分布。</w:t>
      </w:r>
    </w:p>
    <w:p>
      <w:pPr>
        <w:autoSpaceDE w:val="0"/>
        <w:autoSpaceDN w:val="0"/>
        <w:snapToGrid w:val="0"/>
        <w:spacing w:line="520" w:lineRule="exact"/>
        <w:ind w:firstLine="480" w:firstLineChars="200"/>
        <w:rPr>
          <w:rFonts w:eastAsia="新宋体"/>
          <w:sz w:val="24"/>
        </w:rPr>
      </w:pPr>
      <w:r>
        <w:rPr>
          <w:rFonts w:eastAsia="新宋体"/>
          <w:sz w:val="24"/>
        </w:rPr>
        <w:t>该江段的鱼类组成上具有长江上游与中、下游种类交汇的特点，既是中华鲟、白鲟、胭脂鱼等珍稀鱼类的栖息地和繁殖场，也是草鱼、青鱼、鲢、鳙、鳊、鳡、鳤等江湖洄游性鱼类的重要产卵场。此外，由于大坝的阻隔作用，铜鱼、圆口铜鱼、长鳍吻鮈、长薄鳅等河流洄游性鱼类也大量聚集于此。该江段的经济鱼类有圆口铜鱼、铜鱼、草鱼、鲢、瓦氏黄颡鱼、长吻鮈、南方鲇、长鳍吻鮈、圆筒吻鮈、鳊、鳡、鳙、青鱼、赤眼鳟、鳤、鳗鲡、鳜和鲌类等20多种，年渔获量在200吨左右。</w:t>
      </w:r>
    </w:p>
    <w:p>
      <w:pPr>
        <w:pStyle w:val="5"/>
        <w:tabs>
          <w:tab w:val="left" w:pos="709"/>
        </w:tabs>
        <w:spacing w:before="62" w:beforeLines="20" w:line="360" w:lineRule="auto"/>
        <w:ind w:left="0" w:firstLine="0"/>
      </w:pPr>
      <w:bookmarkStart w:id="105" w:name="_Toc442195691"/>
      <w:r>
        <w:t>中华鲟保护区</w:t>
      </w:r>
      <w:bookmarkEnd w:id="105"/>
    </w:p>
    <w:p>
      <w:pPr>
        <w:autoSpaceDE w:val="0"/>
        <w:autoSpaceDN w:val="0"/>
        <w:snapToGrid w:val="0"/>
        <w:spacing w:line="520" w:lineRule="exact"/>
        <w:ind w:firstLine="480" w:firstLineChars="200"/>
        <w:rPr>
          <w:rFonts w:eastAsia="新宋体"/>
          <w:sz w:val="24"/>
        </w:rPr>
      </w:pPr>
      <w:r>
        <w:rPr>
          <w:rFonts w:hint="eastAsia" w:eastAsia="新宋体"/>
          <w:sz w:val="24"/>
        </w:rPr>
        <w:t>项目所在区域和评价范围内的保护区为中华鲟自然保护区。</w:t>
      </w:r>
    </w:p>
    <w:p>
      <w:pPr>
        <w:autoSpaceDE w:val="0"/>
        <w:autoSpaceDN w:val="0"/>
        <w:snapToGrid w:val="0"/>
        <w:spacing w:line="520" w:lineRule="exact"/>
        <w:ind w:firstLine="480" w:firstLineChars="200"/>
        <w:rPr>
          <w:rFonts w:eastAsia="新宋体"/>
          <w:sz w:val="24"/>
        </w:rPr>
      </w:pPr>
      <w:r>
        <w:rPr>
          <w:rFonts w:eastAsia="新宋体"/>
          <w:sz w:val="24"/>
        </w:rPr>
        <w:t>中华鲟是过河口大型溯河洄游性鱼类，具有重要的科学研究价值。中华鲟在中国和日本的近海生长，到长江上游的金沙江下段(距长江口约3050km)或珠江上游繁殖。长江中华鲟种群在10月中旬至11月中旬产卵，珠江中华鲟种群在3～4月产卵，二者有不同的繁殖季节，属于不同的生态类群。现今珠江的中华鲟繁殖群体数量已急剧萎缩。1980年以前，长江中华鲟繁殖群体的年资源量估计有2000多尾，长江上游各地每年捕捞中华鲟的数量在400～500尾之间，折算成重量约为6～8万千克。葛洲坝水利枢纽工程修建后，由于大坝的阻隔作用，阻断了中华鲟在长江的上溯通道，其繁殖群体被迫滞留于坝下江段，并形成了新的产卵场进行自然繁殖。据多年的调查研究表明，该产卵场是迄今为止发现的长江中华鲟唯一现存的产卵场，也是中华鲟繁殖群体的主要栖息地。</w:t>
      </w:r>
    </w:p>
    <w:p>
      <w:pPr>
        <w:autoSpaceDE w:val="0"/>
        <w:autoSpaceDN w:val="0"/>
        <w:snapToGrid w:val="0"/>
        <w:spacing w:line="520" w:lineRule="exact"/>
        <w:ind w:firstLine="480" w:firstLineChars="200"/>
        <w:rPr>
          <w:rFonts w:eastAsia="新宋体"/>
          <w:sz w:val="24"/>
        </w:rPr>
      </w:pPr>
      <w:r>
        <w:rPr>
          <w:rFonts w:eastAsia="新宋体"/>
          <w:sz w:val="24"/>
        </w:rPr>
        <w:t>1983年后，对长江中华鲟的商业捕捞被完全禁止，只允许有少量个体被特许捕捞用于人工催产和其他有关的科学研究。尽管采取了上述措施，由于葛洲坝水利枢纽下游产卵场中华鲟的自然繁殖规模太小，加之人工放流的数量不足以弥补对自然产卵减少的损失，其资源量呈逐年持续下降的趋势，目前估计已经不足1000尾。</w:t>
      </w:r>
    </w:p>
    <w:p>
      <w:pPr>
        <w:autoSpaceDE w:val="0"/>
        <w:autoSpaceDN w:val="0"/>
        <w:snapToGrid w:val="0"/>
        <w:spacing w:line="520" w:lineRule="exact"/>
        <w:ind w:firstLine="480" w:firstLineChars="200"/>
        <w:rPr>
          <w:rFonts w:eastAsia="新宋体"/>
          <w:sz w:val="24"/>
        </w:rPr>
      </w:pPr>
      <w:r>
        <w:rPr>
          <w:rFonts w:eastAsia="新宋体"/>
          <w:sz w:val="24"/>
        </w:rPr>
        <w:t>主要保护对象</w:t>
      </w:r>
      <w:r>
        <w:rPr>
          <w:rFonts w:hint="eastAsia" w:eastAsia="新宋体"/>
          <w:sz w:val="24"/>
        </w:rPr>
        <w:t>是</w:t>
      </w:r>
      <w:r>
        <w:rPr>
          <w:rFonts w:eastAsia="新宋体"/>
          <w:sz w:val="24"/>
        </w:rPr>
        <w:t>中华鲟繁殖群体及其栖息地和产卵场。其它保护对象</w:t>
      </w:r>
      <w:r>
        <w:rPr>
          <w:rFonts w:hint="eastAsia" w:eastAsia="新宋体"/>
          <w:sz w:val="24"/>
        </w:rPr>
        <w:t>包括：</w:t>
      </w:r>
      <w:r>
        <w:rPr>
          <w:rFonts w:eastAsia="新宋体"/>
          <w:sz w:val="24"/>
        </w:rPr>
        <w:t>国家重点保护动物</w:t>
      </w:r>
      <w:r>
        <w:rPr>
          <w:rFonts w:eastAsia="新宋体"/>
          <w:sz w:val="24"/>
          <w:highlight w:val="yellow"/>
        </w:rPr>
        <w:t>白鲟、达氏鲟、胭脂鱼</w:t>
      </w:r>
      <w:r>
        <w:rPr>
          <w:rFonts w:eastAsia="新宋体"/>
          <w:sz w:val="24"/>
        </w:rPr>
        <w:t>以及“四大家鱼”等经济鱼类的栖息地和产卵场。在长江宜昌江段共分布的鱼类有100余种。草鱼、青鱼、鲢、鳙“四大家鱼”，是长江中下游的重要经济鱼类。由于葛洲坝的阻隔，宜昌江段的“四大家鱼”亲鱼、产卵场规模有所扩大，产卵场主要分布在坝下约23km的江段。</w:t>
      </w:r>
    </w:p>
    <w:p>
      <w:pPr>
        <w:spacing w:line="360" w:lineRule="auto"/>
        <w:ind w:firstLine="480" w:firstLineChars="200"/>
        <w:rPr>
          <w:rFonts w:hAnsi="宋体"/>
          <w:sz w:val="24"/>
        </w:rPr>
      </w:pPr>
      <w:r>
        <w:rPr>
          <w:rFonts w:hAnsi="宋体"/>
          <w:sz w:val="24"/>
        </w:rPr>
        <w:t>为使中华鲟不因葛洲坝工程和三峡工程的建设阻断其洄游通道而灭绝，我国于</w:t>
      </w:r>
      <w:r>
        <w:rPr>
          <w:sz w:val="24"/>
        </w:rPr>
        <w:t>1982</w:t>
      </w:r>
      <w:r>
        <w:rPr>
          <w:rFonts w:hAnsi="宋体"/>
          <w:sz w:val="24"/>
        </w:rPr>
        <w:t>年在宜昌创建中华鲟研究所，自建所以来的</w:t>
      </w:r>
      <w:r>
        <w:rPr>
          <w:sz w:val="24"/>
        </w:rPr>
        <w:t>20</w:t>
      </w:r>
      <w:r>
        <w:rPr>
          <w:rFonts w:hAnsi="宋体"/>
          <w:sz w:val="24"/>
        </w:rPr>
        <w:t>年时间里</w:t>
      </w:r>
      <w:r>
        <w:rPr>
          <w:sz w:val="24"/>
        </w:rPr>
        <w:t>,</w:t>
      </w:r>
      <w:r>
        <w:rPr>
          <w:rFonts w:hAnsi="宋体"/>
          <w:sz w:val="24"/>
        </w:rPr>
        <w:t>累计人工繁殖并向长江中放流多种规格的中华鲟</w:t>
      </w:r>
      <w:r>
        <w:rPr>
          <w:sz w:val="24"/>
        </w:rPr>
        <w:t>4490500</w:t>
      </w:r>
      <w:r>
        <w:rPr>
          <w:rFonts w:hAnsi="宋体"/>
          <w:sz w:val="24"/>
        </w:rPr>
        <w:t>余尾，有效地补充了中华鲟的种群数量。现在这一增殖放流活动每年都坚持进行。</w:t>
      </w:r>
    </w:p>
    <w:p>
      <w:pPr>
        <w:spacing w:line="360" w:lineRule="auto"/>
        <w:ind w:firstLine="482" w:firstLineChars="200"/>
        <w:rPr>
          <w:b/>
          <w:sz w:val="24"/>
        </w:rPr>
      </w:pPr>
      <w:r>
        <w:rPr>
          <w:b/>
          <w:sz w:val="24"/>
        </w:rPr>
        <w:t>白鲟</w:t>
      </w:r>
      <w:r>
        <w:rPr>
          <w:b/>
        </w:rPr>
        <w:t>Psephurus</w:t>
      </w:r>
      <w:r>
        <w:rPr>
          <w:b/>
          <w:bCs/>
          <w:i/>
          <w:iCs/>
          <w:sz w:val="24"/>
        </w:rPr>
        <w:t xml:space="preserve"> gladius  </w:t>
      </w:r>
      <w:r>
        <w:rPr>
          <w:b/>
          <w:bCs/>
          <w:sz w:val="24"/>
        </w:rPr>
        <w:t>(Martens)</w:t>
      </w:r>
    </w:p>
    <w:p>
      <w:pPr>
        <w:spacing w:line="360" w:lineRule="auto"/>
        <w:ind w:firstLine="480" w:firstLineChars="200"/>
        <w:rPr>
          <w:sz w:val="24"/>
        </w:rPr>
      </w:pPr>
      <w:r>
        <w:rPr>
          <w:rFonts w:hAnsi="宋体"/>
          <w:sz w:val="24"/>
        </w:rPr>
        <w:t>国家</w:t>
      </w:r>
      <w:r>
        <w:rPr>
          <w:b/>
          <w:bCs/>
          <w:sz w:val="24"/>
        </w:rPr>
        <w:t>Ⅰ</w:t>
      </w:r>
      <w:r>
        <w:rPr>
          <w:rFonts w:hAnsi="宋体"/>
          <w:sz w:val="24"/>
        </w:rPr>
        <w:t>级保护水生野生动物。栖息于长江干流，有时也进人沿江大型湖泊</w:t>
      </w:r>
      <w:r>
        <w:rPr>
          <w:sz w:val="24"/>
        </w:rPr>
        <w:t>(</w:t>
      </w:r>
      <w:r>
        <w:rPr>
          <w:rFonts w:hAnsi="宋体"/>
          <w:sz w:val="24"/>
        </w:rPr>
        <w:t>如洞庭湖</w:t>
      </w:r>
      <w:r>
        <w:rPr>
          <w:sz w:val="24"/>
        </w:rPr>
        <w:t>)</w:t>
      </w:r>
      <w:r>
        <w:rPr>
          <w:rFonts w:hAnsi="宋体"/>
          <w:sz w:val="24"/>
        </w:rPr>
        <w:t>，中下层鱼类。猛性鱼类。食物中有铜鱼、长颌鱭、虾、蟹等。春季繁殖。</w:t>
      </w:r>
    </w:p>
    <w:p>
      <w:pPr>
        <w:spacing w:line="360" w:lineRule="auto"/>
        <w:ind w:firstLine="480" w:firstLineChars="200"/>
        <w:rPr>
          <w:sz w:val="24"/>
        </w:rPr>
      </w:pPr>
      <w:r>
        <w:rPr>
          <w:rFonts w:hAnsi="宋体"/>
          <w:sz w:val="24"/>
        </w:rPr>
        <w:t>历史上白鲟成鱼的主要捕捞江段分布在四川雷波至宜宾、江津、重庆至万县，以及宜昌至宜都。其中四川雷波至宜宾江段捕捞的白鲟一般都是个体较大、性腺发育成熟的个体，说明其产卵场分布在该区域。</w:t>
      </w:r>
    </w:p>
    <w:p>
      <w:pPr>
        <w:spacing w:line="360" w:lineRule="auto"/>
        <w:ind w:firstLine="480" w:firstLineChars="200"/>
        <w:rPr>
          <w:rFonts w:hAnsi="宋体"/>
          <w:sz w:val="24"/>
        </w:rPr>
      </w:pPr>
      <w:r>
        <w:rPr>
          <w:sz w:val="24"/>
        </w:rPr>
        <w:t>1981</w:t>
      </w:r>
      <w:r>
        <w:rPr>
          <w:rFonts w:hAnsi="宋体"/>
          <w:sz w:val="24"/>
        </w:rPr>
        <w:t>年，葛州坝水利枢纽修建后，长江中、下游的白鲟溯河洄游受阻，已经不能对上游的群体形成补充，而在葛洲坝下江段，尽管调查研究断续进行了多年，但未曾获得白鲟在该江段能够自然繁殖的直接证据。长江白鲟的资源量近十余年来呈现了显著下降的趋势，其资源极度濒危，如果不采取有力措施，白鲟物种将面临灭绝的危险。由于白鲟自然种群已经极为有限，依靠其自然恢复已几乎不可能</w:t>
      </w:r>
      <w:r>
        <w:rPr>
          <w:rFonts w:hint="eastAsia" w:hAnsi="宋体"/>
          <w:sz w:val="24"/>
        </w:rPr>
        <w:t>.</w:t>
      </w:r>
    </w:p>
    <w:p>
      <w:pPr>
        <w:spacing w:line="360" w:lineRule="auto"/>
        <w:ind w:firstLine="480" w:firstLineChars="200"/>
        <w:rPr>
          <w:sz w:val="24"/>
        </w:rPr>
      </w:pPr>
      <w:r>
        <w:rPr>
          <w:sz w:val="24"/>
        </w:rPr>
        <w:t>2005</w:t>
      </w:r>
      <w:r>
        <w:rPr>
          <w:rFonts w:hAnsi="宋体"/>
          <w:sz w:val="24"/>
        </w:rPr>
        <w:t>年</w:t>
      </w:r>
      <w:r>
        <w:rPr>
          <w:sz w:val="24"/>
        </w:rPr>
        <w:t>12</w:t>
      </w:r>
      <w:r>
        <w:rPr>
          <w:rFonts w:hAnsi="宋体"/>
          <w:sz w:val="24"/>
        </w:rPr>
        <w:t>月中国三峡总公司于</w:t>
      </w:r>
      <w:r>
        <w:rPr>
          <w:sz w:val="24"/>
        </w:rPr>
        <w:t>2005</w:t>
      </w:r>
      <w:r>
        <w:rPr>
          <w:rFonts w:hAnsi="宋体"/>
          <w:sz w:val="24"/>
        </w:rPr>
        <w:t>年立项资助开展</w:t>
      </w:r>
      <w:r>
        <w:rPr>
          <w:sz w:val="24"/>
        </w:rPr>
        <w:t>“</w:t>
      </w:r>
      <w:r>
        <w:rPr>
          <w:rFonts w:hAnsi="宋体"/>
          <w:sz w:val="24"/>
        </w:rPr>
        <w:t>白鲟生活史和人工繁殖技术研究</w:t>
      </w:r>
      <w:r>
        <w:rPr>
          <w:sz w:val="24"/>
        </w:rPr>
        <w:t>”</w:t>
      </w:r>
      <w:r>
        <w:rPr>
          <w:rFonts w:hAnsi="宋体"/>
          <w:sz w:val="24"/>
        </w:rPr>
        <w:t>前期研究，探索在长江上游搜寻白鲟个体并进行人工驯养和人工繁殖的可能。研究工作开展以来，已建立了珍稀鱼类救护快速反应系统网络，开展了探测和重要栖息地调查，但是目前尚未捕获活的个体，相关驯养、人工繁殖技术处于探索阶段。</w:t>
      </w:r>
    </w:p>
    <w:p>
      <w:pPr>
        <w:spacing w:line="360" w:lineRule="auto"/>
        <w:ind w:firstLine="482" w:firstLineChars="200"/>
        <w:rPr>
          <w:b/>
          <w:sz w:val="24"/>
          <w:lang w:val="fr-FR"/>
        </w:rPr>
      </w:pPr>
      <w:r>
        <w:rPr>
          <w:b/>
          <w:sz w:val="24"/>
        </w:rPr>
        <w:t>江豚</w:t>
      </w:r>
      <w:r>
        <w:rPr>
          <w:b/>
          <w:i/>
          <w:iCs/>
          <w:spacing w:val="8"/>
          <w:sz w:val="24"/>
          <w:lang w:val="fr-FR"/>
        </w:rPr>
        <w:t>Neophocaena phocaenoides</w:t>
      </w:r>
      <w:r>
        <w:rPr>
          <w:rStyle w:val="1111"/>
          <w:b/>
          <w:sz w:val="24"/>
          <w:lang w:val="fr-FR"/>
        </w:rPr>
        <w:t> </w:t>
      </w:r>
      <w:r>
        <w:rPr>
          <w:rStyle w:val="1111"/>
          <w:b/>
          <w:i/>
          <w:sz w:val="24"/>
          <w:lang w:val="fr-FR"/>
        </w:rPr>
        <w:t>asiaeorientalis</w:t>
      </w:r>
      <w:r>
        <w:rPr>
          <w:rStyle w:val="1111"/>
          <w:b/>
          <w:sz w:val="24"/>
          <w:lang w:val="fr-FR"/>
        </w:rPr>
        <w:t>（Pilleri  </w:t>
      </w:r>
      <w:r>
        <w:rPr>
          <w:rStyle w:val="1111"/>
          <w:b/>
          <w:i/>
          <w:sz w:val="24"/>
          <w:lang w:val="fr-FR"/>
        </w:rPr>
        <w:t>et </w:t>
      </w:r>
      <w:r>
        <w:rPr>
          <w:rStyle w:val="1111"/>
          <w:b/>
          <w:sz w:val="24"/>
          <w:lang w:val="fr-FR"/>
        </w:rPr>
        <w:t> Gihr）</w:t>
      </w:r>
    </w:p>
    <w:p>
      <w:pPr>
        <w:spacing w:line="360" w:lineRule="auto"/>
        <w:ind w:firstLine="480" w:firstLineChars="200"/>
        <w:rPr>
          <w:sz w:val="24"/>
        </w:rPr>
      </w:pPr>
      <w:r>
        <w:rPr>
          <w:rFonts w:hAnsi="宋体"/>
          <w:sz w:val="24"/>
        </w:rPr>
        <w:t>国家</w:t>
      </w:r>
      <w:r>
        <w:rPr>
          <w:b/>
          <w:bCs/>
          <w:iCs/>
          <w:sz w:val="24"/>
        </w:rPr>
        <w:t>Ⅱ</w:t>
      </w:r>
      <w:r>
        <w:rPr>
          <w:rFonts w:hAnsi="宋体"/>
          <w:sz w:val="24"/>
        </w:rPr>
        <w:t>级保护水生野生动物。</w:t>
      </w:r>
    </w:p>
    <w:p>
      <w:pPr>
        <w:spacing w:line="360" w:lineRule="auto"/>
        <w:ind w:firstLine="480" w:firstLineChars="200"/>
        <w:rPr>
          <w:sz w:val="24"/>
        </w:rPr>
      </w:pPr>
      <w:r>
        <w:rPr>
          <w:rFonts w:hAnsi="宋体"/>
          <w:sz w:val="24"/>
        </w:rPr>
        <w:t>江豚，属鼠海豚科、江豚属。该属仅</w:t>
      </w:r>
      <w:r>
        <w:rPr>
          <w:sz w:val="24"/>
        </w:rPr>
        <w:t>1</w:t>
      </w:r>
      <w:r>
        <w:rPr>
          <w:rFonts w:hAnsi="宋体"/>
          <w:sz w:val="24"/>
        </w:rPr>
        <w:t>种</w:t>
      </w:r>
      <w:r>
        <w:rPr>
          <w:rFonts w:hint="eastAsia" w:hAnsi="宋体"/>
          <w:sz w:val="24"/>
        </w:rPr>
        <w:t>。</w:t>
      </w:r>
      <w:r>
        <w:rPr>
          <w:rFonts w:hAnsi="宋体"/>
          <w:sz w:val="24"/>
        </w:rPr>
        <w:t>江豚成体体长为</w:t>
      </w:r>
      <w:r>
        <w:rPr>
          <w:sz w:val="24"/>
        </w:rPr>
        <w:t>120</w:t>
      </w:r>
      <w:r>
        <w:rPr>
          <w:rFonts w:hAnsi="宋体"/>
          <w:sz w:val="24"/>
        </w:rPr>
        <w:t>～</w:t>
      </w:r>
      <w:r>
        <w:rPr>
          <w:sz w:val="24"/>
        </w:rPr>
        <w:t>190cm</w:t>
      </w:r>
      <w:r>
        <w:rPr>
          <w:rFonts w:hAnsi="宋体"/>
          <w:sz w:val="24"/>
        </w:rPr>
        <w:t>，体重</w:t>
      </w:r>
      <w:r>
        <w:rPr>
          <w:sz w:val="24"/>
        </w:rPr>
        <w:t>100</w:t>
      </w:r>
      <w:r>
        <w:rPr>
          <w:rFonts w:hAnsi="宋体"/>
          <w:sz w:val="24"/>
        </w:rPr>
        <w:t>～</w:t>
      </w:r>
      <w:r>
        <w:rPr>
          <w:sz w:val="24"/>
        </w:rPr>
        <w:t>220kg</w:t>
      </w:r>
      <w:r>
        <w:rPr>
          <w:rFonts w:hAnsi="宋体"/>
          <w:sz w:val="24"/>
        </w:rPr>
        <w:t>。分布于西太平洋、印度洋、日本海和我国沿海等热带至暖温带水域，在我国见于渤海、黄海、东海、南海和长江等水域，通常栖于咸淡水交界的海域，也能在大小河川的下游地带等淡水中生活，在长江能上溯到宜昌一带。喜单只或成对活动，结成群体一般不超过</w:t>
      </w:r>
      <w:r>
        <w:rPr>
          <w:sz w:val="24"/>
        </w:rPr>
        <w:t>4</w:t>
      </w:r>
      <w:r>
        <w:rPr>
          <w:rFonts w:hAnsi="宋体"/>
          <w:sz w:val="24"/>
        </w:rPr>
        <w:t>～</w:t>
      </w:r>
      <w:r>
        <w:rPr>
          <w:sz w:val="24"/>
        </w:rPr>
        <w:t>5</w:t>
      </w:r>
      <w:r>
        <w:rPr>
          <w:rFonts w:hAnsi="宋体"/>
          <w:sz w:val="24"/>
        </w:rPr>
        <w:t>只，但也有</w:t>
      </w:r>
      <w:r>
        <w:rPr>
          <w:sz w:val="24"/>
        </w:rPr>
        <w:t>87</w:t>
      </w:r>
      <w:r>
        <w:rPr>
          <w:rFonts w:hAnsi="宋体"/>
          <w:sz w:val="24"/>
        </w:rPr>
        <w:t>只在一起的记录。</w:t>
      </w:r>
      <w:r>
        <w:rPr>
          <w:rFonts w:hint="eastAsia" w:hAnsi="宋体"/>
          <w:sz w:val="24"/>
        </w:rPr>
        <w:t>江豚</w:t>
      </w:r>
      <w:r>
        <w:rPr>
          <w:rFonts w:hAnsi="宋体"/>
          <w:sz w:val="24"/>
        </w:rPr>
        <w:t>一般在春季繁殖，分娩持续时间较长，</w:t>
      </w:r>
      <w:r>
        <w:rPr>
          <w:sz w:val="24"/>
        </w:rPr>
        <w:t>4</w:t>
      </w:r>
      <w:r>
        <w:rPr>
          <w:rFonts w:hAnsi="宋体"/>
          <w:sz w:val="24"/>
        </w:rPr>
        <w:t>～</w:t>
      </w:r>
      <w:r>
        <w:rPr>
          <w:sz w:val="24"/>
        </w:rPr>
        <w:t>5</w:t>
      </w:r>
      <w:r>
        <w:rPr>
          <w:rFonts w:hAnsi="宋体"/>
          <w:sz w:val="24"/>
        </w:rPr>
        <w:t>月份为产仔盛期，初生仔豚长约</w:t>
      </w:r>
      <w:r>
        <w:rPr>
          <w:sz w:val="24"/>
        </w:rPr>
        <w:t>70cm</w:t>
      </w:r>
      <w:r>
        <w:rPr>
          <w:rFonts w:hAnsi="宋体"/>
          <w:sz w:val="24"/>
        </w:rPr>
        <w:t>，每胎</w:t>
      </w:r>
      <w:r>
        <w:rPr>
          <w:sz w:val="24"/>
        </w:rPr>
        <w:t>1</w:t>
      </w:r>
      <w:r>
        <w:rPr>
          <w:rFonts w:hAnsi="宋体"/>
          <w:sz w:val="24"/>
        </w:rPr>
        <w:t>仔。江豚食性较广，以鱼类为主，摄食虾类和头足类动物。</w:t>
      </w:r>
    </w:p>
    <w:p>
      <w:pPr>
        <w:pStyle w:val="4"/>
        <w:spacing w:line="360" w:lineRule="auto"/>
        <w:ind w:firstLine="480"/>
        <w:rPr>
          <w:sz w:val="24"/>
        </w:rPr>
      </w:pPr>
      <w:r>
        <w:rPr>
          <w:sz w:val="24"/>
        </w:rPr>
        <w:t>目前，长江江豚资源量已不足2000头，且仍在持续下降。由于自然环境的变迁、水位下降、水质恶化、江湖淤积、食饵减少等给江豚的繁殖与生长带来了威胁。行船与滥捕对亲豚和幼豚杀伤力极大，导致长江江豚资源锐减。开展人工驯化繁育研究，采取放流幼豚增殖资源，确保江豚世代繁衍，意义非常重大。</w:t>
      </w:r>
    </w:p>
    <w:p>
      <w:pPr>
        <w:spacing w:line="360" w:lineRule="auto"/>
        <w:ind w:firstLine="422" w:firstLineChars="200"/>
        <w:rPr>
          <w:b/>
          <w:sz w:val="24"/>
        </w:rPr>
      </w:pPr>
      <w:r>
        <w:rPr>
          <w:b/>
        </w:rPr>
        <w:t>胭脂</w:t>
      </w:r>
      <w:r>
        <w:rPr>
          <w:b/>
          <w:sz w:val="24"/>
        </w:rPr>
        <w:t>鱼</w:t>
      </w:r>
      <w:r>
        <w:rPr>
          <w:b/>
          <w:i/>
          <w:sz w:val="24"/>
        </w:rPr>
        <w:t>Myxocyprinus asiaticus</w:t>
      </w:r>
      <w:r>
        <w:rPr>
          <w:b/>
          <w:sz w:val="24"/>
        </w:rPr>
        <w:t xml:space="preserve"> (Bleeker)</w:t>
      </w:r>
    </w:p>
    <w:p>
      <w:pPr>
        <w:spacing w:line="360" w:lineRule="auto"/>
        <w:ind w:firstLine="480" w:firstLineChars="200"/>
        <w:rPr>
          <w:sz w:val="24"/>
        </w:rPr>
      </w:pPr>
      <w:r>
        <w:rPr>
          <w:rFonts w:hAnsi="宋体"/>
          <w:sz w:val="24"/>
        </w:rPr>
        <w:t>国家</w:t>
      </w:r>
      <w:r>
        <w:rPr>
          <w:b/>
          <w:bCs/>
          <w:iCs/>
          <w:sz w:val="24"/>
        </w:rPr>
        <w:t>Ⅱ</w:t>
      </w:r>
      <w:r>
        <w:rPr>
          <w:rFonts w:hAnsi="宋体"/>
          <w:sz w:val="24"/>
        </w:rPr>
        <w:t>级保护水生野生动物。</w:t>
      </w:r>
    </w:p>
    <w:p>
      <w:pPr>
        <w:spacing w:line="360" w:lineRule="auto"/>
        <w:ind w:firstLine="480" w:firstLineChars="200"/>
        <w:rPr>
          <w:sz w:val="24"/>
        </w:rPr>
      </w:pPr>
      <w:r>
        <w:rPr>
          <w:rFonts w:hAnsi="宋体"/>
          <w:sz w:val="24"/>
        </w:rPr>
        <w:t>胭脂鱼在不同的生长阶段，某些形态性状变化较大。如体长与体高的关系，在仔鱼阶段，体长</w:t>
      </w:r>
      <w:r>
        <w:rPr>
          <w:sz w:val="24"/>
        </w:rPr>
        <w:t>1.6～2.2cm</w:t>
      </w:r>
      <w:r>
        <w:rPr>
          <w:rFonts w:hAnsi="宋体"/>
          <w:sz w:val="24"/>
        </w:rPr>
        <w:t>时，其体形细长，长约为体高的遭</w:t>
      </w:r>
      <w:r>
        <w:rPr>
          <w:sz w:val="24"/>
        </w:rPr>
        <w:t>4.7</w:t>
      </w:r>
      <w:r>
        <w:rPr>
          <w:rFonts w:hAnsi="宋体"/>
          <w:sz w:val="24"/>
        </w:rPr>
        <w:t>倍。在幼鱼阶段，体长</w:t>
      </w:r>
      <w:r>
        <w:rPr>
          <w:sz w:val="24"/>
        </w:rPr>
        <w:t>12.0～28.0cm</w:t>
      </w:r>
      <w:r>
        <w:rPr>
          <w:rFonts w:hAnsi="宋体"/>
          <w:sz w:val="24"/>
        </w:rPr>
        <w:t>时，体长约为体高的</w:t>
      </w:r>
      <w:r>
        <w:rPr>
          <w:sz w:val="24"/>
        </w:rPr>
        <w:t>2.5</w:t>
      </w:r>
      <w:r>
        <w:rPr>
          <w:rFonts w:hAnsi="宋体"/>
          <w:sz w:val="24"/>
        </w:rPr>
        <w:t>倍。体高的增长速度比体长快，成鱼时期，体长</w:t>
      </w:r>
      <w:r>
        <w:rPr>
          <w:sz w:val="24"/>
        </w:rPr>
        <w:t>58.4～98.0cm</w:t>
      </w:r>
      <w:r>
        <w:rPr>
          <w:rFonts w:hAnsi="宋体"/>
          <w:sz w:val="24"/>
        </w:rPr>
        <w:t>体长约为体高的</w:t>
      </w:r>
      <w:r>
        <w:rPr>
          <w:sz w:val="24"/>
        </w:rPr>
        <w:t>3.4</w:t>
      </w:r>
      <w:r>
        <w:rPr>
          <w:rFonts w:hAnsi="宋体"/>
          <w:sz w:val="24"/>
        </w:rPr>
        <w:t>倍，此时期体高增长反而减慢。</w:t>
      </w:r>
    </w:p>
    <w:p>
      <w:pPr>
        <w:spacing w:line="360" w:lineRule="auto"/>
        <w:ind w:firstLine="480" w:firstLineChars="200"/>
        <w:rPr>
          <w:sz w:val="24"/>
        </w:rPr>
      </w:pPr>
      <w:r>
        <w:rPr>
          <w:rFonts w:hAnsi="宋体"/>
          <w:sz w:val="24"/>
        </w:rPr>
        <w:t>产卵季节较早，为</w:t>
      </w:r>
      <w:r>
        <w:rPr>
          <w:sz w:val="24"/>
        </w:rPr>
        <w:t>3</w:t>
      </w:r>
      <w:r>
        <w:rPr>
          <w:rFonts w:hAnsi="宋体"/>
          <w:sz w:val="24"/>
        </w:rPr>
        <w:t>月下旬至</w:t>
      </w:r>
      <w:r>
        <w:rPr>
          <w:sz w:val="24"/>
        </w:rPr>
        <w:t>4</w:t>
      </w:r>
      <w:r>
        <w:rPr>
          <w:rFonts w:hAnsi="宋体"/>
          <w:sz w:val="24"/>
        </w:rPr>
        <w:t>月下旬，产卵时水温较低。当江水</w:t>
      </w:r>
      <w:r>
        <w:rPr>
          <w:sz w:val="24"/>
        </w:rPr>
        <w:t>13</w:t>
      </w:r>
      <w:r>
        <w:rPr>
          <w:rFonts w:hAnsi="宋体"/>
          <w:sz w:val="24"/>
        </w:rPr>
        <w:t>℃时，就发现胭脂鱼自然繁殖，产卵最适水温为</w:t>
      </w:r>
      <w:r>
        <w:rPr>
          <w:sz w:val="24"/>
        </w:rPr>
        <w:t>14</w:t>
      </w:r>
      <w:r>
        <w:rPr>
          <w:rFonts w:hAnsi="宋体"/>
          <w:sz w:val="24"/>
        </w:rPr>
        <w:t>～</w:t>
      </w:r>
      <w:r>
        <w:rPr>
          <w:sz w:val="24"/>
        </w:rPr>
        <w:t>16</w:t>
      </w:r>
      <w:r>
        <w:rPr>
          <w:rFonts w:hAnsi="宋体"/>
          <w:sz w:val="24"/>
        </w:rPr>
        <w:t>℃。胭脂鱼在流水环境中繁殖，产卵场多分布在江边的滩坝上，水流较湍急，流态紊乱，底质为沙砾。卵粘性，鱼卵产出后，卵膜吸水膨胀，并产生粘性，鱼卵粘附于沙砾上发育。吸水膨胀后的胭脂鱼鱼卵，直径可达</w:t>
      </w:r>
      <w:r>
        <w:rPr>
          <w:sz w:val="24"/>
        </w:rPr>
        <w:t>4.0</w:t>
      </w:r>
      <w:r>
        <w:rPr>
          <w:rFonts w:hAnsi="宋体"/>
          <w:sz w:val="24"/>
        </w:rPr>
        <w:t>～</w:t>
      </w:r>
      <w:r>
        <w:rPr>
          <w:sz w:val="24"/>
        </w:rPr>
        <w:t>4.5 mm</w:t>
      </w:r>
      <w:r>
        <w:rPr>
          <w:rFonts w:hAnsi="宋体"/>
          <w:sz w:val="24"/>
        </w:rPr>
        <w:t>。水温在</w:t>
      </w:r>
      <w:r>
        <w:rPr>
          <w:sz w:val="24"/>
        </w:rPr>
        <w:t>13</w:t>
      </w:r>
      <w:r>
        <w:rPr>
          <w:rFonts w:hAnsi="宋体"/>
          <w:sz w:val="24"/>
        </w:rPr>
        <w:t>～</w:t>
      </w:r>
      <w:r>
        <w:rPr>
          <w:sz w:val="24"/>
        </w:rPr>
        <w:t>15</w:t>
      </w:r>
      <w:r>
        <w:rPr>
          <w:rFonts w:hAnsi="宋体"/>
          <w:sz w:val="24"/>
        </w:rPr>
        <w:t>℃时，鱼卵从受精到孵出大约需经历</w:t>
      </w:r>
      <w:r>
        <w:rPr>
          <w:sz w:val="24"/>
        </w:rPr>
        <w:t>7</w:t>
      </w:r>
      <w:r>
        <w:rPr>
          <w:rFonts w:hAnsi="宋体"/>
          <w:sz w:val="24"/>
        </w:rPr>
        <w:t>～</w:t>
      </w:r>
      <w:r>
        <w:rPr>
          <w:sz w:val="24"/>
        </w:rPr>
        <w:t>8</w:t>
      </w:r>
      <w:r>
        <w:rPr>
          <w:rFonts w:hAnsi="宋体"/>
          <w:sz w:val="24"/>
        </w:rPr>
        <w:t>天。刚孵出的仔鱼，各种器官尚未发育完善，不能在水层游动，静卧于河床底部作间歇性抽动。这一时期间约需</w:t>
      </w:r>
      <w:r>
        <w:rPr>
          <w:sz w:val="24"/>
        </w:rPr>
        <w:t>6</w:t>
      </w:r>
      <w:r>
        <w:rPr>
          <w:rFonts w:hAnsi="宋体"/>
          <w:sz w:val="24"/>
        </w:rPr>
        <w:t>～</w:t>
      </w:r>
      <w:r>
        <w:rPr>
          <w:sz w:val="24"/>
        </w:rPr>
        <w:t>8</w:t>
      </w:r>
      <w:r>
        <w:rPr>
          <w:rFonts w:hAnsi="宋体"/>
          <w:sz w:val="24"/>
        </w:rPr>
        <w:t>天，仔鱼极易受敌害残食，是死亡率很高的阶段。</w:t>
      </w:r>
    </w:p>
    <w:p>
      <w:pPr>
        <w:spacing w:line="360" w:lineRule="auto"/>
        <w:ind w:firstLine="480" w:firstLineChars="200"/>
        <w:rPr>
          <w:sz w:val="24"/>
        </w:rPr>
      </w:pPr>
      <w:r>
        <w:rPr>
          <w:rFonts w:hAnsi="宋体"/>
          <w:sz w:val="24"/>
        </w:rPr>
        <w:t>以底栖无脊椎动物为食，常见的食物有蜉蝣目、蜻蜓目、襀翅目、毛翅目、摇蚊科等水生昆虫，水生寡毛类、陆生蚯蚓以及淡水壳菜、蚬等软体动物。摄食量很大，消化道中的食物组成个体间差异很大，其变异情况受栖息环境中底栖动物组成所制约。如在重庆江段解剖的个体，消化道的食物以淡水壳菜为主，而在宜昌江段的个体常常大量吞食蜻蜓目幼虫及淡水壳菜。</w:t>
      </w:r>
    </w:p>
    <w:p>
      <w:pPr>
        <w:spacing w:line="360" w:lineRule="auto"/>
        <w:ind w:firstLine="480" w:firstLineChars="200"/>
        <w:rPr>
          <w:sz w:val="24"/>
        </w:rPr>
      </w:pPr>
      <w:r>
        <w:rPr>
          <w:rFonts w:hAnsi="宋体"/>
          <w:sz w:val="24"/>
        </w:rPr>
        <w:t>广泛分布于长江水系的干、支流。长江干流，金沙江、岷江、沱江、赤水河、嘉陵江、乌江、清江、汉江等支流，洞庭湖和鄱阳湖等沿江湖泊都有捕捞胭脂鱼的记录。其产卵场过去认为主要分布于宜宾至重庆江段的长江上游干流，以及岷江、嘉陵江等支流里，以金沙江下游江段比较集中。</w:t>
      </w:r>
    </w:p>
    <w:p>
      <w:pPr>
        <w:spacing w:line="360" w:lineRule="auto"/>
        <w:ind w:firstLine="480" w:firstLineChars="200"/>
        <w:rPr>
          <w:sz w:val="24"/>
        </w:rPr>
      </w:pPr>
      <w:r>
        <w:rPr>
          <w:rFonts w:hAnsi="宋体"/>
          <w:sz w:val="24"/>
        </w:rPr>
        <w:t>葛州坝截流后，胭脂鱼被分隔为坝上和坝下两个群体。据有关统计，在宜昌以上江段，</w:t>
      </w:r>
      <w:r>
        <w:rPr>
          <w:sz w:val="24"/>
        </w:rPr>
        <w:t>1958</w:t>
      </w:r>
      <w:r>
        <w:rPr>
          <w:rFonts w:hAnsi="宋体"/>
          <w:sz w:val="24"/>
        </w:rPr>
        <w:t>年胭脂鱼占岷江渔获量的</w:t>
      </w:r>
      <w:r>
        <w:rPr>
          <w:sz w:val="24"/>
        </w:rPr>
        <w:t>13%</w:t>
      </w:r>
      <w:r>
        <w:rPr>
          <w:rFonts w:hAnsi="宋体"/>
          <w:sz w:val="24"/>
        </w:rPr>
        <w:t>以上；</w:t>
      </w:r>
      <w:r>
        <w:rPr>
          <w:sz w:val="24"/>
        </w:rPr>
        <w:t>70</w:t>
      </w:r>
      <w:r>
        <w:rPr>
          <w:rFonts w:hAnsi="宋体"/>
          <w:sz w:val="24"/>
        </w:rPr>
        <w:t>年代，胭脂鱼资源开始明显下降，</w:t>
      </w:r>
      <w:r>
        <w:rPr>
          <w:sz w:val="24"/>
        </w:rPr>
        <w:t>70</w:t>
      </w:r>
      <w:r>
        <w:rPr>
          <w:rFonts w:hAnsi="宋体"/>
          <w:sz w:val="24"/>
        </w:rPr>
        <w:t>年代中期只占渔获量的</w:t>
      </w:r>
      <w:r>
        <w:rPr>
          <w:sz w:val="24"/>
        </w:rPr>
        <w:t>2%</w:t>
      </w:r>
      <w:r>
        <w:rPr>
          <w:rFonts w:hAnsi="宋体"/>
          <w:sz w:val="24"/>
        </w:rPr>
        <w:t>左右；进入</w:t>
      </w:r>
      <w:r>
        <w:rPr>
          <w:sz w:val="24"/>
        </w:rPr>
        <w:t>80</w:t>
      </w:r>
      <w:r>
        <w:rPr>
          <w:rFonts w:hAnsi="宋体"/>
          <w:sz w:val="24"/>
        </w:rPr>
        <w:t>年代，胭脂鱼占长江上游渔获物的比例已经不足</w:t>
      </w:r>
      <w:r>
        <w:rPr>
          <w:sz w:val="24"/>
        </w:rPr>
        <w:t>1%</w:t>
      </w:r>
      <w:r>
        <w:rPr>
          <w:rFonts w:hAnsi="宋体"/>
          <w:sz w:val="24"/>
        </w:rPr>
        <w:t>。</w:t>
      </w:r>
    </w:p>
    <w:p>
      <w:pPr>
        <w:spacing w:line="360" w:lineRule="auto"/>
        <w:ind w:firstLine="480" w:firstLineChars="200"/>
        <w:rPr>
          <w:rFonts w:hAnsi="宋体"/>
          <w:sz w:val="24"/>
        </w:rPr>
      </w:pPr>
      <w:r>
        <w:rPr>
          <w:rFonts w:hAnsi="宋体"/>
          <w:sz w:val="24"/>
        </w:rPr>
        <w:t>胭脂鱼在宜昌上、下游江段都可以自然繁殖，以上游的繁殖规模稍大一些，但目前总体繁殖规模很小，长江上游江段没有胭脂鱼幼鱼明显的集中分布区域。</w:t>
      </w:r>
    </w:p>
    <w:p>
      <w:pPr>
        <w:spacing w:line="360" w:lineRule="auto"/>
        <w:ind w:firstLine="422" w:firstLineChars="200"/>
        <w:rPr>
          <w:b/>
          <w:sz w:val="24"/>
        </w:rPr>
      </w:pPr>
      <w:r>
        <w:rPr>
          <w:rFonts w:ascii="Arial" w:hAnsi="Arial" w:cs="Arial"/>
          <w:b/>
          <w:color w:val="333333"/>
          <w:kern w:val="0"/>
          <w:szCs w:val="21"/>
        </w:rPr>
        <w:t>达氏鲟</w:t>
      </w:r>
      <w:r>
        <w:rPr>
          <w:rFonts w:ascii="Arial" w:hAnsi="Arial" w:cs="Arial"/>
          <w:b/>
          <w:i/>
          <w:color w:val="333333"/>
          <w:sz w:val="18"/>
          <w:szCs w:val="18"/>
        </w:rPr>
        <w:t>Acipenser dabryanus</w:t>
      </w:r>
      <w:r>
        <w:rPr>
          <w:b/>
          <w:sz w:val="24"/>
        </w:rPr>
        <w:t xml:space="preserve"> (</w:t>
      </w:r>
      <w:r>
        <w:rPr>
          <w:rFonts w:ascii="Arial" w:hAnsi="Arial" w:cs="Arial"/>
          <w:b/>
          <w:sz w:val="18"/>
          <w:szCs w:val="18"/>
        </w:rPr>
        <w:t>Riversturgeon,Dabry’ssturgeon</w:t>
      </w:r>
      <w:r>
        <w:rPr>
          <w:b/>
          <w:sz w:val="24"/>
        </w:rPr>
        <w:t>)</w:t>
      </w:r>
    </w:p>
    <w:p>
      <w:pPr>
        <w:widowControl/>
        <w:shd w:val="clear" w:color="auto" w:fill="FFFFFF"/>
        <w:spacing w:line="360" w:lineRule="auto"/>
        <w:ind w:firstLine="480" w:firstLineChars="200"/>
        <w:jc w:val="left"/>
        <w:rPr>
          <w:rFonts w:hAnsi="宋体"/>
          <w:sz w:val="24"/>
        </w:rPr>
      </w:pPr>
      <w:r>
        <w:rPr>
          <w:rFonts w:cs="Arial" w:asciiTheme="minorEastAsia" w:hAnsiTheme="minorEastAsia" w:eastAsiaTheme="minorEastAsia"/>
          <w:color w:val="333333"/>
          <w:kern w:val="0"/>
          <w:sz w:val="24"/>
        </w:rPr>
        <w:t>达</w:t>
      </w:r>
      <w:r>
        <w:rPr>
          <w:rFonts w:hAnsi="宋体"/>
          <w:sz w:val="24"/>
        </w:rPr>
        <w:t>氏鲟是一种淡水定居性鱼类，常在江河中下层活动，喜栖息于</w:t>
      </w:r>
      <w:r>
        <w:fldChar w:fldCharType="begin"/>
      </w:r>
      <w:r>
        <w:instrText xml:space="preserve"> HYPERLINK "http://baike.baidu.com/view/186518.htm" \t "_blank" </w:instrText>
      </w:r>
      <w:r>
        <w:fldChar w:fldCharType="separate"/>
      </w:r>
      <w:r>
        <w:rPr>
          <w:rFonts w:hAnsi="宋体"/>
          <w:sz w:val="24"/>
        </w:rPr>
        <w:t>流速</w:t>
      </w:r>
      <w:r>
        <w:rPr>
          <w:rFonts w:hAnsi="宋体"/>
          <w:sz w:val="24"/>
        </w:rPr>
        <w:fldChar w:fldCharType="end"/>
      </w:r>
      <w:r>
        <w:rPr>
          <w:rFonts w:hAnsi="宋体"/>
          <w:sz w:val="24"/>
        </w:rPr>
        <w:t>较缓、富腐植质和</w:t>
      </w:r>
      <w:r>
        <w:fldChar w:fldCharType="begin"/>
      </w:r>
      <w:r>
        <w:instrText xml:space="preserve"> HYPERLINK "http://baike.baidu.com/view/345255.htm" \t "_blank" </w:instrText>
      </w:r>
      <w:r>
        <w:fldChar w:fldCharType="separate"/>
      </w:r>
      <w:r>
        <w:rPr>
          <w:rFonts w:hAnsi="宋体"/>
          <w:sz w:val="24"/>
        </w:rPr>
        <w:t>底栖生物</w:t>
      </w:r>
      <w:r>
        <w:rPr>
          <w:rFonts w:hAnsi="宋体"/>
          <w:sz w:val="24"/>
        </w:rPr>
        <w:fldChar w:fldCharType="end"/>
      </w:r>
      <w:r>
        <w:rPr>
          <w:rFonts w:hAnsi="宋体"/>
          <w:sz w:val="24"/>
        </w:rPr>
        <w:t>的沙质底或</w:t>
      </w:r>
      <w:r>
        <w:fldChar w:fldCharType="begin"/>
      </w:r>
      <w:r>
        <w:instrText xml:space="preserve"> HYPERLINK "http://baike.baidu.com/view/207779.htm" \t "_blank" </w:instrText>
      </w:r>
      <w:r>
        <w:fldChar w:fldCharType="separate"/>
      </w:r>
      <w:r>
        <w:rPr>
          <w:rFonts w:hAnsi="宋体"/>
          <w:sz w:val="24"/>
        </w:rPr>
        <w:t>卵石</w:t>
      </w:r>
      <w:r>
        <w:rPr>
          <w:rFonts w:hAnsi="宋体"/>
          <w:sz w:val="24"/>
        </w:rPr>
        <w:fldChar w:fldCharType="end"/>
      </w:r>
      <w:r>
        <w:rPr>
          <w:rFonts w:hAnsi="宋体"/>
          <w:sz w:val="24"/>
        </w:rPr>
        <w:t>碛坝的河湾或深沱中，生长速度较快，一般体长0.8—1.0米，体重5—10公斤，</w:t>
      </w:r>
      <w:r>
        <w:fldChar w:fldCharType="begin"/>
      </w:r>
      <w:r>
        <w:instrText xml:space="preserve"> HYPERLINK "http://baike.baidu.com/view/266608.htm" \t "_blank" </w:instrText>
      </w:r>
      <w:r>
        <w:fldChar w:fldCharType="separate"/>
      </w:r>
      <w:r>
        <w:rPr>
          <w:rFonts w:hAnsi="宋体"/>
          <w:sz w:val="24"/>
        </w:rPr>
        <w:t>国家一级保护动物</w:t>
      </w:r>
      <w:r>
        <w:rPr>
          <w:rFonts w:hAnsi="宋体"/>
          <w:sz w:val="24"/>
        </w:rPr>
        <w:fldChar w:fldCharType="end"/>
      </w:r>
      <w:r>
        <w:rPr>
          <w:rFonts w:hAnsi="宋体"/>
          <w:sz w:val="24"/>
        </w:rPr>
        <w:t xml:space="preserve">。 </w:t>
      </w:r>
    </w:p>
    <w:p>
      <w:pPr>
        <w:widowControl/>
        <w:shd w:val="clear" w:color="auto" w:fill="FFFFFF"/>
        <w:spacing w:line="360" w:lineRule="auto"/>
        <w:ind w:firstLine="480" w:firstLineChars="200"/>
        <w:jc w:val="left"/>
        <w:rPr>
          <w:rFonts w:hAnsi="宋体"/>
          <w:sz w:val="24"/>
        </w:rPr>
      </w:pPr>
      <w:r>
        <w:rPr>
          <w:rFonts w:hint="eastAsia" w:hAnsi="宋体"/>
          <w:sz w:val="24"/>
        </w:rPr>
        <w:t>属于</w:t>
      </w:r>
      <w:r>
        <w:rPr>
          <w:rFonts w:hAnsi="宋体"/>
          <w:sz w:val="24"/>
        </w:rPr>
        <w:t>硬骨鱼纲，鲟科。体亚圆筒形，体长达1.1m。灰褐色或灰褐色，腹部白色。吻端尖细。口腹位，口前有2对较长的吻须，须长等于须基距离口前缘的1/2.体被5行骨板，余皆裸出。以水生昆虫、底栖无脊椎动物和小鱼等为食。为纯淡水定居型鱼类，最大体重15kg以上。雄鱼4-7龄性成熟，雌鱼6-8龄性成熟。产于长江上游的大型经济鱼类，天然产量不大，而在产区的渔业中尚占有一定位置。近二十年来，数量大减，处于濒危状态。目前已受到长江上游各省的重视，与中华鲟同样受到有效保护。</w:t>
      </w:r>
    </w:p>
    <w:p>
      <w:pPr>
        <w:autoSpaceDE w:val="0"/>
        <w:autoSpaceDN w:val="0"/>
        <w:snapToGrid w:val="0"/>
        <w:spacing w:line="360" w:lineRule="auto"/>
        <w:ind w:firstLine="480" w:firstLineChars="200"/>
        <w:rPr>
          <w:rFonts w:hAnsi="宋体"/>
          <w:sz w:val="24"/>
        </w:rPr>
      </w:pPr>
      <w:r>
        <w:rPr>
          <w:rFonts w:hAnsi="宋体"/>
          <w:sz w:val="24"/>
        </w:rPr>
        <w:t>珍稀鱼类中，达氏鲟、白鲟多年不见，中华鲟偶有幼鱼撞网。</w:t>
      </w:r>
    </w:p>
    <w:p>
      <w:pPr>
        <w:pStyle w:val="3"/>
        <w:tabs>
          <w:tab w:val="left" w:pos="426"/>
          <w:tab w:val="left" w:pos="576"/>
          <w:tab w:val="clear" w:pos="3695"/>
        </w:tabs>
        <w:spacing w:beforeLines="0" w:afterLines="0"/>
        <w:ind w:left="0" w:firstLine="0"/>
      </w:pPr>
      <w:bookmarkStart w:id="106" w:name="_Toc245528701"/>
      <w:bookmarkStart w:id="107" w:name="_Toc205976342"/>
      <w:bookmarkStart w:id="108" w:name="_Toc442195692"/>
      <w:bookmarkStart w:id="109" w:name="_Toc271725862"/>
      <w:r>
        <w:t>区域社会经济</w:t>
      </w:r>
      <w:bookmarkEnd w:id="106"/>
      <w:bookmarkEnd w:id="107"/>
      <w:bookmarkEnd w:id="108"/>
      <w:bookmarkEnd w:id="109"/>
    </w:p>
    <w:p>
      <w:pPr>
        <w:pStyle w:val="5"/>
        <w:tabs>
          <w:tab w:val="left" w:pos="709"/>
        </w:tabs>
        <w:spacing w:before="62" w:beforeLines="20" w:line="360" w:lineRule="auto"/>
        <w:ind w:left="0" w:firstLine="0"/>
      </w:pPr>
      <w:bookmarkStart w:id="110" w:name="_Toc442195693"/>
      <w:r>
        <w:rPr>
          <w:rFonts w:hint="eastAsia"/>
        </w:rPr>
        <w:t>宜昌社会经济发展状况</w:t>
      </w:r>
      <w:bookmarkEnd w:id="110"/>
    </w:p>
    <w:p>
      <w:pPr>
        <w:autoSpaceDE w:val="0"/>
        <w:autoSpaceDN w:val="0"/>
        <w:snapToGrid w:val="0"/>
        <w:spacing w:line="360" w:lineRule="auto"/>
        <w:ind w:firstLine="480" w:firstLineChars="200"/>
        <w:rPr>
          <w:rFonts w:eastAsia="新宋体"/>
          <w:sz w:val="24"/>
        </w:rPr>
      </w:pPr>
      <w:r>
        <w:rPr>
          <w:rFonts w:eastAsia="新宋体"/>
          <w:sz w:val="24"/>
        </w:rPr>
        <w:t>宜昌市现辖5区5县3市，即西陵区、伍家岗区、点军区、猇亭区、夷陵区、远安县、兴山县、秭归县、长阳土家族自治县、五峰土家族自治县、宜都市、当阳市、枝江市，共有25个乡、62个镇、20个街道办事处，</w:t>
      </w:r>
      <w:r>
        <w:rPr>
          <w:rFonts w:hint="eastAsia" w:eastAsia="新宋体"/>
          <w:sz w:val="24"/>
        </w:rPr>
        <w:t>1367</w:t>
      </w:r>
      <w:r>
        <w:rPr>
          <w:rFonts w:eastAsia="新宋体"/>
          <w:sz w:val="24"/>
        </w:rPr>
        <w:t>个村民委员会，9804个村民小组，</w:t>
      </w:r>
      <w:r>
        <w:rPr>
          <w:rFonts w:hint="eastAsia" w:eastAsia="新宋体"/>
          <w:sz w:val="24"/>
        </w:rPr>
        <w:t>260</w:t>
      </w:r>
      <w:r>
        <w:rPr>
          <w:rFonts w:eastAsia="新宋体"/>
          <w:sz w:val="24"/>
        </w:rPr>
        <w:t>个居民委员会。200</w:t>
      </w:r>
      <w:r>
        <w:rPr>
          <w:rFonts w:hint="eastAsia" w:eastAsia="新宋体"/>
          <w:sz w:val="24"/>
        </w:rPr>
        <w:t>9</w:t>
      </w:r>
      <w:r>
        <w:rPr>
          <w:rFonts w:eastAsia="新宋体"/>
          <w:sz w:val="24"/>
        </w:rPr>
        <w:t>年末</w:t>
      </w:r>
      <w:r>
        <w:rPr>
          <w:rFonts w:hint="eastAsia" w:eastAsia="新宋体"/>
          <w:sz w:val="24"/>
        </w:rPr>
        <w:t>全市年末户籍人口为401。37万人，常住人口为404。55万人。全年出生人口3.06万人，出生率为7.62‰；死亡人口3.13万人，死亡率为7.80‰；人口自然增长率为-0.18‰。</w:t>
      </w:r>
      <w:r>
        <w:rPr>
          <w:rFonts w:eastAsia="新宋体"/>
          <w:sz w:val="24"/>
        </w:rPr>
        <w:t>全市国土面积21084平方公里，城镇化水平约40.13%，其中市区面积为4232平方公里。</w:t>
      </w:r>
    </w:p>
    <w:p>
      <w:pPr>
        <w:spacing w:line="360" w:lineRule="auto"/>
        <w:ind w:firstLine="480" w:firstLineChars="200"/>
        <w:rPr>
          <w:rFonts w:eastAsia="新宋体"/>
          <w:sz w:val="24"/>
        </w:rPr>
      </w:pPr>
      <w:r>
        <w:rPr>
          <w:rFonts w:hint="eastAsia"/>
          <w:color w:val="3D3D3D"/>
          <w:sz w:val="24"/>
        </w:rPr>
        <w:t>2014年，宜昌市实现生产总值3132.2亿元，增长9.8%；地方公共财政预算收入271.5亿元，增长31.6%；固定资产投资2471亿元，增长22.1%；社会消费品零售总额964.5亿元，增长13.3%；外贸进出口27亿美元，增长14.8%；城镇居民人均可支配收入25025元，增长9.6%；农村居民人均可支配收入11837元，增长13.2%。县域经济竞相发展。宜都成为全省第二个全国县域经济百强县（市）。宜都、夷陵、枝江、当阳在全省县域经济分类考核中位居前列。8个县（市、区）地方公共财政预算收入超过10亿元，其中2个过20亿元、2个过30亿元。9个县（市、区）城镇居民人均可支配收入超过2万元，8个县（市、区）农村居民人均可支配收入超过1万元。</w:t>
      </w:r>
    </w:p>
    <w:p>
      <w:pPr>
        <w:pStyle w:val="5"/>
        <w:tabs>
          <w:tab w:val="left" w:pos="709"/>
        </w:tabs>
        <w:spacing w:before="62" w:beforeLines="20" w:line="360" w:lineRule="auto"/>
        <w:ind w:left="0" w:firstLine="0"/>
      </w:pPr>
      <w:bookmarkStart w:id="111" w:name="_Toc442195694"/>
      <w:bookmarkStart w:id="112" w:name="_Toc440457356"/>
      <w:r>
        <w:rPr>
          <w:rFonts w:hint="eastAsia"/>
        </w:rPr>
        <w:t>文物古迹</w:t>
      </w:r>
      <w:bookmarkEnd w:id="111"/>
      <w:bookmarkEnd w:id="112"/>
    </w:p>
    <w:p>
      <w:pPr>
        <w:widowControl/>
        <w:spacing w:line="360" w:lineRule="auto"/>
        <w:ind w:firstLine="480" w:firstLineChars="200"/>
        <w:jc w:val="left"/>
        <w:rPr>
          <w:rFonts w:ascii="宋体" w:hAnsi="宋体" w:cs="宋体"/>
          <w:color w:val="3D3D3D"/>
          <w:kern w:val="0"/>
          <w:sz w:val="24"/>
        </w:rPr>
      </w:pPr>
      <w:r>
        <w:rPr>
          <w:rFonts w:hint="eastAsia" w:ascii="宋体" w:hAnsi="宋体" w:cs="宋体"/>
          <w:color w:val="3D3D3D"/>
          <w:kern w:val="0"/>
          <w:sz w:val="24"/>
        </w:rPr>
        <w:t>　评价范围内没有发现文物古迹，距离本项目最近的文物古迹为位于白洋镇的宋古墓群，与本项目最近距离在1.0km以上。</w:t>
      </w:r>
    </w:p>
    <w:p>
      <w:pPr>
        <w:pStyle w:val="3"/>
        <w:tabs>
          <w:tab w:val="left" w:pos="426"/>
        </w:tabs>
        <w:ind w:left="0" w:firstLine="0"/>
      </w:pPr>
      <w:bookmarkStart w:id="113" w:name="_Toc428863984"/>
      <w:bookmarkStart w:id="114" w:name="_Toc442195695"/>
      <w:r>
        <w:rPr>
          <w:rFonts w:hint="eastAsia"/>
        </w:rPr>
        <w:t>环境空气质量现状监测与评价</w:t>
      </w:r>
      <w:bookmarkEnd w:id="113"/>
      <w:bookmarkEnd w:id="114"/>
    </w:p>
    <w:p>
      <w:pPr>
        <w:pStyle w:val="5"/>
        <w:tabs>
          <w:tab w:val="left" w:pos="720"/>
        </w:tabs>
        <w:spacing w:before="62" w:beforeLines="20" w:line="360" w:lineRule="auto"/>
        <w:ind w:left="0" w:firstLine="0"/>
        <w:rPr>
          <w:rFonts w:ascii="宋体" w:hAnsi="宋体" w:eastAsia="宋体"/>
          <w:b/>
          <w:sz w:val="28"/>
          <w:szCs w:val="28"/>
        </w:rPr>
      </w:pPr>
      <w:bookmarkStart w:id="115" w:name="_Toc442195696"/>
      <w:r>
        <w:rPr>
          <w:rFonts w:hint="eastAsia" w:ascii="宋体" w:hAnsi="宋体" w:eastAsia="宋体"/>
          <w:b/>
          <w:sz w:val="28"/>
          <w:szCs w:val="28"/>
        </w:rPr>
        <w:t>监测点位、监测项目、分析方法及监测频次</w:t>
      </w:r>
      <w:bookmarkEnd w:id="115"/>
    </w:p>
    <w:p>
      <w:pPr>
        <w:spacing w:line="360" w:lineRule="auto"/>
        <w:ind w:firstLine="480" w:firstLineChars="200"/>
        <w:rPr>
          <w:sz w:val="24"/>
        </w:rPr>
      </w:pPr>
      <w:r>
        <w:rPr>
          <w:rFonts w:hint="eastAsia"/>
          <w:sz w:val="24"/>
        </w:rPr>
        <w:t>（1）监测点位</w:t>
      </w:r>
    </w:p>
    <w:p>
      <w:pPr>
        <w:spacing w:line="360" w:lineRule="auto"/>
        <w:ind w:firstLine="480" w:firstLineChars="200"/>
        <w:rPr>
          <w:sz w:val="24"/>
        </w:rPr>
      </w:pPr>
      <w:r>
        <w:rPr>
          <w:sz w:val="24"/>
        </w:rPr>
        <w:t>点位置及设置说明见表</w:t>
      </w:r>
      <w:r>
        <w:rPr>
          <w:rFonts w:hint="eastAsia"/>
          <w:sz w:val="24"/>
        </w:rPr>
        <w:t>3</w:t>
      </w:r>
      <w:r>
        <w:rPr>
          <w:sz w:val="24"/>
        </w:rPr>
        <w:t>.</w:t>
      </w:r>
      <w:r>
        <w:rPr>
          <w:rFonts w:hint="eastAsia"/>
          <w:sz w:val="24"/>
        </w:rPr>
        <w:t>3</w:t>
      </w:r>
      <w:r>
        <w:rPr>
          <w:sz w:val="24"/>
        </w:rPr>
        <w:t>-1及</w:t>
      </w:r>
      <w:r>
        <w:rPr>
          <w:rFonts w:hint="eastAsia"/>
          <w:sz w:val="24"/>
        </w:rPr>
        <w:t>附</w:t>
      </w:r>
      <w:r>
        <w:rPr>
          <w:sz w:val="24"/>
        </w:rPr>
        <w:t>图</w:t>
      </w:r>
      <w:r>
        <w:rPr>
          <w:rFonts w:hint="eastAsia"/>
          <w:sz w:val="24"/>
        </w:rPr>
        <w:t>4</w:t>
      </w:r>
      <w:r>
        <w:rPr>
          <w:sz w:val="24"/>
        </w:rPr>
        <w:t>。</w:t>
      </w:r>
    </w:p>
    <w:p>
      <w:pPr>
        <w:jc w:val="center"/>
        <w:rPr>
          <w:b/>
          <w:szCs w:val="21"/>
        </w:rPr>
      </w:pPr>
      <w:r>
        <w:rPr>
          <w:b/>
          <w:szCs w:val="21"/>
        </w:rPr>
        <w:t>表</w:t>
      </w:r>
      <w:r>
        <w:rPr>
          <w:rFonts w:hint="eastAsia"/>
          <w:b/>
          <w:szCs w:val="21"/>
        </w:rPr>
        <w:t>3.3-1</w:t>
      </w:r>
      <w:r>
        <w:rPr>
          <w:b/>
          <w:szCs w:val="21"/>
        </w:rPr>
        <w:t xml:space="preserve"> 大气监测布点说明表</w:t>
      </w:r>
    </w:p>
    <w:tbl>
      <w:tblPr>
        <w:tblStyle w:val="104"/>
        <w:tblW w:w="9048" w:type="dxa"/>
        <w:jc w:val="center"/>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877"/>
        <w:gridCol w:w="2114"/>
        <w:gridCol w:w="3192"/>
        <w:gridCol w:w="286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20" w:hRule="atLeast"/>
          <w:jc w:val="center"/>
        </w:trPr>
        <w:tc>
          <w:tcPr>
            <w:tcW w:w="877" w:type="dxa"/>
            <w:vAlign w:val="center"/>
          </w:tcPr>
          <w:p>
            <w:pPr>
              <w:pStyle w:val="186"/>
              <w:tabs>
                <w:tab w:val="left" w:pos="360"/>
                <w:tab w:val="left" w:pos="6300"/>
              </w:tabs>
              <w:ind w:left="-21" w:right="-21"/>
              <w:jc w:val="center"/>
              <w:rPr>
                <w:rFonts w:ascii="Times New Roman" w:hAnsi="Times New Roman"/>
                <w:b/>
              </w:rPr>
            </w:pPr>
            <w:r>
              <w:rPr>
                <w:rFonts w:ascii="Times New Roman" w:hAnsi="Times New Roman"/>
                <w:b/>
              </w:rPr>
              <w:t>序号</w:t>
            </w:r>
          </w:p>
        </w:tc>
        <w:tc>
          <w:tcPr>
            <w:tcW w:w="2114" w:type="dxa"/>
            <w:vAlign w:val="center"/>
          </w:tcPr>
          <w:p>
            <w:pPr>
              <w:pStyle w:val="186"/>
              <w:tabs>
                <w:tab w:val="left" w:pos="360"/>
                <w:tab w:val="left" w:pos="6300"/>
              </w:tabs>
              <w:ind w:left="-21" w:right="-21"/>
              <w:jc w:val="center"/>
              <w:rPr>
                <w:rFonts w:ascii="Times New Roman" w:hAnsi="Times New Roman"/>
                <w:b/>
              </w:rPr>
            </w:pPr>
            <w:r>
              <w:rPr>
                <w:rFonts w:ascii="Times New Roman" w:hAnsi="Times New Roman"/>
                <w:b/>
              </w:rPr>
              <w:t>点位名称</w:t>
            </w:r>
          </w:p>
        </w:tc>
        <w:tc>
          <w:tcPr>
            <w:tcW w:w="3192" w:type="dxa"/>
            <w:vAlign w:val="center"/>
          </w:tcPr>
          <w:p>
            <w:pPr>
              <w:pStyle w:val="186"/>
              <w:tabs>
                <w:tab w:val="left" w:pos="360"/>
                <w:tab w:val="left" w:pos="6300"/>
              </w:tabs>
              <w:ind w:left="-21" w:right="-21"/>
              <w:jc w:val="center"/>
              <w:rPr>
                <w:rFonts w:ascii="Times New Roman" w:hAnsi="Times New Roman"/>
                <w:b/>
              </w:rPr>
            </w:pPr>
            <w:r>
              <w:rPr>
                <w:rFonts w:ascii="Times New Roman" w:hAnsi="Times New Roman"/>
                <w:b/>
              </w:rPr>
              <w:t>位置坐标</w:t>
            </w:r>
          </w:p>
        </w:tc>
        <w:tc>
          <w:tcPr>
            <w:tcW w:w="2865" w:type="dxa"/>
            <w:vAlign w:val="center"/>
          </w:tcPr>
          <w:p>
            <w:pPr>
              <w:pStyle w:val="186"/>
              <w:tabs>
                <w:tab w:val="left" w:pos="360"/>
                <w:tab w:val="left" w:pos="6300"/>
              </w:tabs>
              <w:ind w:left="-21" w:right="-21"/>
              <w:jc w:val="center"/>
              <w:rPr>
                <w:rFonts w:ascii="Times New Roman" w:hAnsi="Times New Roman"/>
                <w:b/>
              </w:rPr>
            </w:pPr>
            <w:r>
              <w:rPr>
                <w:rFonts w:ascii="Times New Roman" w:hAnsi="Times New Roman"/>
                <w:b/>
              </w:rPr>
              <w:t>设置说明</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20" w:hRule="atLeast"/>
          <w:jc w:val="center"/>
        </w:trPr>
        <w:tc>
          <w:tcPr>
            <w:tcW w:w="877" w:type="dxa"/>
            <w:vAlign w:val="center"/>
          </w:tcPr>
          <w:p>
            <w:pPr>
              <w:pStyle w:val="186"/>
              <w:tabs>
                <w:tab w:val="left" w:pos="360"/>
                <w:tab w:val="left" w:pos="6300"/>
              </w:tabs>
              <w:ind w:left="-21" w:right="-21"/>
              <w:jc w:val="center"/>
              <w:rPr>
                <w:rFonts w:ascii="Times New Roman" w:hAnsi="Times New Roman"/>
              </w:rPr>
            </w:pPr>
            <w:r>
              <w:rPr>
                <w:rFonts w:ascii="Times New Roman" w:hAnsi="Times New Roman"/>
              </w:rPr>
              <w:t>1</w:t>
            </w:r>
            <w:r>
              <w:rPr>
                <w:rFonts w:ascii="Times New Roman" w:hAnsi="Times New Roman"/>
                <w:vertAlign w:val="superscript"/>
              </w:rPr>
              <w:t>#</w:t>
            </w:r>
          </w:p>
        </w:tc>
        <w:tc>
          <w:tcPr>
            <w:tcW w:w="2114" w:type="dxa"/>
            <w:vAlign w:val="center"/>
          </w:tcPr>
          <w:p>
            <w:pPr>
              <w:pStyle w:val="186"/>
              <w:spacing w:line="240" w:lineRule="exact"/>
              <w:ind w:left="-21" w:right="-21"/>
              <w:jc w:val="center"/>
              <w:rPr>
                <w:rFonts w:ascii="Times New Roman" w:hAnsi="Times New Roman"/>
              </w:rPr>
            </w:pPr>
            <w:r>
              <w:rPr>
                <w:rFonts w:hint="eastAsia" w:ascii="Times New Roman" w:hAnsi="Times New Roman"/>
              </w:rPr>
              <w:t>白洋镇垭子山村</w:t>
            </w:r>
          </w:p>
        </w:tc>
        <w:tc>
          <w:tcPr>
            <w:tcW w:w="3192" w:type="dxa"/>
            <w:vAlign w:val="center"/>
          </w:tcPr>
          <w:p>
            <w:pPr>
              <w:pStyle w:val="186"/>
              <w:spacing w:line="240" w:lineRule="exact"/>
              <w:ind w:left="-21" w:right="-21"/>
              <w:jc w:val="center"/>
              <w:rPr>
                <w:rFonts w:ascii="Times New Roman" w:hAnsi="Times New Roman"/>
              </w:rPr>
            </w:pPr>
            <w:r>
              <w:rPr>
                <w:rFonts w:ascii="Times New Roman" w:hAnsi="Times New Roman"/>
              </w:rPr>
              <w:t>N：30.42274°，E：111.48913°</w:t>
            </w:r>
          </w:p>
        </w:tc>
        <w:tc>
          <w:tcPr>
            <w:tcW w:w="2865" w:type="dxa"/>
            <w:vAlign w:val="center"/>
          </w:tcPr>
          <w:p>
            <w:pPr>
              <w:pStyle w:val="186"/>
              <w:tabs>
                <w:tab w:val="left" w:pos="360"/>
                <w:tab w:val="left" w:pos="6300"/>
              </w:tabs>
              <w:ind w:left="-57" w:leftChars="-27" w:right="-21"/>
              <w:jc w:val="center"/>
              <w:rPr>
                <w:rFonts w:ascii="Times New Roman" w:hAnsi="Times New Roman"/>
              </w:rPr>
            </w:pPr>
            <w:r>
              <w:rPr>
                <w:rFonts w:hint="eastAsia" w:ascii="Times New Roman" w:hAnsi="Times New Roman"/>
              </w:rPr>
              <w:t>北侧场界60m</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20" w:hRule="atLeast"/>
          <w:jc w:val="center"/>
        </w:trPr>
        <w:tc>
          <w:tcPr>
            <w:tcW w:w="877" w:type="dxa"/>
            <w:vAlign w:val="center"/>
          </w:tcPr>
          <w:p>
            <w:pPr>
              <w:pStyle w:val="186"/>
              <w:tabs>
                <w:tab w:val="left" w:pos="360"/>
                <w:tab w:val="left" w:pos="6300"/>
              </w:tabs>
              <w:ind w:left="-21" w:right="-21"/>
              <w:jc w:val="center"/>
              <w:rPr>
                <w:rFonts w:ascii="Times New Roman" w:hAnsi="Times New Roman"/>
              </w:rPr>
            </w:pPr>
            <w:r>
              <w:rPr>
                <w:rFonts w:ascii="Times New Roman" w:hAnsi="Times New Roman"/>
              </w:rPr>
              <w:t>2</w:t>
            </w:r>
            <w:r>
              <w:rPr>
                <w:rFonts w:ascii="Times New Roman" w:hAnsi="Times New Roman"/>
                <w:vertAlign w:val="superscript"/>
              </w:rPr>
              <w:t>#</w:t>
            </w:r>
          </w:p>
        </w:tc>
        <w:tc>
          <w:tcPr>
            <w:tcW w:w="2114" w:type="dxa"/>
            <w:vAlign w:val="center"/>
          </w:tcPr>
          <w:p>
            <w:pPr>
              <w:pStyle w:val="186"/>
              <w:spacing w:line="240" w:lineRule="exact"/>
              <w:ind w:left="-21" w:right="-21"/>
              <w:jc w:val="center"/>
              <w:rPr>
                <w:rFonts w:ascii="Times New Roman" w:hAnsi="Times New Roman"/>
              </w:rPr>
            </w:pPr>
            <w:r>
              <w:rPr>
                <w:rFonts w:hint="eastAsia" w:ascii="Times New Roman" w:hAnsi="Times New Roman"/>
              </w:rPr>
              <w:t>白洋镇桂溪湖村</w:t>
            </w:r>
          </w:p>
        </w:tc>
        <w:tc>
          <w:tcPr>
            <w:tcW w:w="3192" w:type="dxa"/>
            <w:vAlign w:val="center"/>
          </w:tcPr>
          <w:p>
            <w:pPr>
              <w:pStyle w:val="186"/>
              <w:spacing w:line="240" w:lineRule="exact"/>
              <w:ind w:left="-21" w:right="-21"/>
              <w:jc w:val="center"/>
              <w:rPr>
                <w:rFonts w:ascii="Times New Roman" w:hAnsi="Times New Roman"/>
              </w:rPr>
            </w:pPr>
            <w:r>
              <w:rPr>
                <w:rFonts w:ascii="Times New Roman" w:hAnsi="Times New Roman"/>
              </w:rPr>
              <w:t>N：30.42179°，E：111.47193°</w:t>
            </w:r>
          </w:p>
        </w:tc>
        <w:tc>
          <w:tcPr>
            <w:tcW w:w="2865" w:type="dxa"/>
            <w:vAlign w:val="center"/>
          </w:tcPr>
          <w:p>
            <w:pPr>
              <w:pStyle w:val="186"/>
              <w:tabs>
                <w:tab w:val="left" w:pos="360"/>
                <w:tab w:val="left" w:pos="6300"/>
              </w:tabs>
              <w:ind w:left="-21" w:right="-21"/>
              <w:jc w:val="center"/>
              <w:rPr>
                <w:rFonts w:ascii="Times New Roman" w:hAnsi="Times New Roman"/>
              </w:rPr>
            </w:pPr>
            <w:r>
              <w:rPr>
                <w:rFonts w:hint="eastAsia" w:ascii="Times New Roman" w:hAnsi="Times New Roman"/>
              </w:rPr>
              <w:t>场址内</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20" w:hRule="atLeast"/>
          <w:jc w:val="center"/>
        </w:trPr>
        <w:tc>
          <w:tcPr>
            <w:tcW w:w="877" w:type="dxa"/>
            <w:vAlign w:val="center"/>
          </w:tcPr>
          <w:p>
            <w:pPr>
              <w:pStyle w:val="186"/>
              <w:tabs>
                <w:tab w:val="left" w:pos="360"/>
                <w:tab w:val="left" w:pos="6300"/>
              </w:tabs>
              <w:ind w:left="-21" w:right="-21"/>
              <w:jc w:val="center"/>
              <w:rPr>
                <w:rFonts w:ascii="Times New Roman" w:hAnsi="Times New Roman"/>
              </w:rPr>
            </w:pPr>
            <w:r>
              <w:rPr>
                <w:rFonts w:ascii="Times New Roman" w:hAnsi="Times New Roman"/>
              </w:rPr>
              <w:t>3</w:t>
            </w:r>
            <w:r>
              <w:rPr>
                <w:rFonts w:ascii="Times New Roman" w:hAnsi="Times New Roman"/>
                <w:vertAlign w:val="superscript"/>
              </w:rPr>
              <w:t>＃</w:t>
            </w:r>
          </w:p>
        </w:tc>
        <w:tc>
          <w:tcPr>
            <w:tcW w:w="2114" w:type="dxa"/>
            <w:vAlign w:val="center"/>
          </w:tcPr>
          <w:p>
            <w:pPr>
              <w:pStyle w:val="186"/>
              <w:spacing w:line="240" w:lineRule="exact"/>
              <w:ind w:left="-21" w:right="-21"/>
              <w:jc w:val="center"/>
              <w:rPr>
                <w:rFonts w:ascii="Times New Roman" w:hAnsi="Times New Roman"/>
              </w:rPr>
            </w:pPr>
            <w:r>
              <w:rPr>
                <w:rFonts w:hint="eastAsia" w:ascii="Times New Roman" w:hAnsi="Times New Roman"/>
              </w:rPr>
              <w:t>白洋镇</w:t>
            </w:r>
          </w:p>
        </w:tc>
        <w:tc>
          <w:tcPr>
            <w:tcW w:w="3192" w:type="dxa"/>
            <w:vAlign w:val="center"/>
          </w:tcPr>
          <w:p>
            <w:pPr>
              <w:pStyle w:val="186"/>
              <w:spacing w:line="240" w:lineRule="exact"/>
              <w:ind w:left="-21" w:right="-21"/>
              <w:jc w:val="center"/>
              <w:rPr>
                <w:rFonts w:ascii="Times New Roman" w:hAnsi="Times New Roman"/>
              </w:rPr>
            </w:pPr>
            <w:r>
              <w:rPr>
                <w:rFonts w:ascii="Times New Roman" w:hAnsi="Times New Roman"/>
              </w:rPr>
              <w:t>N：30.41974°，E：111.51280°</w:t>
            </w:r>
          </w:p>
        </w:tc>
        <w:tc>
          <w:tcPr>
            <w:tcW w:w="2865" w:type="dxa"/>
            <w:vAlign w:val="center"/>
          </w:tcPr>
          <w:p>
            <w:pPr>
              <w:pStyle w:val="186"/>
              <w:tabs>
                <w:tab w:val="left" w:pos="360"/>
                <w:tab w:val="left" w:pos="6300"/>
              </w:tabs>
              <w:ind w:left="-21" w:right="-21"/>
              <w:jc w:val="center"/>
              <w:rPr>
                <w:rFonts w:ascii="Times New Roman" w:hAnsi="Times New Roman"/>
              </w:rPr>
            </w:pPr>
            <w:r>
              <w:rPr>
                <w:rFonts w:hint="eastAsia" w:ascii="Times New Roman" w:hAnsi="Times New Roman"/>
              </w:rPr>
              <w:t>东侧场界1700m</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20" w:hRule="atLeast"/>
          <w:jc w:val="center"/>
        </w:trPr>
        <w:tc>
          <w:tcPr>
            <w:tcW w:w="877" w:type="dxa"/>
            <w:vAlign w:val="center"/>
          </w:tcPr>
          <w:p>
            <w:pPr>
              <w:pStyle w:val="186"/>
              <w:tabs>
                <w:tab w:val="left" w:pos="360"/>
                <w:tab w:val="left" w:pos="6300"/>
              </w:tabs>
              <w:ind w:left="-21" w:right="-21"/>
              <w:jc w:val="center"/>
              <w:rPr>
                <w:rFonts w:ascii="Times New Roman" w:hAnsi="Times New Roman"/>
              </w:rPr>
            </w:pPr>
            <w:r>
              <w:rPr>
                <w:rFonts w:ascii="Times New Roman" w:hAnsi="Times New Roman"/>
              </w:rPr>
              <w:t>4</w:t>
            </w:r>
            <w:r>
              <w:rPr>
                <w:rFonts w:ascii="Times New Roman" w:hAnsi="Times New Roman"/>
                <w:vertAlign w:val="superscript"/>
              </w:rPr>
              <w:t>＃</w:t>
            </w:r>
          </w:p>
        </w:tc>
        <w:tc>
          <w:tcPr>
            <w:tcW w:w="2114" w:type="dxa"/>
            <w:vAlign w:val="center"/>
          </w:tcPr>
          <w:p>
            <w:pPr>
              <w:pStyle w:val="186"/>
              <w:spacing w:line="240" w:lineRule="exact"/>
              <w:ind w:left="-21" w:right="-21"/>
              <w:jc w:val="center"/>
              <w:rPr>
                <w:rFonts w:ascii="Times New Roman" w:hAnsi="Times New Roman"/>
              </w:rPr>
            </w:pPr>
            <w:r>
              <w:rPr>
                <w:rFonts w:hint="eastAsia" w:ascii="Times New Roman" w:hAnsi="Times New Roman"/>
              </w:rPr>
              <w:t>白洋镇万福垴村</w:t>
            </w:r>
          </w:p>
        </w:tc>
        <w:tc>
          <w:tcPr>
            <w:tcW w:w="3192" w:type="dxa"/>
            <w:vAlign w:val="center"/>
          </w:tcPr>
          <w:p>
            <w:pPr>
              <w:pStyle w:val="186"/>
              <w:spacing w:line="240" w:lineRule="exact"/>
              <w:ind w:left="-21" w:right="-21"/>
              <w:jc w:val="center"/>
              <w:rPr>
                <w:rFonts w:ascii="Times New Roman" w:hAnsi="Times New Roman"/>
              </w:rPr>
            </w:pPr>
            <w:r>
              <w:rPr>
                <w:rFonts w:ascii="Times New Roman" w:hAnsi="Times New Roman"/>
              </w:rPr>
              <w:t>N：30.43063°，E：30.43063°</w:t>
            </w:r>
          </w:p>
        </w:tc>
        <w:tc>
          <w:tcPr>
            <w:tcW w:w="2865" w:type="dxa"/>
            <w:vAlign w:val="center"/>
          </w:tcPr>
          <w:p>
            <w:pPr>
              <w:pStyle w:val="186"/>
              <w:tabs>
                <w:tab w:val="left" w:pos="360"/>
                <w:tab w:val="left" w:pos="6300"/>
              </w:tabs>
              <w:ind w:left="-21" w:right="-21"/>
              <w:jc w:val="center"/>
              <w:rPr>
                <w:rFonts w:ascii="Times New Roman" w:hAnsi="Times New Roman"/>
              </w:rPr>
            </w:pPr>
            <w:r>
              <w:rPr>
                <w:rFonts w:hint="eastAsia" w:ascii="Times New Roman" w:hAnsi="Times New Roman"/>
              </w:rPr>
              <w:t>西北侧场界1600m</w:t>
            </w:r>
          </w:p>
        </w:tc>
      </w:tr>
    </w:tbl>
    <w:p>
      <w:pPr>
        <w:spacing w:line="360" w:lineRule="auto"/>
        <w:ind w:firstLine="480" w:firstLineChars="200"/>
        <w:rPr>
          <w:sz w:val="24"/>
        </w:rPr>
      </w:pPr>
      <w:r>
        <w:rPr>
          <w:rFonts w:hint="eastAsia"/>
          <w:sz w:val="24"/>
        </w:rPr>
        <w:t>（2）监测项目及分析方法</w:t>
      </w:r>
    </w:p>
    <w:p>
      <w:pPr>
        <w:spacing w:line="360" w:lineRule="auto"/>
        <w:ind w:firstLine="480" w:firstLineChars="200"/>
        <w:rPr>
          <w:sz w:val="24"/>
        </w:rPr>
      </w:pPr>
      <w:r>
        <w:rPr>
          <w:sz w:val="24"/>
        </w:rPr>
        <w:t>监测项目为SO2、NO2、PM10、TSP，其中SO2、NO2监测小时值和日均值、PM10、TSP监测日均值。环境</w:t>
      </w:r>
      <w:r>
        <w:rPr>
          <w:rFonts w:hint="eastAsia"/>
          <w:sz w:val="24"/>
        </w:rPr>
        <w:t>空气</w:t>
      </w:r>
      <w:r>
        <w:rPr>
          <w:sz w:val="24"/>
        </w:rPr>
        <w:t>质量监测分析方法见表</w:t>
      </w:r>
      <w:r>
        <w:rPr>
          <w:rFonts w:hint="eastAsia"/>
          <w:sz w:val="24"/>
        </w:rPr>
        <w:t>3.3-2</w:t>
      </w:r>
      <w:r>
        <w:rPr>
          <w:sz w:val="24"/>
        </w:rPr>
        <w:t>。</w:t>
      </w:r>
    </w:p>
    <w:p>
      <w:pPr>
        <w:jc w:val="center"/>
        <w:rPr>
          <w:b/>
          <w:szCs w:val="21"/>
        </w:rPr>
      </w:pPr>
      <w:r>
        <w:rPr>
          <w:b/>
          <w:szCs w:val="21"/>
        </w:rPr>
        <w:t>表</w:t>
      </w:r>
      <w:r>
        <w:rPr>
          <w:rFonts w:hint="eastAsia"/>
          <w:b/>
          <w:szCs w:val="21"/>
        </w:rPr>
        <w:t xml:space="preserve">3.3-2 </w:t>
      </w:r>
      <w:r>
        <w:rPr>
          <w:b/>
          <w:szCs w:val="21"/>
        </w:rPr>
        <w:t>环境</w:t>
      </w:r>
      <w:r>
        <w:rPr>
          <w:rFonts w:hint="eastAsia"/>
          <w:b/>
          <w:szCs w:val="21"/>
        </w:rPr>
        <w:t>空气</w:t>
      </w:r>
      <w:r>
        <w:rPr>
          <w:b/>
          <w:szCs w:val="21"/>
        </w:rPr>
        <w:t>质量监测分析方法一览表</w:t>
      </w:r>
    </w:p>
    <w:tbl>
      <w:tblPr>
        <w:tblStyle w:val="104"/>
        <w:tblW w:w="9100" w:type="dxa"/>
        <w:jc w:val="center"/>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756"/>
        <w:gridCol w:w="4545"/>
        <w:gridCol w:w="279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 w:hRule="atLeast"/>
          <w:jc w:val="center"/>
        </w:trPr>
        <w:tc>
          <w:tcPr>
            <w:tcW w:w="1756" w:type="dxa"/>
            <w:vAlign w:val="center"/>
          </w:tcPr>
          <w:p>
            <w:pPr>
              <w:pStyle w:val="46"/>
              <w:ind w:firstLine="360"/>
              <w:jc w:val="center"/>
              <w:rPr>
                <w:rFonts w:ascii="Times New Roman" w:hAnsi="Times New Roman"/>
                <w:szCs w:val="21"/>
              </w:rPr>
            </w:pPr>
            <w:r>
              <w:rPr>
                <w:rFonts w:ascii="Times New Roman" w:hAnsi="Times New Roman"/>
                <w:szCs w:val="21"/>
              </w:rPr>
              <w:t>监测项目</w:t>
            </w:r>
          </w:p>
        </w:tc>
        <w:tc>
          <w:tcPr>
            <w:tcW w:w="4545" w:type="dxa"/>
            <w:vAlign w:val="center"/>
          </w:tcPr>
          <w:p>
            <w:pPr>
              <w:pStyle w:val="46"/>
              <w:ind w:firstLine="360"/>
              <w:jc w:val="center"/>
              <w:rPr>
                <w:rFonts w:ascii="Times New Roman" w:hAnsi="Times New Roman"/>
                <w:szCs w:val="21"/>
              </w:rPr>
            </w:pPr>
            <w:r>
              <w:rPr>
                <w:rFonts w:ascii="Times New Roman" w:hAnsi="Times New Roman"/>
                <w:szCs w:val="21"/>
              </w:rPr>
              <w:t>分析方法</w:t>
            </w:r>
          </w:p>
        </w:tc>
        <w:tc>
          <w:tcPr>
            <w:tcW w:w="2799" w:type="dxa"/>
            <w:vAlign w:val="center"/>
          </w:tcPr>
          <w:p>
            <w:pPr>
              <w:pStyle w:val="46"/>
              <w:ind w:firstLine="360"/>
              <w:jc w:val="center"/>
              <w:rPr>
                <w:rFonts w:ascii="Times New Roman" w:hAnsi="Times New Roman"/>
                <w:szCs w:val="21"/>
              </w:rPr>
            </w:pPr>
            <w:r>
              <w:rPr>
                <w:rFonts w:ascii="Times New Roman" w:hAnsi="Times New Roman"/>
                <w:szCs w:val="21"/>
              </w:rPr>
              <w:t>方法来源</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 w:hRule="atLeast"/>
          <w:jc w:val="center"/>
        </w:trPr>
        <w:tc>
          <w:tcPr>
            <w:tcW w:w="1756" w:type="dxa"/>
            <w:vAlign w:val="center"/>
          </w:tcPr>
          <w:p>
            <w:pPr>
              <w:pStyle w:val="46"/>
              <w:ind w:firstLine="360"/>
              <w:jc w:val="center"/>
              <w:rPr>
                <w:rFonts w:ascii="Times New Roman" w:hAnsi="Times New Roman"/>
                <w:szCs w:val="21"/>
              </w:rPr>
            </w:pPr>
            <w:r>
              <w:rPr>
                <w:rFonts w:ascii="Times New Roman" w:hAnsi="Times New Roman"/>
                <w:szCs w:val="21"/>
              </w:rPr>
              <w:t>PM</w:t>
            </w:r>
            <w:r>
              <w:rPr>
                <w:rFonts w:ascii="Times New Roman" w:hAnsi="Times New Roman"/>
                <w:szCs w:val="21"/>
                <w:vertAlign w:val="subscript"/>
              </w:rPr>
              <w:t>10</w:t>
            </w:r>
          </w:p>
        </w:tc>
        <w:tc>
          <w:tcPr>
            <w:tcW w:w="4545" w:type="dxa"/>
            <w:vAlign w:val="center"/>
          </w:tcPr>
          <w:p>
            <w:pPr>
              <w:pStyle w:val="46"/>
              <w:ind w:firstLine="360"/>
              <w:jc w:val="center"/>
              <w:rPr>
                <w:rFonts w:ascii="Times New Roman" w:hAnsi="Times New Roman"/>
                <w:szCs w:val="21"/>
              </w:rPr>
            </w:pPr>
            <w:r>
              <w:rPr>
                <w:rFonts w:ascii="Times New Roman" w:hAnsi="Times New Roman"/>
                <w:szCs w:val="21"/>
              </w:rPr>
              <w:t>重量法</w:t>
            </w:r>
          </w:p>
        </w:tc>
        <w:tc>
          <w:tcPr>
            <w:tcW w:w="2799" w:type="dxa"/>
            <w:vAlign w:val="center"/>
          </w:tcPr>
          <w:p>
            <w:pPr>
              <w:pStyle w:val="186"/>
              <w:spacing w:line="240" w:lineRule="exact"/>
              <w:ind w:left="-21" w:right="-21"/>
              <w:jc w:val="center"/>
              <w:rPr>
                <w:rFonts w:ascii="Times New Roman" w:hAnsi="Times New Roman"/>
              </w:rPr>
            </w:pPr>
            <w:r>
              <w:rPr>
                <w:rFonts w:ascii="Times New Roman" w:hAnsi="Times New Roman"/>
              </w:rPr>
              <w:t>HJ 618-2011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 w:hRule="atLeast"/>
          <w:jc w:val="center"/>
        </w:trPr>
        <w:tc>
          <w:tcPr>
            <w:tcW w:w="1756" w:type="dxa"/>
            <w:vAlign w:val="center"/>
          </w:tcPr>
          <w:p>
            <w:pPr>
              <w:pStyle w:val="46"/>
              <w:ind w:firstLine="360"/>
              <w:jc w:val="center"/>
              <w:rPr>
                <w:rFonts w:ascii="Times New Roman" w:hAnsi="Times New Roman"/>
                <w:szCs w:val="21"/>
              </w:rPr>
            </w:pPr>
            <w:r>
              <w:rPr>
                <w:rFonts w:ascii="Times New Roman" w:hAnsi="Times New Roman"/>
                <w:szCs w:val="21"/>
              </w:rPr>
              <w:t>TSP</w:t>
            </w:r>
          </w:p>
        </w:tc>
        <w:tc>
          <w:tcPr>
            <w:tcW w:w="4545" w:type="dxa"/>
            <w:vAlign w:val="center"/>
          </w:tcPr>
          <w:p>
            <w:pPr>
              <w:pStyle w:val="46"/>
              <w:ind w:firstLine="360"/>
              <w:jc w:val="center"/>
              <w:rPr>
                <w:rFonts w:ascii="Times New Roman" w:hAnsi="Times New Roman"/>
                <w:szCs w:val="21"/>
              </w:rPr>
            </w:pPr>
            <w:r>
              <w:rPr>
                <w:rFonts w:ascii="Times New Roman" w:hAnsi="Times New Roman"/>
                <w:szCs w:val="21"/>
              </w:rPr>
              <w:t>重量法</w:t>
            </w:r>
          </w:p>
        </w:tc>
        <w:tc>
          <w:tcPr>
            <w:tcW w:w="2799" w:type="dxa"/>
            <w:vAlign w:val="center"/>
          </w:tcPr>
          <w:p>
            <w:pPr>
              <w:pStyle w:val="46"/>
              <w:ind w:firstLine="360"/>
              <w:jc w:val="center"/>
              <w:rPr>
                <w:rFonts w:ascii="Times New Roman" w:hAnsi="Times New Roman"/>
                <w:szCs w:val="21"/>
              </w:rPr>
            </w:pPr>
            <w:r>
              <w:rPr>
                <w:rFonts w:ascii="Times New Roman" w:hAnsi="Times New Roman"/>
                <w:szCs w:val="21"/>
              </w:rPr>
              <w:t>GB/T15432-1995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 w:hRule="atLeast"/>
          <w:jc w:val="center"/>
        </w:trPr>
        <w:tc>
          <w:tcPr>
            <w:tcW w:w="1756" w:type="dxa"/>
            <w:vAlign w:val="center"/>
          </w:tcPr>
          <w:p>
            <w:pPr>
              <w:pStyle w:val="46"/>
              <w:ind w:firstLine="360"/>
              <w:jc w:val="center"/>
              <w:rPr>
                <w:rFonts w:ascii="Times New Roman" w:hAnsi="Times New Roman"/>
                <w:szCs w:val="21"/>
              </w:rPr>
            </w:pPr>
            <w:r>
              <w:rPr>
                <w:rFonts w:ascii="Times New Roman" w:hAnsi="Times New Roman"/>
                <w:szCs w:val="21"/>
              </w:rPr>
              <w:t>SO</w:t>
            </w:r>
            <w:r>
              <w:rPr>
                <w:rFonts w:ascii="Times New Roman" w:hAnsi="Times New Roman"/>
                <w:szCs w:val="21"/>
                <w:vertAlign w:val="subscript"/>
              </w:rPr>
              <w:t>2</w:t>
            </w:r>
          </w:p>
        </w:tc>
        <w:tc>
          <w:tcPr>
            <w:tcW w:w="4545" w:type="dxa"/>
            <w:vAlign w:val="center"/>
          </w:tcPr>
          <w:p>
            <w:pPr>
              <w:pStyle w:val="46"/>
              <w:ind w:firstLine="360"/>
              <w:jc w:val="center"/>
              <w:rPr>
                <w:rFonts w:ascii="Times New Roman" w:hAnsi="Times New Roman"/>
                <w:szCs w:val="21"/>
              </w:rPr>
            </w:pPr>
            <w:r>
              <w:rPr>
                <w:rFonts w:ascii="Times New Roman" w:hAnsi="Times New Roman"/>
                <w:szCs w:val="21"/>
              </w:rPr>
              <w:t>甲醛吸收副玫瑰苯胺分光法</w:t>
            </w:r>
          </w:p>
        </w:tc>
        <w:tc>
          <w:tcPr>
            <w:tcW w:w="2799" w:type="dxa"/>
            <w:vAlign w:val="center"/>
          </w:tcPr>
          <w:p>
            <w:pPr>
              <w:pStyle w:val="46"/>
              <w:ind w:firstLine="360"/>
              <w:jc w:val="center"/>
              <w:rPr>
                <w:rFonts w:ascii="Times New Roman" w:hAnsi="Times New Roman"/>
                <w:szCs w:val="21"/>
              </w:rPr>
            </w:pPr>
            <w:r>
              <w:rPr>
                <w:rFonts w:ascii="Times New Roman" w:hAnsi="Times New Roman"/>
                <w:szCs w:val="21"/>
              </w:rPr>
              <w:t>HJ482-2009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 w:hRule="atLeast"/>
          <w:jc w:val="center"/>
        </w:trPr>
        <w:tc>
          <w:tcPr>
            <w:tcW w:w="1756" w:type="dxa"/>
            <w:vAlign w:val="center"/>
          </w:tcPr>
          <w:p>
            <w:pPr>
              <w:pStyle w:val="46"/>
              <w:ind w:firstLine="360"/>
              <w:jc w:val="center"/>
              <w:rPr>
                <w:rFonts w:ascii="Times New Roman" w:hAnsi="Times New Roman"/>
                <w:szCs w:val="21"/>
              </w:rPr>
            </w:pPr>
            <w:r>
              <w:rPr>
                <w:rFonts w:ascii="Times New Roman" w:hAnsi="Times New Roman"/>
                <w:szCs w:val="21"/>
              </w:rPr>
              <w:t>NO</w:t>
            </w:r>
            <w:r>
              <w:rPr>
                <w:rFonts w:ascii="Times New Roman" w:hAnsi="Times New Roman"/>
                <w:szCs w:val="21"/>
                <w:vertAlign w:val="subscript"/>
              </w:rPr>
              <w:t>2</w:t>
            </w:r>
          </w:p>
        </w:tc>
        <w:tc>
          <w:tcPr>
            <w:tcW w:w="4545" w:type="dxa"/>
            <w:vAlign w:val="center"/>
          </w:tcPr>
          <w:p>
            <w:pPr>
              <w:pStyle w:val="46"/>
              <w:ind w:firstLine="360"/>
              <w:jc w:val="center"/>
              <w:rPr>
                <w:rFonts w:ascii="Times New Roman" w:hAnsi="Times New Roman"/>
                <w:szCs w:val="21"/>
              </w:rPr>
            </w:pPr>
            <w:r>
              <w:rPr>
                <w:rFonts w:ascii="Times New Roman" w:hAnsi="Times New Roman"/>
                <w:szCs w:val="21"/>
              </w:rPr>
              <w:t>盐酸萘乙二胺分光光度法</w:t>
            </w:r>
          </w:p>
        </w:tc>
        <w:tc>
          <w:tcPr>
            <w:tcW w:w="2799" w:type="dxa"/>
            <w:vAlign w:val="center"/>
          </w:tcPr>
          <w:p>
            <w:pPr>
              <w:pStyle w:val="46"/>
              <w:ind w:firstLine="360"/>
              <w:jc w:val="center"/>
              <w:rPr>
                <w:rFonts w:ascii="Times New Roman" w:hAnsi="Times New Roman"/>
                <w:szCs w:val="21"/>
              </w:rPr>
            </w:pPr>
            <w:r>
              <w:rPr>
                <w:rFonts w:ascii="Times New Roman" w:hAnsi="Times New Roman"/>
                <w:szCs w:val="21"/>
              </w:rPr>
              <w:t>HJ 479-2009</w:t>
            </w:r>
          </w:p>
        </w:tc>
      </w:tr>
    </w:tbl>
    <w:p>
      <w:pPr>
        <w:spacing w:line="360" w:lineRule="auto"/>
        <w:ind w:firstLine="480" w:firstLineChars="200"/>
        <w:rPr>
          <w:sz w:val="24"/>
        </w:rPr>
      </w:pPr>
      <w:r>
        <w:rPr>
          <w:rFonts w:hint="eastAsia"/>
          <w:sz w:val="24"/>
        </w:rPr>
        <w:t>（3）监测频次</w:t>
      </w:r>
    </w:p>
    <w:p>
      <w:pPr>
        <w:spacing w:line="360" w:lineRule="auto"/>
        <w:ind w:firstLine="480" w:firstLineChars="200"/>
        <w:rPr>
          <w:sz w:val="24"/>
        </w:rPr>
      </w:pPr>
      <w:r>
        <w:rPr>
          <w:sz w:val="24"/>
        </w:rPr>
        <w:t>2015年11月进行了一期监测，连续采样7个有效日，2015年11月18日~24日。其中TSP、PM</w:t>
      </w:r>
      <w:r>
        <w:rPr>
          <w:sz w:val="24"/>
          <w:vertAlign w:val="subscript"/>
        </w:rPr>
        <w:t>10</w:t>
      </w:r>
      <w:r>
        <w:rPr>
          <w:sz w:val="24"/>
        </w:rPr>
        <w:t>监测日均值，每天采样24h；SO</w:t>
      </w:r>
      <w:r>
        <w:rPr>
          <w:sz w:val="24"/>
          <w:vertAlign w:val="subscript"/>
        </w:rPr>
        <w:t>2</w:t>
      </w:r>
      <w:r>
        <w:rPr>
          <w:sz w:val="24"/>
        </w:rPr>
        <w:t>、NO</w:t>
      </w:r>
      <w:r>
        <w:rPr>
          <w:sz w:val="24"/>
          <w:vertAlign w:val="subscript"/>
        </w:rPr>
        <w:t>2</w:t>
      </w:r>
      <w:r>
        <w:rPr>
          <w:sz w:val="24"/>
        </w:rPr>
        <w:t xml:space="preserve"> 监测小时值和日均值，小时平均浓度每天4次，时间为02:00、08:00、14:00、20:00；PM</w:t>
      </w:r>
      <w:r>
        <w:rPr>
          <w:sz w:val="24"/>
          <w:vertAlign w:val="subscript"/>
        </w:rPr>
        <w:t>10</w:t>
      </w:r>
      <w:r>
        <w:rPr>
          <w:sz w:val="24"/>
        </w:rPr>
        <w:t>、SO</w:t>
      </w:r>
      <w:r>
        <w:rPr>
          <w:sz w:val="24"/>
          <w:vertAlign w:val="subscript"/>
        </w:rPr>
        <w:t>2</w:t>
      </w:r>
      <w:r>
        <w:rPr>
          <w:sz w:val="24"/>
        </w:rPr>
        <w:t>、NO</w:t>
      </w:r>
      <w:r>
        <w:rPr>
          <w:sz w:val="24"/>
          <w:vertAlign w:val="subscript"/>
        </w:rPr>
        <w:t>2</w:t>
      </w:r>
      <w:r>
        <w:rPr>
          <w:sz w:val="24"/>
        </w:rPr>
        <w:t xml:space="preserve"> 日平均浓度每天作20h连续采样。TSP日平均浓度每天应有24小时的采样时间。</w:t>
      </w:r>
    </w:p>
    <w:p>
      <w:pPr>
        <w:pStyle w:val="5"/>
        <w:tabs>
          <w:tab w:val="left" w:pos="720"/>
        </w:tabs>
        <w:ind w:left="720"/>
        <w:rPr>
          <w:rFonts w:ascii="宋体" w:hAnsi="宋体" w:eastAsia="宋体"/>
          <w:b/>
          <w:sz w:val="28"/>
          <w:szCs w:val="28"/>
        </w:rPr>
      </w:pPr>
      <w:bookmarkStart w:id="116" w:name="_Toc442195697"/>
      <w:r>
        <w:rPr>
          <w:rFonts w:hint="eastAsia" w:ascii="宋体" w:hAnsi="宋体" w:eastAsia="宋体"/>
          <w:b/>
          <w:sz w:val="28"/>
          <w:szCs w:val="28"/>
        </w:rPr>
        <w:t>评价方法、监测结果及统计分析</w:t>
      </w:r>
      <w:bookmarkEnd w:id="116"/>
    </w:p>
    <w:p>
      <w:pPr>
        <w:pStyle w:val="36"/>
        <w:spacing w:after="0"/>
        <w:ind w:left="0" w:leftChars="0"/>
      </w:pPr>
      <w:r>
        <w:rPr>
          <w:rFonts w:hint="eastAsia"/>
        </w:rPr>
        <w:t>（1）评价方法</w:t>
      </w:r>
    </w:p>
    <w:p>
      <w:pPr>
        <w:pStyle w:val="36"/>
        <w:spacing w:after="0"/>
        <w:ind w:left="0" w:leftChars="0"/>
      </w:pPr>
      <w:r>
        <w:t>采用单因子指数法。</w:t>
      </w:r>
    </w:p>
    <w:p>
      <w:pPr>
        <w:spacing w:line="360" w:lineRule="auto"/>
        <w:ind w:firstLine="480" w:firstLineChars="200"/>
        <w:rPr>
          <w:sz w:val="24"/>
        </w:rPr>
      </w:pPr>
      <w:r>
        <w:rPr>
          <w:sz w:val="24"/>
        </w:rPr>
        <w:t>公式为：</w:t>
      </w:r>
      <w:r>
        <w:rPr>
          <w:i/>
          <w:sz w:val="24"/>
        </w:rPr>
        <w:t>P</w:t>
      </w:r>
      <w:r>
        <w:rPr>
          <w:i/>
          <w:sz w:val="24"/>
          <w:vertAlign w:val="subscript"/>
        </w:rPr>
        <w:t>i</w:t>
      </w:r>
      <w:r>
        <w:rPr>
          <w:sz w:val="24"/>
        </w:rPr>
        <w:t>＝</w:t>
      </w:r>
      <w:r>
        <w:rPr>
          <w:i/>
          <w:sz w:val="24"/>
        </w:rPr>
        <w:t>C</w:t>
      </w:r>
      <w:r>
        <w:rPr>
          <w:i/>
          <w:sz w:val="24"/>
          <w:vertAlign w:val="subscript"/>
        </w:rPr>
        <w:t>i</w:t>
      </w:r>
      <w:r>
        <w:rPr>
          <w:i/>
          <w:sz w:val="24"/>
        </w:rPr>
        <w:t>／S</w:t>
      </w:r>
      <w:r>
        <w:rPr>
          <w:i/>
          <w:sz w:val="24"/>
          <w:vertAlign w:val="subscript"/>
        </w:rPr>
        <w:t>i</w:t>
      </w:r>
    </w:p>
    <w:p>
      <w:pPr>
        <w:spacing w:line="360" w:lineRule="auto"/>
        <w:rPr>
          <w:sz w:val="24"/>
        </w:rPr>
      </w:pPr>
      <w:r>
        <w:rPr>
          <w:sz w:val="24"/>
        </w:rPr>
        <w:t>式中：</w:t>
      </w:r>
      <w:r>
        <w:rPr>
          <w:i/>
          <w:iCs/>
          <w:sz w:val="24"/>
        </w:rPr>
        <w:t>P</w:t>
      </w:r>
      <w:r>
        <w:rPr>
          <w:i/>
          <w:iCs/>
          <w:sz w:val="24"/>
          <w:vertAlign w:val="subscript"/>
        </w:rPr>
        <w:t>i</w:t>
      </w:r>
      <w:r>
        <w:rPr>
          <w:sz w:val="24"/>
        </w:rPr>
        <w:t>——某污染物的单项质量指数；</w:t>
      </w:r>
    </w:p>
    <w:p>
      <w:pPr>
        <w:spacing w:line="360" w:lineRule="auto"/>
        <w:rPr>
          <w:sz w:val="24"/>
        </w:rPr>
      </w:pPr>
      <w:r>
        <w:rPr>
          <w:sz w:val="24"/>
        </w:rPr>
        <w:t xml:space="preserve">      </w:t>
      </w:r>
      <w:r>
        <w:rPr>
          <w:i/>
          <w:iCs/>
          <w:sz w:val="24"/>
        </w:rPr>
        <w:t>C</w:t>
      </w:r>
      <w:r>
        <w:rPr>
          <w:i/>
          <w:iCs/>
          <w:sz w:val="24"/>
          <w:vertAlign w:val="subscript"/>
        </w:rPr>
        <w:t>i</w:t>
      </w:r>
      <w:r>
        <w:rPr>
          <w:sz w:val="24"/>
        </w:rPr>
        <w:t>——某污染物的实测浓度，mg/m</w:t>
      </w:r>
      <w:r>
        <w:rPr>
          <w:sz w:val="24"/>
          <w:vertAlign w:val="superscript"/>
        </w:rPr>
        <w:t>3</w:t>
      </w:r>
      <w:r>
        <w:rPr>
          <w:sz w:val="24"/>
        </w:rPr>
        <w:t>；</w:t>
      </w:r>
    </w:p>
    <w:p>
      <w:pPr>
        <w:spacing w:line="360" w:lineRule="auto"/>
        <w:rPr>
          <w:sz w:val="24"/>
        </w:rPr>
      </w:pPr>
      <w:r>
        <w:rPr>
          <w:sz w:val="24"/>
        </w:rPr>
        <w:t xml:space="preserve">      </w:t>
      </w:r>
      <w:r>
        <w:rPr>
          <w:i/>
          <w:iCs/>
          <w:sz w:val="24"/>
        </w:rPr>
        <w:t>S</w:t>
      </w:r>
      <w:r>
        <w:rPr>
          <w:i/>
          <w:iCs/>
          <w:sz w:val="24"/>
          <w:vertAlign w:val="subscript"/>
        </w:rPr>
        <w:t>i</w:t>
      </w:r>
      <w:r>
        <w:rPr>
          <w:sz w:val="24"/>
        </w:rPr>
        <w:t>——某污染物的评价标准限值，mg/m</w:t>
      </w:r>
      <w:r>
        <w:rPr>
          <w:sz w:val="24"/>
          <w:vertAlign w:val="superscript"/>
        </w:rPr>
        <w:t>3</w:t>
      </w:r>
      <w:r>
        <w:rPr>
          <w:sz w:val="24"/>
        </w:rPr>
        <w:t>。</w:t>
      </w:r>
    </w:p>
    <w:p>
      <w:pPr>
        <w:spacing w:line="360" w:lineRule="auto"/>
        <w:ind w:firstLine="480" w:firstLineChars="200"/>
        <w:rPr>
          <w:sz w:val="24"/>
        </w:rPr>
      </w:pPr>
      <w:r>
        <w:rPr>
          <w:rFonts w:hint="eastAsia"/>
          <w:sz w:val="24"/>
        </w:rPr>
        <w:t>（3）统计分析</w:t>
      </w:r>
    </w:p>
    <w:p>
      <w:pPr>
        <w:spacing w:line="360" w:lineRule="auto"/>
        <w:ind w:firstLine="480" w:firstLineChars="200"/>
        <w:rPr>
          <w:sz w:val="24"/>
        </w:rPr>
      </w:pPr>
      <w:r>
        <w:rPr>
          <w:sz w:val="24"/>
        </w:rPr>
        <w:t>根据各监测点位连续</w:t>
      </w:r>
      <w:r>
        <w:rPr>
          <w:rFonts w:hint="eastAsia"/>
          <w:sz w:val="24"/>
        </w:rPr>
        <w:t>7</w:t>
      </w:r>
      <w:r>
        <w:rPr>
          <w:sz w:val="24"/>
        </w:rPr>
        <w:t>天的监测数据，按照《环境影响评价技术导则-大气环境》（HJ 2.2-2008）的统计要求，统计分析结果见表</w:t>
      </w:r>
      <w:r>
        <w:rPr>
          <w:rFonts w:hint="eastAsia"/>
          <w:sz w:val="24"/>
        </w:rPr>
        <w:t>3.3-4、3.3-5</w:t>
      </w:r>
      <w:r>
        <w:rPr>
          <w:sz w:val="24"/>
        </w:rPr>
        <w:t>。</w:t>
      </w:r>
    </w:p>
    <w:p>
      <w:pPr>
        <w:jc w:val="center"/>
        <w:rPr>
          <w:b/>
          <w:szCs w:val="21"/>
        </w:rPr>
      </w:pPr>
      <w:r>
        <w:rPr>
          <w:b/>
          <w:szCs w:val="21"/>
        </w:rPr>
        <w:t>表</w:t>
      </w:r>
      <w:r>
        <w:rPr>
          <w:rFonts w:hint="eastAsia"/>
          <w:b/>
          <w:szCs w:val="21"/>
        </w:rPr>
        <w:t>3.3-4</w:t>
      </w:r>
      <w:r>
        <w:rPr>
          <w:b/>
          <w:szCs w:val="21"/>
        </w:rPr>
        <w:t xml:space="preserve"> 空气环境质量现状</w:t>
      </w:r>
      <w:r>
        <w:rPr>
          <w:rFonts w:hint="eastAsia"/>
          <w:b/>
          <w:szCs w:val="21"/>
        </w:rPr>
        <w:t>小时</w:t>
      </w:r>
      <w:r>
        <w:rPr>
          <w:b/>
          <w:szCs w:val="21"/>
        </w:rPr>
        <w:t>浓度统计结果</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749"/>
        <w:gridCol w:w="755"/>
        <w:gridCol w:w="1051"/>
        <w:gridCol w:w="1354"/>
        <w:gridCol w:w="1057"/>
        <w:gridCol w:w="1051"/>
        <w:gridCol w:w="1279"/>
        <w:gridCol w:w="644"/>
        <w:gridCol w:w="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8" w:hRule="atLeast"/>
        </w:trPr>
        <w:tc>
          <w:tcPr>
            <w:tcW w:w="420" w:type="dxa"/>
            <w:shd w:val="clear" w:color="auto" w:fill="auto"/>
            <w:vAlign w:val="center"/>
          </w:tcPr>
          <w:p>
            <w:pPr>
              <w:jc w:val="center"/>
              <w:rPr>
                <w:b/>
                <w:sz w:val="18"/>
                <w:szCs w:val="18"/>
              </w:rPr>
            </w:pPr>
            <w:r>
              <w:rPr>
                <w:b/>
                <w:sz w:val="18"/>
                <w:szCs w:val="18"/>
              </w:rPr>
              <w:t>编号</w:t>
            </w:r>
          </w:p>
        </w:tc>
        <w:tc>
          <w:tcPr>
            <w:tcW w:w="749" w:type="dxa"/>
            <w:shd w:val="clear" w:color="auto" w:fill="auto"/>
            <w:vAlign w:val="center"/>
          </w:tcPr>
          <w:p>
            <w:pPr>
              <w:jc w:val="center"/>
              <w:rPr>
                <w:b/>
                <w:sz w:val="18"/>
                <w:szCs w:val="18"/>
              </w:rPr>
            </w:pPr>
            <w:r>
              <w:rPr>
                <w:b/>
                <w:sz w:val="18"/>
                <w:szCs w:val="18"/>
              </w:rPr>
              <w:t>采样</w:t>
            </w:r>
          </w:p>
          <w:p>
            <w:pPr>
              <w:jc w:val="center"/>
              <w:rPr>
                <w:b/>
                <w:sz w:val="18"/>
                <w:szCs w:val="18"/>
              </w:rPr>
            </w:pPr>
            <w:r>
              <w:rPr>
                <w:b/>
                <w:sz w:val="18"/>
                <w:szCs w:val="18"/>
              </w:rPr>
              <w:t>地点</w:t>
            </w:r>
          </w:p>
        </w:tc>
        <w:tc>
          <w:tcPr>
            <w:tcW w:w="755" w:type="dxa"/>
            <w:shd w:val="clear" w:color="auto" w:fill="auto"/>
            <w:vAlign w:val="center"/>
          </w:tcPr>
          <w:p>
            <w:pPr>
              <w:jc w:val="center"/>
              <w:rPr>
                <w:b/>
                <w:sz w:val="18"/>
                <w:szCs w:val="18"/>
              </w:rPr>
            </w:pPr>
            <w:r>
              <w:rPr>
                <w:b/>
                <w:sz w:val="18"/>
                <w:szCs w:val="18"/>
              </w:rPr>
              <w:t>监测项目</w:t>
            </w:r>
          </w:p>
        </w:tc>
        <w:tc>
          <w:tcPr>
            <w:tcW w:w="1051" w:type="dxa"/>
            <w:vAlign w:val="center"/>
          </w:tcPr>
          <w:p>
            <w:pPr>
              <w:ind w:right="-73" w:rightChars="-35"/>
              <w:jc w:val="center"/>
              <w:rPr>
                <w:b/>
                <w:sz w:val="18"/>
                <w:szCs w:val="18"/>
              </w:rPr>
            </w:pPr>
            <w:r>
              <w:rPr>
                <w:rFonts w:hint="eastAsia"/>
                <w:b/>
                <w:sz w:val="18"/>
                <w:szCs w:val="18"/>
              </w:rPr>
              <w:t>小时浓度二级标准值</w:t>
            </w:r>
          </w:p>
          <w:p>
            <w:pPr>
              <w:jc w:val="center"/>
              <w:rPr>
                <w:b/>
                <w:sz w:val="18"/>
                <w:szCs w:val="18"/>
              </w:rPr>
            </w:pP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354" w:type="dxa"/>
            <w:shd w:val="clear" w:color="auto" w:fill="auto"/>
            <w:vAlign w:val="center"/>
          </w:tcPr>
          <w:p>
            <w:pPr>
              <w:jc w:val="center"/>
              <w:rPr>
                <w:b/>
                <w:sz w:val="18"/>
                <w:szCs w:val="18"/>
              </w:rPr>
            </w:pPr>
            <w:r>
              <w:rPr>
                <w:rFonts w:hint="eastAsia"/>
                <w:b/>
                <w:sz w:val="18"/>
                <w:szCs w:val="18"/>
              </w:rPr>
              <w:t>小时</w:t>
            </w:r>
            <w:r>
              <w:rPr>
                <w:b/>
                <w:sz w:val="18"/>
                <w:szCs w:val="18"/>
              </w:rPr>
              <w:t>浓度变化范围</w:t>
            </w:r>
          </w:p>
          <w:p>
            <w:pPr>
              <w:jc w:val="center"/>
              <w:rPr>
                <w:b/>
                <w:sz w:val="18"/>
                <w:szCs w:val="18"/>
              </w:rPr>
            </w:pP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057" w:type="dxa"/>
            <w:shd w:val="clear" w:color="auto" w:fill="auto"/>
            <w:vAlign w:val="center"/>
          </w:tcPr>
          <w:p>
            <w:pPr>
              <w:jc w:val="center"/>
              <w:rPr>
                <w:b/>
                <w:sz w:val="18"/>
                <w:szCs w:val="18"/>
              </w:rPr>
            </w:pPr>
            <w:r>
              <w:rPr>
                <w:rFonts w:hint="eastAsia"/>
                <w:b/>
                <w:sz w:val="18"/>
                <w:szCs w:val="18"/>
              </w:rPr>
              <w:t>小时</w:t>
            </w:r>
            <w:r>
              <w:rPr>
                <w:b/>
                <w:sz w:val="18"/>
                <w:szCs w:val="18"/>
              </w:rPr>
              <w:t>最大浓度值</w:t>
            </w: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051" w:type="dxa"/>
            <w:shd w:val="clear" w:color="auto" w:fill="auto"/>
            <w:vAlign w:val="center"/>
          </w:tcPr>
          <w:p>
            <w:pPr>
              <w:jc w:val="center"/>
              <w:rPr>
                <w:b/>
                <w:sz w:val="18"/>
                <w:szCs w:val="18"/>
              </w:rPr>
            </w:pPr>
            <w:r>
              <w:rPr>
                <w:rFonts w:hint="eastAsia"/>
                <w:b/>
                <w:sz w:val="18"/>
                <w:szCs w:val="18"/>
              </w:rPr>
              <w:t>小时</w:t>
            </w:r>
            <w:r>
              <w:rPr>
                <w:b/>
                <w:sz w:val="18"/>
                <w:szCs w:val="18"/>
              </w:rPr>
              <w:t>平均浓度值</w:t>
            </w: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279" w:type="dxa"/>
            <w:shd w:val="clear" w:color="auto" w:fill="auto"/>
            <w:vAlign w:val="center"/>
          </w:tcPr>
          <w:p>
            <w:pPr>
              <w:jc w:val="center"/>
              <w:rPr>
                <w:b/>
                <w:sz w:val="18"/>
                <w:szCs w:val="18"/>
              </w:rPr>
            </w:pPr>
            <w:r>
              <w:rPr>
                <w:b/>
                <w:sz w:val="18"/>
                <w:szCs w:val="18"/>
              </w:rPr>
              <w:t>最大浓度值占标准值的百分比%</w:t>
            </w:r>
          </w:p>
        </w:tc>
        <w:tc>
          <w:tcPr>
            <w:tcW w:w="644" w:type="dxa"/>
            <w:shd w:val="clear" w:color="auto" w:fill="auto"/>
            <w:vAlign w:val="center"/>
          </w:tcPr>
          <w:p>
            <w:pPr>
              <w:jc w:val="center"/>
              <w:rPr>
                <w:b/>
                <w:sz w:val="18"/>
                <w:szCs w:val="18"/>
              </w:rPr>
            </w:pPr>
            <w:r>
              <w:rPr>
                <w:b/>
                <w:sz w:val="18"/>
                <w:szCs w:val="18"/>
              </w:rPr>
              <w:t>达标</w:t>
            </w:r>
          </w:p>
          <w:p>
            <w:pPr>
              <w:jc w:val="center"/>
              <w:rPr>
                <w:b/>
                <w:sz w:val="18"/>
                <w:szCs w:val="18"/>
              </w:rPr>
            </w:pPr>
            <w:r>
              <w:rPr>
                <w:b/>
                <w:sz w:val="18"/>
                <w:szCs w:val="18"/>
              </w:rPr>
              <w:t>情况</w:t>
            </w:r>
          </w:p>
        </w:tc>
        <w:tc>
          <w:tcPr>
            <w:tcW w:w="688" w:type="dxa"/>
            <w:shd w:val="clear" w:color="auto" w:fill="auto"/>
            <w:vAlign w:val="center"/>
          </w:tcPr>
          <w:p>
            <w:pPr>
              <w:jc w:val="center"/>
              <w:rPr>
                <w:b/>
                <w:sz w:val="18"/>
                <w:szCs w:val="18"/>
              </w:rPr>
            </w:pPr>
            <w:r>
              <w:rPr>
                <w:b/>
                <w:sz w:val="18"/>
                <w:szCs w:val="18"/>
              </w:rPr>
              <w:t>超标率</w:t>
            </w:r>
          </w:p>
          <w:p>
            <w:pPr>
              <w:jc w:val="center"/>
              <w:rPr>
                <w:b/>
                <w:sz w:val="18"/>
                <w:szCs w:val="18"/>
              </w:rPr>
            </w:pPr>
            <w:r>
              <w:rPr>
                <w:b/>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restart"/>
            <w:shd w:val="clear" w:color="auto" w:fill="auto"/>
            <w:vAlign w:val="center"/>
          </w:tcPr>
          <w:p>
            <w:pPr>
              <w:jc w:val="center"/>
              <w:rPr>
                <w:sz w:val="18"/>
                <w:szCs w:val="18"/>
              </w:rPr>
            </w:pPr>
            <w:r>
              <w:rPr>
                <w:sz w:val="18"/>
                <w:szCs w:val="18"/>
              </w:rPr>
              <w:t>1</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垭子山村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rFonts w:hint="eastAsia"/>
                <w:sz w:val="18"/>
                <w:szCs w:val="18"/>
              </w:rPr>
              <w:t>0.50</w:t>
            </w:r>
          </w:p>
        </w:tc>
        <w:tc>
          <w:tcPr>
            <w:tcW w:w="1354" w:type="dxa"/>
            <w:shd w:val="clear" w:color="auto" w:fill="auto"/>
            <w:vAlign w:val="center"/>
          </w:tcPr>
          <w:p>
            <w:pPr>
              <w:jc w:val="center"/>
              <w:rPr>
                <w:sz w:val="18"/>
                <w:szCs w:val="18"/>
              </w:rPr>
            </w:pPr>
            <w:r>
              <w:rPr>
                <w:rFonts w:hint="eastAsia"/>
                <w:sz w:val="18"/>
                <w:szCs w:val="18"/>
              </w:rPr>
              <w:t>0.011~0.033</w:t>
            </w:r>
          </w:p>
        </w:tc>
        <w:tc>
          <w:tcPr>
            <w:tcW w:w="1057" w:type="dxa"/>
            <w:shd w:val="clear" w:color="auto" w:fill="auto"/>
            <w:vAlign w:val="center"/>
          </w:tcPr>
          <w:p>
            <w:pPr>
              <w:jc w:val="center"/>
              <w:rPr>
                <w:sz w:val="18"/>
                <w:szCs w:val="18"/>
              </w:rPr>
            </w:pPr>
            <w:r>
              <w:rPr>
                <w:rFonts w:hint="eastAsia"/>
                <w:sz w:val="18"/>
                <w:szCs w:val="18"/>
              </w:rPr>
              <w:t>0.033</w:t>
            </w:r>
          </w:p>
        </w:tc>
        <w:tc>
          <w:tcPr>
            <w:tcW w:w="1051" w:type="dxa"/>
            <w:shd w:val="clear" w:color="auto" w:fill="auto"/>
            <w:vAlign w:val="center"/>
          </w:tcPr>
          <w:p>
            <w:pPr>
              <w:jc w:val="center"/>
              <w:rPr>
                <w:sz w:val="18"/>
                <w:szCs w:val="18"/>
              </w:rPr>
            </w:pPr>
            <w:r>
              <w:rPr>
                <w:rFonts w:hint="eastAsia"/>
                <w:sz w:val="18"/>
                <w:szCs w:val="18"/>
              </w:rPr>
              <w:t>0.021</w:t>
            </w:r>
          </w:p>
        </w:tc>
        <w:tc>
          <w:tcPr>
            <w:tcW w:w="1279" w:type="dxa"/>
            <w:shd w:val="clear" w:color="auto" w:fill="auto"/>
            <w:vAlign w:val="center"/>
          </w:tcPr>
          <w:p>
            <w:pPr>
              <w:jc w:val="center"/>
              <w:rPr>
                <w:sz w:val="18"/>
                <w:szCs w:val="18"/>
              </w:rPr>
            </w:pPr>
            <w:r>
              <w:rPr>
                <w:rFonts w:hint="eastAsia"/>
                <w:sz w:val="18"/>
                <w:szCs w:val="18"/>
              </w:rPr>
              <w:t>6.6</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ind w:left="-115" w:leftChars="-55" w:right="-38" w:rightChars="-18"/>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0.20</w:t>
            </w:r>
          </w:p>
        </w:tc>
        <w:tc>
          <w:tcPr>
            <w:tcW w:w="1354" w:type="dxa"/>
            <w:shd w:val="clear" w:color="auto" w:fill="auto"/>
            <w:vAlign w:val="center"/>
          </w:tcPr>
          <w:p>
            <w:pPr>
              <w:jc w:val="center"/>
              <w:rPr>
                <w:sz w:val="18"/>
                <w:szCs w:val="18"/>
              </w:rPr>
            </w:pPr>
            <w:r>
              <w:rPr>
                <w:rFonts w:hint="eastAsia"/>
                <w:sz w:val="18"/>
                <w:szCs w:val="18"/>
              </w:rPr>
              <w:t>0.014~0.038</w:t>
            </w:r>
          </w:p>
        </w:tc>
        <w:tc>
          <w:tcPr>
            <w:tcW w:w="1057" w:type="dxa"/>
            <w:shd w:val="clear" w:color="auto" w:fill="auto"/>
            <w:vAlign w:val="center"/>
          </w:tcPr>
          <w:p>
            <w:pPr>
              <w:jc w:val="center"/>
              <w:rPr>
                <w:sz w:val="18"/>
                <w:szCs w:val="18"/>
              </w:rPr>
            </w:pPr>
            <w:r>
              <w:rPr>
                <w:rFonts w:hint="eastAsia"/>
                <w:sz w:val="18"/>
                <w:szCs w:val="18"/>
              </w:rPr>
              <w:t>0.038</w:t>
            </w:r>
          </w:p>
        </w:tc>
        <w:tc>
          <w:tcPr>
            <w:tcW w:w="1051" w:type="dxa"/>
            <w:shd w:val="clear" w:color="auto" w:fill="auto"/>
            <w:vAlign w:val="center"/>
          </w:tcPr>
          <w:p>
            <w:pPr>
              <w:jc w:val="center"/>
              <w:rPr>
                <w:sz w:val="18"/>
                <w:szCs w:val="18"/>
              </w:rPr>
            </w:pPr>
            <w:r>
              <w:rPr>
                <w:rFonts w:hint="eastAsia"/>
                <w:sz w:val="18"/>
                <w:szCs w:val="18"/>
              </w:rPr>
              <w:t>0.026</w:t>
            </w:r>
          </w:p>
        </w:tc>
        <w:tc>
          <w:tcPr>
            <w:tcW w:w="1279" w:type="dxa"/>
            <w:shd w:val="clear" w:color="auto" w:fill="auto"/>
            <w:vAlign w:val="center"/>
          </w:tcPr>
          <w:p>
            <w:pPr>
              <w:jc w:val="center"/>
              <w:rPr>
                <w:sz w:val="18"/>
                <w:szCs w:val="18"/>
              </w:rPr>
            </w:pPr>
            <w:r>
              <w:rPr>
                <w:rFonts w:hint="eastAsia"/>
                <w:sz w:val="18"/>
                <w:szCs w:val="18"/>
              </w:rPr>
              <w:t>19</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restart"/>
            <w:shd w:val="clear" w:color="auto" w:fill="auto"/>
            <w:vAlign w:val="center"/>
          </w:tcPr>
          <w:p>
            <w:pPr>
              <w:jc w:val="center"/>
              <w:rPr>
                <w:sz w:val="18"/>
                <w:szCs w:val="18"/>
              </w:rPr>
            </w:pPr>
            <w:r>
              <w:rPr>
                <w:sz w:val="18"/>
                <w:szCs w:val="18"/>
              </w:rPr>
              <w:t>2</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桂溪湖村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rFonts w:hint="eastAsia"/>
                <w:sz w:val="18"/>
                <w:szCs w:val="18"/>
              </w:rPr>
              <w:t>0.50</w:t>
            </w:r>
          </w:p>
        </w:tc>
        <w:tc>
          <w:tcPr>
            <w:tcW w:w="1354" w:type="dxa"/>
            <w:shd w:val="clear" w:color="auto" w:fill="auto"/>
            <w:vAlign w:val="center"/>
          </w:tcPr>
          <w:p>
            <w:pPr>
              <w:jc w:val="center"/>
              <w:rPr>
                <w:sz w:val="18"/>
                <w:szCs w:val="18"/>
              </w:rPr>
            </w:pPr>
            <w:r>
              <w:rPr>
                <w:rFonts w:hint="eastAsia"/>
                <w:sz w:val="18"/>
                <w:szCs w:val="18"/>
              </w:rPr>
              <w:t>0.013~0.029</w:t>
            </w:r>
          </w:p>
        </w:tc>
        <w:tc>
          <w:tcPr>
            <w:tcW w:w="1057" w:type="dxa"/>
            <w:shd w:val="clear" w:color="auto" w:fill="auto"/>
            <w:vAlign w:val="center"/>
          </w:tcPr>
          <w:p>
            <w:pPr>
              <w:jc w:val="center"/>
              <w:rPr>
                <w:sz w:val="18"/>
                <w:szCs w:val="18"/>
              </w:rPr>
            </w:pPr>
            <w:r>
              <w:rPr>
                <w:rFonts w:hint="eastAsia"/>
                <w:sz w:val="18"/>
                <w:szCs w:val="18"/>
              </w:rPr>
              <w:t>0.029</w:t>
            </w:r>
          </w:p>
        </w:tc>
        <w:tc>
          <w:tcPr>
            <w:tcW w:w="1051" w:type="dxa"/>
            <w:shd w:val="clear" w:color="auto" w:fill="auto"/>
            <w:vAlign w:val="center"/>
          </w:tcPr>
          <w:p>
            <w:pPr>
              <w:jc w:val="center"/>
              <w:rPr>
                <w:sz w:val="18"/>
                <w:szCs w:val="18"/>
              </w:rPr>
            </w:pPr>
            <w:r>
              <w:rPr>
                <w:rFonts w:hint="eastAsia"/>
                <w:sz w:val="18"/>
                <w:szCs w:val="18"/>
              </w:rPr>
              <w:t>0.019</w:t>
            </w:r>
          </w:p>
        </w:tc>
        <w:tc>
          <w:tcPr>
            <w:tcW w:w="1279" w:type="dxa"/>
            <w:shd w:val="clear" w:color="auto" w:fill="auto"/>
            <w:vAlign w:val="center"/>
          </w:tcPr>
          <w:p>
            <w:pPr>
              <w:jc w:val="center"/>
              <w:rPr>
                <w:sz w:val="18"/>
                <w:szCs w:val="18"/>
              </w:rPr>
            </w:pPr>
            <w:r>
              <w:rPr>
                <w:rFonts w:hint="eastAsia"/>
                <w:sz w:val="18"/>
                <w:szCs w:val="18"/>
              </w:rPr>
              <w:t>5.8</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ind w:left="-115" w:leftChars="-55" w:right="-38" w:rightChars="-18"/>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0.20</w:t>
            </w:r>
          </w:p>
        </w:tc>
        <w:tc>
          <w:tcPr>
            <w:tcW w:w="1354" w:type="dxa"/>
            <w:shd w:val="clear" w:color="auto" w:fill="auto"/>
            <w:vAlign w:val="center"/>
          </w:tcPr>
          <w:p>
            <w:pPr>
              <w:jc w:val="center"/>
              <w:rPr>
                <w:sz w:val="18"/>
                <w:szCs w:val="18"/>
              </w:rPr>
            </w:pPr>
            <w:r>
              <w:rPr>
                <w:rFonts w:hint="eastAsia"/>
                <w:sz w:val="18"/>
                <w:szCs w:val="18"/>
              </w:rPr>
              <w:t>0.018~0.031</w:t>
            </w:r>
          </w:p>
        </w:tc>
        <w:tc>
          <w:tcPr>
            <w:tcW w:w="1057" w:type="dxa"/>
            <w:shd w:val="clear" w:color="auto" w:fill="auto"/>
            <w:vAlign w:val="center"/>
          </w:tcPr>
          <w:p>
            <w:pPr>
              <w:jc w:val="center"/>
              <w:rPr>
                <w:sz w:val="18"/>
                <w:szCs w:val="18"/>
              </w:rPr>
            </w:pPr>
            <w:r>
              <w:rPr>
                <w:rFonts w:hint="eastAsia"/>
                <w:sz w:val="18"/>
                <w:szCs w:val="18"/>
              </w:rPr>
              <w:t>0.031</w:t>
            </w:r>
          </w:p>
        </w:tc>
        <w:tc>
          <w:tcPr>
            <w:tcW w:w="1051" w:type="dxa"/>
            <w:shd w:val="clear" w:color="auto" w:fill="auto"/>
            <w:vAlign w:val="center"/>
          </w:tcPr>
          <w:p>
            <w:pPr>
              <w:jc w:val="center"/>
              <w:rPr>
                <w:sz w:val="18"/>
                <w:szCs w:val="18"/>
              </w:rPr>
            </w:pPr>
            <w:r>
              <w:rPr>
                <w:rFonts w:hint="eastAsia"/>
                <w:sz w:val="18"/>
                <w:szCs w:val="18"/>
              </w:rPr>
              <w:t>0.024</w:t>
            </w:r>
          </w:p>
        </w:tc>
        <w:tc>
          <w:tcPr>
            <w:tcW w:w="1279" w:type="dxa"/>
            <w:shd w:val="clear" w:color="auto" w:fill="auto"/>
            <w:vAlign w:val="center"/>
          </w:tcPr>
          <w:p>
            <w:pPr>
              <w:jc w:val="center"/>
              <w:rPr>
                <w:sz w:val="18"/>
                <w:szCs w:val="18"/>
              </w:rPr>
            </w:pPr>
            <w:r>
              <w:rPr>
                <w:rFonts w:hint="eastAsia"/>
                <w:sz w:val="18"/>
                <w:szCs w:val="18"/>
              </w:rPr>
              <w:t>15.5</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restart"/>
            <w:shd w:val="clear" w:color="auto" w:fill="auto"/>
            <w:vAlign w:val="center"/>
          </w:tcPr>
          <w:p>
            <w:pPr>
              <w:jc w:val="center"/>
              <w:rPr>
                <w:sz w:val="18"/>
                <w:szCs w:val="18"/>
              </w:rPr>
            </w:pPr>
            <w:r>
              <w:rPr>
                <w:sz w:val="18"/>
                <w:szCs w:val="18"/>
              </w:rPr>
              <w:t>3</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白洋镇</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rFonts w:hint="eastAsia"/>
                <w:sz w:val="18"/>
                <w:szCs w:val="18"/>
              </w:rPr>
              <w:t>0.50</w:t>
            </w:r>
          </w:p>
        </w:tc>
        <w:tc>
          <w:tcPr>
            <w:tcW w:w="1354" w:type="dxa"/>
            <w:shd w:val="clear" w:color="auto" w:fill="auto"/>
            <w:vAlign w:val="center"/>
          </w:tcPr>
          <w:p>
            <w:pPr>
              <w:jc w:val="center"/>
              <w:rPr>
                <w:sz w:val="18"/>
                <w:szCs w:val="18"/>
              </w:rPr>
            </w:pPr>
            <w:r>
              <w:rPr>
                <w:rFonts w:hint="eastAsia"/>
                <w:sz w:val="18"/>
                <w:szCs w:val="18"/>
              </w:rPr>
              <w:t>0.011~0.057</w:t>
            </w:r>
          </w:p>
        </w:tc>
        <w:tc>
          <w:tcPr>
            <w:tcW w:w="1057" w:type="dxa"/>
            <w:shd w:val="clear" w:color="auto" w:fill="auto"/>
            <w:vAlign w:val="center"/>
          </w:tcPr>
          <w:p>
            <w:pPr>
              <w:jc w:val="center"/>
              <w:rPr>
                <w:sz w:val="18"/>
                <w:szCs w:val="18"/>
              </w:rPr>
            </w:pPr>
            <w:r>
              <w:rPr>
                <w:rFonts w:hint="eastAsia"/>
                <w:sz w:val="18"/>
                <w:szCs w:val="18"/>
              </w:rPr>
              <w:t>0.057</w:t>
            </w:r>
          </w:p>
        </w:tc>
        <w:tc>
          <w:tcPr>
            <w:tcW w:w="1051" w:type="dxa"/>
            <w:shd w:val="clear" w:color="auto" w:fill="auto"/>
            <w:vAlign w:val="center"/>
          </w:tcPr>
          <w:p>
            <w:pPr>
              <w:jc w:val="center"/>
              <w:rPr>
                <w:sz w:val="18"/>
                <w:szCs w:val="18"/>
              </w:rPr>
            </w:pPr>
            <w:r>
              <w:rPr>
                <w:rFonts w:hint="eastAsia"/>
                <w:sz w:val="18"/>
                <w:szCs w:val="18"/>
              </w:rPr>
              <w:t>0.024</w:t>
            </w:r>
          </w:p>
        </w:tc>
        <w:tc>
          <w:tcPr>
            <w:tcW w:w="1279" w:type="dxa"/>
            <w:shd w:val="clear" w:color="auto" w:fill="auto"/>
            <w:vAlign w:val="center"/>
          </w:tcPr>
          <w:p>
            <w:pPr>
              <w:jc w:val="center"/>
              <w:rPr>
                <w:sz w:val="18"/>
                <w:szCs w:val="18"/>
              </w:rPr>
            </w:pPr>
            <w:r>
              <w:rPr>
                <w:rFonts w:hint="eastAsia"/>
                <w:sz w:val="18"/>
                <w:szCs w:val="18"/>
              </w:rPr>
              <w:t>11.4</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ind w:left="-115" w:leftChars="-55" w:right="-38" w:rightChars="-18"/>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0.20</w:t>
            </w:r>
          </w:p>
        </w:tc>
        <w:tc>
          <w:tcPr>
            <w:tcW w:w="1354" w:type="dxa"/>
            <w:shd w:val="clear" w:color="auto" w:fill="auto"/>
            <w:vAlign w:val="center"/>
          </w:tcPr>
          <w:p>
            <w:pPr>
              <w:jc w:val="center"/>
              <w:rPr>
                <w:sz w:val="18"/>
                <w:szCs w:val="18"/>
              </w:rPr>
            </w:pPr>
            <w:r>
              <w:rPr>
                <w:rFonts w:hint="eastAsia"/>
                <w:sz w:val="18"/>
                <w:szCs w:val="18"/>
              </w:rPr>
              <w:t>0.013~0.027</w:t>
            </w:r>
          </w:p>
        </w:tc>
        <w:tc>
          <w:tcPr>
            <w:tcW w:w="1057" w:type="dxa"/>
            <w:shd w:val="clear" w:color="auto" w:fill="auto"/>
            <w:vAlign w:val="center"/>
          </w:tcPr>
          <w:p>
            <w:pPr>
              <w:jc w:val="center"/>
              <w:rPr>
                <w:sz w:val="18"/>
                <w:szCs w:val="18"/>
              </w:rPr>
            </w:pPr>
            <w:r>
              <w:rPr>
                <w:rFonts w:hint="eastAsia"/>
                <w:sz w:val="18"/>
                <w:szCs w:val="18"/>
              </w:rPr>
              <w:t>0.027</w:t>
            </w:r>
          </w:p>
        </w:tc>
        <w:tc>
          <w:tcPr>
            <w:tcW w:w="1051" w:type="dxa"/>
            <w:shd w:val="clear" w:color="auto" w:fill="auto"/>
            <w:vAlign w:val="center"/>
          </w:tcPr>
          <w:p>
            <w:pPr>
              <w:jc w:val="center"/>
              <w:rPr>
                <w:sz w:val="18"/>
                <w:szCs w:val="18"/>
              </w:rPr>
            </w:pPr>
            <w:r>
              <w:rPr>
                <w:rFonts w:hint="eastAsia"/>
                <w:sz w:val="18"/>
                <w:szCs w:val="18"/>
              </w:rPr>
              <w:t>0.022</w:t>
            </w:r>
          </w:p>
        </w:tc>
        <w:tc>
          <w:tcPr>
            <w:tcW w:w="1279" w:type="dxa"/>
            <w:shd w:val="clear" w:color="auto" w:fill="auto"/>
            <w:vAlign w:val="center"/>
          </w:tcPr>
          <w:p>
            <w:pPr>
              <w:jc w:val="center"/>
              <w:rPr>
                <w:sz w:val="18"/>
                <w:szCs w:val="18"/>
              </w:rPr>
            </w:pPr>
            <w:r>
              <w:rPr>
                <w:rFonts w:hint="eastAsia"/>
                <w:sz w:val="18"/>
                <w:szCs w:val="18"/>
              </w:rPr>
              <w:t>13.5</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restart"/>
            <w:shd w:val="clear" w:color="auto" w:fill="auto"/>
            <w:vAlign w:val="center"/>
          </w:tcPr>
          <w:p>
            <w:pPr>
              <w:jc w:val="center"/>
              <w:rPr>
                <w:sz w:val="18"/>
                <w:szCs w:val="18"/>
              </w:rPr>
            </w:pPr>
            <w:r>
              <w:rPr>
                <w:rFonts w:hint="eastAsia"/>
                <w:sz w:val="18"/>
                <w:szCs w:val="18"/>
              </w:rPr>
              <w:t>4</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万福垴村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rFonts w:hint="eastAsia"/>
                <w:sz w:val="18"/>
                <w:szCs w:val="18"/>
              </w:rPr>
              <w:t>0.50</w:t>
            </w:r>
          </w:p>
        </w:tc>
        <w:tc>
          <w:tcPr>
            <w:tcW w:w="1354" w:type="dxa"/>
            <w:shd w:val="clear" w:color="auto" w:fill="auto"/>
            <w:vAlign w:val="center"/>
          </w:tcPr>
          <w:p>
            <w:pPr>
              <w:jc w:val="center"/>
              <w:rPr>
                <w:sz w:val="18"/>
                <w:szCs w:val="18"/>
              </w:rPr>
            </w:pPr>
            <w:r>
              <w:rPr>
                <w:rFonts w:hint="eastAsia"/>
                <w:sz w:val="18"/>
                <w:szCs w:val="18"/>
              </w:rPr>
              <w:t>0.009~0.028</w:t>
            </w:r>
          </w:p>
        </w:tc>
        <w:tc>
          <w:tcPr>
            <w:tcW w:w="1057" w:type="dxa"/>
            <w:shd w:val="clear" w:color="auto" w:fill="auto"/>
            <w:vAlign w:val="center"/>
          </w:tcPr>
          <w:p>
            <w:pPr>
              <w:jc w:val="center"/>
              <w:rPr>
                <w:sz w:val="18"/>
                <w:szCs w:val="18"/>
              </w:rPr>
            </w:pPr>
            <w:r>
              <w:rPr>
                <w:rFonts w:hint="eastAsia"/>
                <w:sz w:val="18"/>
                <w:szCs w:val="18"/>
              </w:rPr>
              <w:t>0.028</w:t>
            </w:r>
          </w:p>
        </w:tc>
        <w:tc>
          <w:tcPr>
            <w:tcW w:w="1051" w:type="dxa"/>
            <w:shd w:val="clear" w:color="auto" w:fill="auto"/>
            <w:vAlign w:val="center"/>
          </w:tcPr>
          <w:p>
            <w:pPr>
              <w:jc w:val="center"/>
              <w:rPr>
                <w:sz w:val="18"/>
                <w:szCs w:val="18"/>
              </w:rPr>
            </w:pPr>
            <w:r>
              <w:rPr>
                <w:rFonts w:hint="eastAsia"/>
                <w:sz w:val="18"/>
                <w:szCs w:val="18"/>
              </w:rPr>
              <w:t>0.019</w:t>
            </w:r>
          </w:p>
        </w:tc>
        <w:tc>
          <w:tcPr>
            <w:tcW w:w="1279" w:type="dxa"/>
            <w:shd w:val="clear" w:color="auto" w:fill="auto"/>
            <w:vAlign w:val="center"/>
          </w:tcPr>
          <w:p>
            <w:pPr>
              <w:jc w:val="center"/>
              <w:rPr>
                <w:sz w:val="18"/>
                <w:szCs w:val="18"/>
              </w:rPr>
            </w:pPr>
            <w:r>
              <w:rPr>
                <w:rFonts w:hint="eastAsia"/>
                <w:sz w:val="18"/>
                <w:szCs w:val="18"/>
              </w:rPr>
              <w:t>5.6</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ind w:left="-115" w:leftChars="-55" w:right="-38" w:rightChars="-18"/>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0.20</w:t>
            </w:r>
          </w:p>
        </w:tc>
        <w:tc>
          <w:tcPr>
            <w:tcW w:w="1354" w:type="dxa"/>
            <w:shd w:val="clear" w:color="auto" w:fill="auto"/>
            <w:vAlign w:val="center"/>
          </w:tcPr>
          <w:p>
            <w:pPr>
              <w:jc w:val="center"/>
              <w:rPr>
                <w:sz w:val="18"/>
                <w:szCs w:val="18"/>
              </w:rPr>
            </w:pPr>
            <w:r>
              <w:rPr>
                <w:rFonts w:hint="eastAsia"/>
                <w:sz w:val="18"/>
                <w:szCs w:val="18"/>
              </w:rPr>
              <w:t>0.017~0.034</w:t>
            </w:r>
          </w:p>
        </w:tc>
        <w:tc>
          <w:tcPr>
            <w:tcW w:w="1057" w:type="dxa"/>
            <w:shd w:val="clear" w:color="auto" w:fill="auto"/>
            <w:vAlign w:val="center"/>
          </w:tcPr>
          <w:p>
            <w:pPr>
              <w:jc w:val="center"/>
              <w:rPr>
                <w:sz w:val="18"/>
                <w:szCs w:val="18"/>
              </w:rPr>
            </w:pPr>
            <w:r>
              <w:rPr>
                <w:rFonts w:hint="eastAsia"/>
                <w:sz w:val="18"/>
                <w:szCs w:val="18"/>
              </w:rPr>
              <w:t>0.034</w:t>
            </w:r>
          </w:p>
        </w:tc>
        <w:tc>
          <w:tcPr>
            <w:tcW w:w="1051" w:type="dxa"/>
            <w:shd w:val="clear" w:color="auto" w:fill="auto"/>
            <w:vAlign w:val="center"/>
          </w:tcPr>
          <w:p>
            <w:pPr>
              <w:jc w:val="center"/>
              <w:rPr>
                <w:sz w:val="18"/>
                <w:szCs w:val="18"/>
              </w:rPr>
            </w:pPr>
            <w:r>
              <w:rPr>
                <w:rFonts w:hint="eastAsia"/>
                <w:sz w:val="18"/>
                <w:szCs w:val="18"/>
              </w:rPr>
              <w:t>0.023</w:t>
            </w:r>
          </w:p>
        </w:tc>
        <w:tc>
          <w:tcPr>
            <w:tcW w:w="1279" w:type="dxa"/>
            <w:shd w:val="clear" w:color="auto" w:fill="auto"/>
            <w:vAlign w:val="center"/>
          </w:tcPr>
          <w:p>
            <w:pPr>
              <w:jc w:val="center"/>
              <w:rPr>
                <w:sz w:val="18"/>
                <w:szCs w:val="18"/>
              </w:rPr>
            </w:pPr>
            <w:r>
              <w:rPr>
                <w:rFonts w:hint="eastAsia"/>
                <w:sz w:val="18"/>
                <w:szCs w:val="18"/>
              </w:rPr>
              <w:t>17</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bl>
    <w:p>
      <w:pPr>
        <w:jc w:val="center"/>
        <w:rPr>
          <w:b/>
          <w:szCs w:val="21"/>
        </w:rPr>
      </w:pPr>
      <w:r>
        <w:rPr>
          <w:b/>
          <w:szCs w:val="21"/>
        </w:rPr>
        <w:t xml:space="preserve">表 </w:t>
      </w:r>
      <w:r>
        <w:rPr>
          <w:rFonts w:hint="eastAsia"/>
          <w:b/>
          <w:szCs w:val="21"/>
        </w:rPr>
        <w:t>3.3-5</w:t>
      </w:r>
      <w:r>
        <w:rPr>
          <w:b/>
          <w:szCs w:val="21"/>
        </w:rPr>
        <w:t xml:space="preserve"> 空气环境质量现状日均浓度统计结果</w:t>
      </w:r>
    </w:p>
    <w:tbl>
      <w:tblPr>
        <w:tblStyle w:val="104"/>
        <w:tblW w:w="90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749"/>
        <w:gridCol w:w="755"/>
        <w:gridCol w:w="1051"/>
        <w:gridCol w:w="1354"/>
        <w:gridCol w:w="1057"/>
        <w:gridCol w:w="1051"/>
        <w:gridCol w:w="1279"/>
        <w:gridCol w:w="644"/>
        <w:gridCol w:w="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8" w:hRule="atLeast"/>
        </w:trPr>
        <w:tc>
          <w:tcPr>
            <w:tcW w:w="420" w:type="dxa"/>
            <w:shd w:val="clear" w:color="auto" w:fill="auto"/>
            <w:vAlign w:val="center"/>
          </w:tcPr>
          <w:p>
            <w:pPr>
              <w:jc w:val="center"/>
              <w:rPr>
                <w:b/>
                <w:sz w:val="18"/>
                <w:szCs w:val="18"/>
              </w:rPr>
            </w:pPr>
            <w:r>
              <w:rPr>
                <w:b/>
                <w:sz w:val="18"/>
                <w:szCs w:val="18"/>
              </w:rPr>
              <w:t>编号</w:t>
            </w:r>
          </w:p>
        </w:tc>
        <w:tc>
          <w:tcPr>
            <w:tcW w:w="749" w:type="dxa"/>
            <w:shd w:val="clear" w:color="auto" w:fill="auto"/>
            <w:vAlign w:val="center"/>
          </w:tcPr>
          <w:p>
            <w:pPr>
              <w:jc w:val="center"/>
              <w:rPr>
                <w:b/>
                <w:sz w:val="18"/>
                <w:szCs w:val="18"/>
              </w:rPr>
            </w:pPr>
            <w:r>
              <w:rPr>
                <w:b/>
                <w:sz w:val="18"/>
                <w:szCs w:val="18"/>
              </w:rPr>
              <w:t>采样</w:t>
            </w:r>
          </w:p>
          <w:p>
            <w:pPr>
              <w:jc w:val="center"/>
              <w:rPr>
                <w:b/>
                <w:sz w:val="18"/>
                <w:szCs w:val="18"/>
              </w:rPr>
            </w:pPr>
            <w:r>
              <w:rPr>
                <w:b/>
                <w:sz w:val="18"/>
                <w:szCs w:val="18"/>
              </w:rPr>
              <w:t>地点</w:t>
            </w:r>
          </w:p>
        </w:tc>
        <w:tc>
          <w:tcPr>
            <w:tcW w:w="755" w:type="dxa"/>
            <w:shd w:val="clear" w:color="auto" w:fill="auto"/>
            <w:vAlign w:val="center"/>
          </w:tcPr>
          <w:p>
            <w:pPr>
              <w:jc w:val="center"/>
              <w:rPr>
                <w:b/>
                <w:sz w:val="18"/>
                <w:szCs w:val="18"/>
              </w:rPr>
            </w:pPr>
            <w:r>
              <w:rPr>
                <w:b/>
                <w:sz w:val="18"/>
                <w:szCs w:val="18"/>
              </w:rPr>
              <w:t>监测项目</w:t>
            </w:r>
          </w:p>
        </w:tc>
        <w:tc>
          <w:tcPr>
            <w:tcW w:w="1051" w:type="dxa"/>
            <w:vAlign w:val="center"/>
          </w:tcPr>
          <w:p>
            <w:pPr>
              <w:jc w:val="center"/>
              <w:rPr>
                <w:b/>
                <w:sz w:val="18"/>
                <w:szCs w:val="18"/>
              </w:rPr>
            </w:pPr>
            <w:r>
              <w:rPr>
                <w:rFonts w:hint="eastAsia"/>
                <w:b/>
                <w:sz w:val="18"/>
                <w:szCs w:val="18"/>
              </w:rPr>
              <w:t>日平均浓度二级标准值</w:t>
            </w:r>
          </w:p>
          <w:p>
            <w:pPr>
              <w:jc w:val="center"/>
              <w:rPr>
                <w:b/>
                <w:sz w:val="18"/>
                <w:szCs w:val="18"/>
              </w:rPr>
            </w:pP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354" w:type="dxa"/>
            <w:shd w:val="clear" w:color="auto" w:fill="auto"/>
            <w:vAlign w:val="center"/>
          </w:tcPr>
          <w:p>
            <w:pPr>
              <w:jc w:val="center"/>
              <w:rPr>
                <w:b/>
                <w:sz w:val="18"/>
                <w:szCs w:val="18"/>
              </w:rPr>
            </w:pPr>
            <w:r>
              <w:rPr>
                <w:rFonts w:hint="eastAsia"/>
                <w:b/>
                <w:sz w:val="18"/>
                <w:szCs w:val="18"/>
              </w:rPr>
              <w:t>日平均</w:t>
            </w:r>
            <w:r>
              <w:rPr>
                <w:b/>
                <w:sz w:val="18"/>
                <w:szCs w:val="18"/>
              </w:rPr>
              <w:t>浓度变化范围</w:t>
            </w:r>
          </w:p>
          <w:p>
            <w:pPr>
              <w:jc w:val="center"/>
              <w:rPr>
                <w:b/>
                <w:sz w:val="18"/>
                <w:szCs w:val="18"/>
              </w:rPr>
            </w:pP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057" w:type="dxa"/>
            <w:shd w:val="clear" w:color="auto" w:fill="auto"/>
            <w:vAlign w:val="center"/>
          </w:tcPr>
          <w:p>
            <w:pPr>
              <w:jc w:val="center"/>
              <w:rPr>
                <w:b/>
                <w:sz w:val="18"/>
                <w:szCs w:val="18"/>
              </w:rPr>
            </w:pPr>
            <w:r>
              <w:rPr>
                <w:rFonts w:hint="eastAsia"/>
                <w:b/>
                <w:sz w:val="18"/>
                <w:szCs w:val="18"/>
              </w:rPr>
              <w:t>日平均</w:t>
            </w:r>
            <w:r>
              <w:rPr>
                <w:b/>
                <w:sz w:val="18"/>
                <w:szCs w:val="18"/>
              </w:rPr>
              <w:t>最大浓度值</w:t>
            </w: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051" w:type="dxa"/>
            <w:shd w:val="clear" w:color="auto" w:fill="auto"/>
            <w:vAlign w:val="center"/>
          </w:tcPr>
          <w:p>
            <w:pPr>
              <w:jc w:val="center"/>
              <w:rPr>
                <w:b/>
                <w:sz w:val="18"/>
                <w:szCs w:val="18"/>
              </w:rPr>
            </w:pPr>
            <w:r>
              <w:rPr>
                <w:b/>
                <w:sz w:val="18"/>
                <w:szCs w:val="18"/>
              </w:rPr>
              <w:t>平均浓度值</w:t>
            </w:r>
            <w:r>
              <w:rPr>
                <w:rFonts w:hint="eastAsia"/>
                <w:b/>
                <w:sz w:val="18"/>
                <w:szCs w:val="18"/>
              </w:rPr>
              <w:t>(</w:t>
            </w:r>
            <w:r>
              <w:rPr>
                <w:b/>
                <w:sz w:val="18"/>
                <w:szCs w:val="18"/>
              </w:rPr>
              <w:t>mg/Nm</w:t>
            </w:r>
            <w:r>
              <w:rPr>
                <w:b/>
                <w:sz w:val="18"/>
                <w:szCs w:val="18"/>
                <w:vertAlign w:val="superscript"/>
              </w:rPr>
              <w:t>3</w:t>
            </w:r>
            <w:r>
              <w:rPr>
                <w:rFonts w:hint="eastAsia"/>
                <w:b/>
                <w:sz w:val="18"/>
                <w:szCs w:val="18"/>
              </w:rPr>
              <w:t>)</w:t>
            </w:r>
          </w:p>
        </w:tc>
        <w:tc>
          <w:tcPr>
            <w:tcW w:w="1279" w:type="dxa"/>
            <w:shd w:val="clear" w:color="auto" w:fill="auto"/>
            <w:vAlign w:val="center"/>
          </w:tcPr>
          <w:p>
            <w:pPr>
              <w:jc w:val="center"/>
              <w:rPr>
                <w:b/>
                <w:sz w:val="18"/>
                <w:szCs w:val="18"/>
              </w:rPr>
            </w:pPr>
            <w:r>
              <w:rPr>
                <w:b/>
                <w:sz w:val="18"/>
                <w:szCs w:val="18"/>
              </w:rPr>
              <w:t>最大浓度值占标准值的百分比%</w:t>
            </w:r>
          </w:p>
        </w:tc>
        <w:tc>
          <w:tcPr>
            <w:tcW w:w="644" w:type="dxa"/>
            <w:shd w:val="clear" w:color="auto" w:fill="auto"/>
            <w:vAlign w:val="center"/>
          </w:tcPr>
          <w:p>
            <w:pPr>
              <w:jc w:val="center"/>
              <w:rPr>
                <w:b/>
                <w:sz w:val="18"/>
                <w:szCs w:val="18"/>
              </w:rPr>
            </w:pPr>
            <w:r>
              <w:rPr>
                <w:b/>
                <w:sz w:val="18"/>
                <w:szCs w:val="18"/>
              </w:rPr>
              <w:t>达标</w:t>
            </w:r>
          </w:p>
          <w:p>
            <w:pPr>
              <w:jc w:val="center"/>
              <w:rPr>
                <w:b/>
                <w:sz w:val="18"/>
                <w:szCs w:val="18"/>
              </w:rPr>
            </w:pPr>
            <w:r>
              <w:rPr>
                <w:b/>
                <w:sz w:val="18"/>
                <w:szCs w:val="18"/>
              </w:rPr>
              <w:t>情况</w:t>
            </w:r>
          </w:p>
        </w:tc>
        <w:tc>
          <w:tcPr>
            <w:tcW w:w="688" w:type="dxa"/>
            <w:shd w:val="clear" w:color="auto" w:fill="auto"/>
            <w:vAlign w:val="center"/>
          </w:tcPr>
          <w:p>
            <w:pPr>
              <w:jc w:val="center"/>
              <w:rPr>
                <w:b/>
                <w:sz w:val="18"/>
                <w:szCs w:val="18"/>
              </w:rPr>
            </w:pPr>
            <w:r>
              <w:rPr>
                <w:b/>
                <w:sz w:val="18"/>
                <w:szCs w:val="18"/>
              </w:rPr>
              <w:t>超标率</w:t>
            </w:r>
          </w:p>
          <w:p>
            <w:pPr>
              <w:jc w:val="center"/>
              <w:rPr>
                <w:b/>
                <w:sz w:val="18"/>
                <w:szCs w:val="18"/>
              </w:rPr>
            </w:pPr>
            <w:r>
              <w:rPr>
                <w:b/>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restart"/>
            <w:shd w:val="clear" w:color="auto" w:fill="auto"/>
            <w:vAlign w:val="center"/>
          </w:tcPr>
          <w:p>
            <w:pPr>
              <w:jc w:val="center"/>
              <w:rPr>
                <w:sz w:val="18"/>
                <w:szCs w:val="18"/>
              </w:rPr>
            </w:pPr>
            <w:r>
              <w:rPr>
                <w:sz w:val="18"/>
                <w:szCs w:val="18"/>
              </w:rPr>
              <w:t>1</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垭子山村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sz w:val="18"/>
                <w:szCs w:val="18"/>
              </w:rPr>
              <w:t>0.15</w:t>
            </w:r>
          </w:p>
        </w:tc>
        <w:tc>
          <w:tcPr>
            <w:tcW w:w="1354" w:type="dxa"/>
            <w:shd w:val="clear" w:color="auto" w:fill="auto"/>
            <w:vAlign w:val="center"/>
          </w:tcPr>
          <w:p>
            <w:pPr>
              <w:jc w:val="center"/>
              <w:rPr>
                <w:sz w:val="18"/>
                <w:szCs w:val="18"/>
              </w:rPr>
            </w:pPr>
            <w:r>
              <w:rPr>
                <w:sz w:val="18"/>
                <w:szCs w:val="18"/>
              </w:rPr>
              <w:t>0.01</w:t>
            </w:r>
            <w:r>
              <w:rPr>
                <w:rFonts w:hint="eastAsia"/>
                <w:sz w:val="18"/>
                <w:szCs w:val="18"/>
              </w:rPr>
              <w:t>6</w:t>
            </w:r>
            <w:r>
              <w:rPr>
                <w:sz w:val="18"/>
                <w:szCs w:val="18"/>
              </w:rPr>
              <w:t>~0.02</w:t>
            </w:r>
            <w:r>
              <w:rPr>
                <w:rFonts w:hint="eastAsia"/>
                <w:sz w:val="18"/>
                <w:szCs w:val="18"/>
              </w:rPr>
              <w:t>8</w:t>
            </w:r>
          </w:p>
        </w:tc>
        <w:tc>
          <w:tcPr>
            <w:tcW w:w="1057" w:type="dxa"/>
            <w:shd w:val="clear" w:color="auto" w:fill="auto"/>
            <w:vAlign w:val="center"/>
          </w:tcPr>
          <w:p>
            <w:pPr>
              <w:jc w:val="center"/>
              <w:rPr>
                <w:sz w:val="18"/>
                <w:szCs w:val="18"/>
              </w:rPr>
            </w:pPr>
            <w:r>
              <w:rPr>
                <w:sz w:val="18"/>
                <w:szCs w:val="18"/>
              </w:rPr>
              <w:t>0.02</w:t>
            </w:r>
            <w:r>
              <w:rPr>
                <w:rFonts w:hint="eastAsia"/>
                <w:sz w:val="18"/>
                <w:szCs w:val="18"/>
              </w:rPr>
              <w:t>8</w:t>
            </w:r>
          </w:p>
        </w:tc>
        <w:tc>
          <w:tcPr>
            <w:tcW w:w="1051" w:type="dxa"/>
            <w:shd w:val="clear" w:color="auto" w:fill="auto"/>
            <w:vAlign w:val="center"/>
          </w:tcPr>
          <w:p>
            <w:pPr>
              <w:jc w:val="center"/>
              <w:rPr>
                <w:sz w:val="18"/>
                <w:szCs w:val="18"/>
              </w:rPr>
            </w:pPr>
            <w:r>
              <w:rPr>
                <w:sz w:val="18"/>
                <w:szCs w:val="18"/>
              </w:rPr>
              <w:t>0.02</w:t>
            </w:r>
            <w:r>
              <w:rPr>
                <w:rFonts w:hint="eastAsia"/>
                <w:sz w:val="18"/>
                <w:szCs w:val="18"/>
              </w:rPr>
              <w:t>1</w:t>
            </w:r>
          </w:p>
        </w:tc>
        <w:tc>
          <w:tcPr>
            <w:tcW w:w="1279" w:type="dxa"/>
            <w:shd w:val="clear" w:color="auto" w:fill="auto"/>
            <w:vAlign w:val="center"/>
          </w:tcPr>
          <w:p>
            <w:pPr>
              <w:jc w:val="center"/>
              <w:rPr>
                <w:sz w:val="18"/>
                <w:szCs w:val="18"/>
              </w:rPr>
            </w:pPr>
            <w:r>
              <w:rPr>
                <w:rFonts w:hint="eastAsia"/>
                <w:sz w:val="18"/>
                <w:szCs w:val="18"/>
              </w:rPr>
              <w:t>18.67</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0.08</w:t>
            </w:r>
          </w:p>
        </w:tc>
        <w:tc>
          <w:tcPr>
            <w:tcW w:w="1354" w:type="dxa"/>
            <w:shd w:val="clear" w:color="auto" w:fill="auto"/>
            <w:vAlign w:val="center"/>
          </w:tcPr>
          <w:p>
            <w:pPr>
              <w:jc w:val="center"/>
              <w:rPr>
                <w:sz w:val="18"/>
                <w:szCs w:val="18"/>
              </w:rPr>
            </w:pPr>
            <w:r>
              <w:rPr>
                <w:sz w:val="18"/>
                <w:szCs w:val="18"/>
              </w:rPr>
              <w:t>0.01</w:t>
            </w:r>
            <w:r>
              <w:rPr>
                <w:rFonts w:hint="eastAsia"/>
                <w:sz w:val="18"/>
                <w:szCs w:val="18"/>
              </w:rPr>
              <w:t>6</w:t>
            </w:r>
            <w:r>
              <w:rPr>
                <w:sz w:val="18"/>
                <w:szCs w:val="18"/>
              </w:rPr>
              <w:t>~0.0</w:t>
            </w:r>
            <w:r>
              <w:rPr>
                <w:rFonts w:hint="eastAsia"/>
                <w:sz w:val="18"/>
                <w:szCs w:val="18"/>
              </w:rPr>
              <w:t>34</w:t>
            </w:r>
          </w:p>
        </w:tc>
        <w:tc>
          <w:tcPr>
            <w:tcW w:w="1057" w:type="dxa"/>
            <w:shd w:val="clear" w:color="auto" w:fill="auto"/>
            <w:vAlign w:val="center"/>
          </w:tcPr>
          <w:p>
            <w:pPr>
              <w:jc w:val="center"/>
              <w:rPr>
                <w:sz w:val="18"/>
                <w:szCs w:val="18"/>
              </w:rPr>
            </w:pPr>
            <w:r>
              <w:rPr>
                <w:sz w:val="18"/>
                <w:szCs w:val="18"/>
              </w:rPr>
              <w:t>0.0</w:t>
            </w:r>
            <w:r>
              <w:rPr>
                <w:rFonts w:hint="eastAsia"/>
                <w:sz w:val="18"/>
                <w:szCs w:val="18"/>
              </w:rPr>
              <w:t>34</w:t>
            </w:r>
          </w:p>
        </w:tc>
        <w:tc>
          <w:tcPr>
            <w:tcW w:w="1051" w:type="dxa"/>
            <w:tcBorders>
              <w:bottom w:val="single" w:color="auto" w:sz="4" w:space="0"/>
            </w:tcBorders>
            <w:shd w:val="clear" w:color="auto" w:fill="auto"/>
            <w:vAlign w:val="center"/>
          </w:tcPr>
          <w:p>
            <w:pPr>
              <w:jc w:val="center"/>
              <w:rPr>
                <w:sz w:val="18"/>
                <w:szCs w:val="18"/>
              </w:rPr>
            </w:pPr>
            <w:r>
              <w:rPr>
                <w:sz w:val="18"/>
                <w:szCs w:val="18"/>
              </w:rPr>
              <w:t>0.0</w:t>
            </w:r>
            <w:r>
              <w:rPr>
                <w:rFonts w:hint="eastAsia"/>
                <w:sz w:val="18"/>
                <w:szCs w:val="18"/>
              </w:rPr>
              <w:t>26</w:t>
            </w:r>
          </w:p>
        </w:tc>
        <w:tc>
          <w:tcPr>
            <w:tcW w:w="1279" w:type="dxa"/>
            <w:tcBorders>
              <w:bottom w:val="single" w:color="auto" w:sz="4" w:space="0"/>
            </w:tcBorders>
            <w:shd w:val="clear" w:color="auto" w:fill="auto"/>
            <w:vAlign w:val="center"/>
          </w:tcPr>
          <w:p>
            <w:pPr>
              <w:jc w:val="center"/>
              <w:rPr>
                <w:sz w:val="18"/>
                <w:szCs w:val="18"/>
              </w:rPr>
            </w:pPr>
            <w:r>
              <w:rPr>
                <w:rFonts w:hint="eastAsia"/>
                <w:sz w:val="18"/>
                <w:szCs w:val="18"/>
              </w:rPr>
              <w:t>42.5</w:t>
            </w:r>
          </w:p>
        </w:tc>
        <w:tc>
          <w:tcPr>
            <w:tcW w:w="644" w:type="dxa"/>
            <w:tcBorders>
              <w:bottom w:val="single" w:color="auto" w:sz="4" w:space="0"/>
            </w:tcBorders>
            <w:shd w:val="clear" w:color="auto" w:fill="auto"/>
            <w:vAlign w:val="center"/>
          </w:tcPr>
          <w:p>
            <w:pPr>
              <w:jc w:val="center"/>
              <w:rPr>
                <w:sz w:val="18"/>
                <w:szCs w:val="18"/>
              </w:rPr>
            </w:pPr>
            <w:r>
              <w:rPr>
                <w:sz w:val="18"/>
                <w:szCs w:val="18"/>
              </w:rPr>
              <w:t>达标</w:t>
            </w:r>
          </w:p>
        </w:tc>
        <w:tc>
          <w:tcPr>
            <w:tcW w:w="688" w:type="dxa"/>
            <w:tcBorders>
              <w:bottom w:val="single" w:color="auto" w:sz="4" w:space="0"/>
            </w:tcBorders>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PM</w:t>
            </w:r>
            <w:r>
              <w:rPr>
                <w:sz w:val="18"/>
                <w:szCs w:val="18"/>
                <w:vertAlign w:val="subscript"/>
              </w:rPr>
              <w:t>10</w:t>
            </w:r>
          </w:p>
        </w:tc>
        <w:tc>
          <w:tcPr>
            <w:tcW w:w="1051" w:type="dxa"/>
            <w:vAlign w:val="center"/>
          </w:tcPr>
          <w:p>
            <w:pPr>
              <w:jc w:val="center"/>
              <w:rPr>
                <w:sz w:val="18"/>
                <w:szCs w:val="18"/>
              </w:rPr>
            </w:pPr>
            <w:r>
              <w:rPr>
                <w:sz w:val="18"/>
                <w:szCs w:val="18"/>
              </w:rPr>
              <w:t>0.</w:t>
            </w:r>
            <w:r>
              <w:rPr>
                <w:rFonts w:hint="eastAsia"/>
                <w:sz w:val="18"/>
                <w:szCs w:val="18"/>
              </w:rPr>
              <w:t>15</w:t>
            </w:r>
          </w:p>
        </w:tc>
        <w:tc>
          <w:tcPr>
            <w:tcW w:w="1354" w:type="dxa"/>
            <w:shd w:val="clear" w:color="auto" w:fill="auto"/>
            <w:vAlign w:val="center"/>
          </w:tcPr>
          <w:p>
            <w:pPr>
              <w:jc w:val="center"/>
              <w:rPr>
                <w:sz w:val="18"/>
                <w:szCs w:val="18"/>
              </w:rPr>
            </w:pPr>
            <w:r>
              <w:rPr>
                <w:sz w:val="18"/>
                <w:szCs w:val="18"/>
              </w:rPr>
              <w:t>0.</w:t>
            </w:r>
            <w:r>
              <w:rPr>
                <w:rFonts w:hint="eastAsia"/>
                <w:sz w:val="18"/>
                <w:szCs w:val="18"/>
              </w:rPr>
              <w:t>041</w:t>
            </w:r>
            <w:r>
              <w:rPr>
                <w:sz w:val="18"/>
                <w:szCs w:val="18"/>
              </w:rPr>
              <w:t>~0.11</w:t>
            </w:r>
            <w:r>
              <w:rPr>
                <w:rFonts w:hint="eastAsia"/>
                <w:sz w:val="18"/>
                <w:szCs w:val="18"/>
              </w:rPr>
              <w:t>3</w:t>
            </w:r>
          </w:p>
        </w:tc>
        <w:tc>
          <w:tcPr>
            <w:tcW w:w="1057" w:type="dxa"/>
            <w:shd w:val="clear" w:color="auto" w:fill="auto"/>
            <w:vAlign w:val="center"/>
          </w:tcPr>
          <w:p>
            <w:pPr>
              <w:jc w:val="center"/>
              <w:rPr>
                <w:sz w:val="18"/>
                <w:szCs w:val="18"/>
              </w:rPr>
            </w:pPr>
            <w:r>
              <w:rPr>
                <w:sz w:val="18"/>
                <w:szCs w:val="18"/>
              </w:rPr>
              <w:t>0.11</w:t>
            </w:r>
            <w:r>
              <w:rPr>
                <w:rFonts w:hint="eastAsia"/>
                <w:sz w:val="18"/>
                <w:szCs w:val="18"/>
              </w:rPr>
              <w:t>3</w:t>
            </w:r>
          </w:p>
        </w:tc>
        <w:tc>
          <w:tcPr>
            <w:tcW w:w="1051" w:type="dxa"/>
            <w:shd w:val="clear" w:color="auto" w:fill="auto"/>
            <w:vAlign w:val="center"/>
          </w:tcPr>
          <w:p>
            <w:pPr>
              <w:jc w:val="center"/>
              <w:rPr>
                <w:sz w:val="18"/>
                <w:szCs w:val="18"/>
              </w:rPr>
            </w:pPr>
            <w:r>
              <w:rPr>
                <w:sz w:val="18"/>
                <w:szCs w:val="18"/>
              </w:rPr>
              <w:t>0.</w:t>
            </w:r>
            <w:r>
              <w:rPr>
                <w:rFonts w:hint="eastAsia"/>
                <w:sz w:val="18"/>
                <w:szCs w:val="18"/>
              </w:rPr>
              <w:t>064</w:t>
            </w:r>
          </w:p>
        </w:tc>
        <w:tc>
          <w:tcPr>
            <w:tcW w:w="1279" w:type="dxa"/>
            <w:tcBorders>
              <w:bottom w:val="single" w:color="auto" w:sz="4" w:space="0"/>
            </w:tcBorders>
            <w:shd w:val="clear" w:color="auto" w:fill="auto"/>
            <w:vAlign w:val="center"/>
          </w:tcPr>
          <w:p>
            <w:pPr>
              <w:jc w:val="center"/>
              <w:rPr>
                <w:sz w:val="18"/>
                <w:szCs w:val="18"/>
              </w:rPr>
            </w:pPr>
            <w:r>
              <w:rPr>
                <w:rFonts w:hint="eastAsia"/>
                <w:sz w:val="18"/>
                <w:szCs w:val="18"/>
              </w:rPr>
              <w:t>75.3</w:t>
            </w:r>
          </w:p>
        </w:tc>
        <w:tc>
          <w:tcPr>
            <w:tcW w:w="644" w:type="dxa"/>
            <w:tcBorders>
              <w:bottom w:val="single" w:color="auto" w:sz="4" w:space="0"/>
            </w:tcBorders>
            <w:shd w:val="clear" w:color="auto" w:fill="auto"/>
            <w:vAlign w:val="center"/>
          </w:tcPr>
          <w:p>
            <w:pPr>
              <w:jc w:val="center"/>
              <w:rPr>
                <w:sz w:val="18"/>
                <w:szCs w:val="18"/>
              </w:rPr>
            </w:pPr>
            <w:r>
              <w:rPr>
                <w:sz w:val="18"/>
                <w:szCs w:val="18"/>
              </w:rPr>
              <w:t>达标</w:t>
            </w:r>
          </w:p>
        </w:tc>
        <w:tc>
          <w:tcPr>
            <w:tcW w:w="688" w:type="dxa"/>
            <w:tcBorders>
              <w:bottom w:val="single" w:color="auto" w:sz="4" w:space="0"/>
            </w:tcBorders>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TSP</w:t>
            </w:r>
          </w:p>
        </w:tc>
        <w:tc>
          <w:tcPr>
            <w:tcW w:w="1051" w:type="dxa"/>
            <w:vAlign w:val="center"/>
          </w:tcPr>
          <w:p>
            <w:pPr>
              <w:jc w:val="center"/>
              <w:rPr>
                <w:sz w:val="18"/>
                <w:szCs w:val="18"/>
              </w:rPr>
            </w:pPr>
            <w:r>
              <w:rPr>
                <w:rFonts w:hint="eastAsia"/>
                <w:sz w:val="18"/>
                <w:szCs w:val="18"/>
              </w:rPr>
              <w:t>0.30</w:t>
            </w:r>
          </w:p>
        </w:tc>
        <w:tc>
          <w:tcPr>
            <w:tcW w:w="1354" w:type="dxa"/>
            <w:shd w:val="clear" w:color="auto" w:fill="auto"/>
            <w:vAlign w:val="center"/>
          </w:tcPr>
          <w:p>
            <w:pPr>
              <w:jc w:val="center"/>
              <w:rPr>
                <w:sz w:val="18"/>
                <w:szCs w:val="18"/>
              </w:rPr>
            </w:pPr>
            <w:r>
              <w:rPr>
                <w:sz w:val="18"/>
                <w:szCs w:val="18"/>
              </w:rPr>
              <w:t>0.</w:t>
            </w:r>
            <w:r>
              <w:rPr>
                <w:rFonts w:hint="eastAsia"/>
                <w:sz w:val="18"/>
                <w:szCs w:val="18"/>
              </w:rPr>
              <w:t>055</w:t>
            </w:r>
            <w:r>
              <w:rPr>
                <w:sz w:val="18"/>
                <w:szCs w:val="18"/>
              </w:rPr>
              <w:t>~0.1</w:t>
            </w:r>
            <w:r>
              <w:rPr>
                <w:rFonts w:hint="eastAsia"/>
                <w:sz w:val="18"/>
                <w:szCs w:val="18"/>
              </w:rPr>
              <w:t>5</w:t>
            </w:r>
          </w:p>
        </w:tc>
        <w:tc>
          <w:tcPr>
            <w:tcW w:w="1057" w:type="dxa"/>
            <w:shd w:val="clear" w:color="auto" w:fill="auto"/>
            <w:vAlign w:val="center"/>
          </w:tcPr>
          <w:p>
            <w:pPr>
              <w:jc w:val="center"/>
              <w:rPr>
                <w:sz w:val="18"/>
                <w:szCs w:val="18"/>
              </w:rPr>
            </w:pPr>
            <w:r>
              <w:rPr>
                <w:sz w:val="18"/>
                <w:szCs w:val="18"/>
              </w:rPr>
              <w:t>0.1</w:t>
            </w:r>
            <w:r>
              <w:rPr>
                <w:rFonts w:hint="eastAsia"/>
                <w:sz w:val="18"/>
                <w:szCs w:val="18"/>
              </w:rPr>
              <w:t>5</w:t>
            </w:r>
          </w:p>
        </w:tc>
        <w:tc>
          <w:tcPr>
            <w:tcW w:w="1051" w:type="dxa"/>
            <w:shd w:val="clear" w:color="auto" w:fill="auto"/>
            <w:vAlign w:val="center"/>
          </w:tcPr>
          <w:p>
            <w:pPr>
              <w:jc w:val="center"/>
              <w:rPr>
                <w:sz w:val="18"/>
                <w:szCs w:val="18"/>
              </w:rPr>
            </w:pPr>
            <w:r>
              <w:rPr>
                <w:sz w:val="18"/>
                <w:szCs w:val="18"/>
              </w:rPr>
              <w:t>0.</w:t>
            </w:r>
            <w:r>
              <w:rPr>
                <w:rFonts w:hint="eastAsia"/>
                <w:sz w:val="18"/>
                <w:szCs w:val="18"/>
              </w:rPr>
              <w:t>085</w:t>
            </w:r>
          </w:p>
        </w:tc>
        <w:tc>
          <w:tcPr>
            <w:tcW w:w="1279" w:type="dxa"/>
            <w:shd w:val="clear" w:color="auto" w:fill="auto"/>
            <w:vAlign w:val="center"/>
          </w:tcPr>
          <w:p>
            <w:pPr>
              <w:jc w:val="center"/>
              <w:rPr>
                <w:sz w:val="18"/>
                <w:szCs w:val="18"/>
              </w:rPr>
            </w:pPr>
            <w:r>
              <w:rPr>
                <w:rFonts w:hint="eastAsia"/>
                <w:sz w:val="18"/>
                <w:szCs w:val="18"/>
              </w:rPr>
              <w:t>50</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restart"/>
            <w:shd w:val="clear" w:color="auto" w:fill="auto"/>
            <w:vAlign w:val="center"/>
          </w:tcPr>
          <w:p>
            <w:pPr>
              <w:jc w:val="center"/>
              <w:rPr>
                <w:sz w:val="18"/>
                <w:szCs w:val="18"/>
              </w:rPr>
            </w:pPr>
            <w:r>
              <w:rPr>
                <w:sz w:val="18"/>
                <w:szCs w:val="18"/>
              </w:rPr>
              <w:t>2</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桂溪湖村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sz w:val="18"/>
                <w:szCs w:val="18"/>
              </w:rPr>
              <w:t>0.15</w:t>
            </w:r>
          </w:p>
        </w:tc>
        <w:tc>
          <w:tcPr>
            <w:tcW w:w="1354" w:type="dxa"/>
            <w:shd w:val="clear" w:color="auto" w:fill="auto"/>
            <w:vAlign w:val="center"/>
          </w:tcPr>
          <w:p>
            <w:pPr>
              <w:jc w:val="center"/>
              <w:rPr>
                <w:sz w:val="18"/>
                <w:szCs w:val="18"/>
              </w:rPr>
            </w:pPr>
            <w:r>
              <w:rPr>
                <w:rFonts w:hint="eastAsia"/>
                <w:sz w:val="18"/>
                <w:szCs w:val="18"/>
              </w:rPr>
              <w:t>0.015~0.024</w:t>
            </w:r>
          </w:p>
        </w:tc>
        <w:tc>
          <w:tcPr>
            <w:tcW w:w="1057" w:type="dxa"/>
            <w:shd w:val="clear" w:color="auto" w:fill="auto"/>
            <w:vAlign w:val="center"/>
          </w:tcPr>
          <w:p>
            <w:pPr>
              <w:jc w:val="center"/>
              <w:rPr>
                <w:sz w:val="18"/>
                <w:szCs w:val="18"/>
              </w:rPr>
            </w:pPr>
            <w:r>
              <w:rPr>
                <w:rFonts w:hint="eastAsia"/>
                <w:sz w:val="18"/>
                <w:szCs w:val="18"/>
              </w:rPr>
              <w:t>0.024</w:t>
            </w:r>
          </w:p>
        </w:tc>
        <w:tc>
          <w:tcPr>
            <w:tcW w:w="1051" w:type="dxa"/>
            <w:shd w:val="clear" w:color="auto" w:fill="auto"/>
            <w:vAlign w:val="center"/>
          </w:tcPr>
          <w:p>
            <w:pPr>
              <w:jc w:val="center"/>
              <w:rPr>
                <w:sz w:val="18"/>
                <w:szCs w:val="18"/>
              </w:rPr>
            </w:pPr>
            <w:r>
              <w:rPr>
                <w:rFonts w:hint="eastAsia"/>
                <w:sz w:val="18"/>
                <w:szCs w:val="18"/>
              </w:rPr>
              <w:t>0.019</w:t>
            </w:r>
          </w:p>
        </w:tc>
        <w:tc>
          <w:tcPr>
            <w:tcW w:w="1279" w:type="dxa"/>
            <w:shd w:val="clear" w:color="auto" w:fill="auto"/>
            <w:vAlign w:val="center"/>
          </w:tcPr>
          <w:p>
            <w:pPr>
              <w:jc w:val="center"/>
              <w:rPr>
                <w:sz w:val="18"/>
                <w:szCs w:val="18"/>
              </w:rPr>
            </w:pPr>
            <w:r>
              <w:rPr>
                <w:rFonts w:hint="eastAsia"/>
                <w:sz w:val="18"/>
                <w:szCs w:val="18"/>
              </w:rPr>
              <w:t>16</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0.08</w:t>
            </w:r>
          </w:p>
        </w:tc>
        <w:tc>
          <w:tcPr>
            <w:tcW w:w="1354" w:type="dxa"/>
            <w:shd w:val="clear" w:color="auto" w:fill="auto"/>
            <w:vAlign w:val="center"/>
          </w:tcPr>
          <w:p>
            <w:pPr>
              <w:jc w:val="center"/>
              <w:rPr>
                <w:sz w:val="18"/>
                <w:szCs w:val="18"/>
              </w:rPr>
            </w:pPr>
            <w:r>
              <w:rPr>
                <w:rFonts w:hint="eastAsia"/>
                <w:sz w:val="18"/>
                <w:szCs w:val="18"/>
              </w:rPr>
              <w:t>0.019~0.027</w:t>
            </w:r>
          </w:p>
        </w:tc>
        <w:tc>
          <w:tcPr>
            <w:tcW w:w="1057" w:type="dxa"/>
            <w:shd w:val="clear" w:color="auto" w:fill="auto"/>
            <w:vAlign w:val="center"/>
          </w:tcPr>
          <w:p>
            <w:pPr>
              <w:jc w:val="center"/>
              <w:rPr>
                <w:sz w:val="18"/>
                <w:szCs w:val="18"/>
              </w:rPr>
            </w:pPr>
            <w:r>
              <w:rPr>
                <w:rFonts w:hint="eastAsia"/>
                <w:sz w:val="18"/>
                <w:szCs w:val="18"/>
              </w:rPr>
              <w:t>0.027</w:t>
            </w:r>
          </w:p>
        </w:tc>
        <w:tc>
          <w:tcPr>
            <w:tcW w:w="1051" w:type="dxa"/>
            <w:shd w:val="clear" w:color="auto" w:fill="auto"/>
            <w:vAlign w:val="center"/>
          </w:tcPr>
          <w:p>
            <w:pPr>
              <w:jc w:val="center"/>
              <w:rPr>
                <w:sz w:val="18"/>
                <w:szCs w:val="18"/>
              </w:rPr>
            </w:pPr>
            <w:r>
              <w:rPr>
                <w:rFonts w:hint="eastAsia"/>
                <w:sz w:val="18"/>
                <w:szCs w:val="18"/>
              </w:rPr>
              <w:t>0.024</w:t>
            </w:r>
          </w:p>
        </w:tc>
        <w:tc>
          <w:tcPr>
            <w:tcW w:w="1279" w:type="dxa"/>
            <w:tcBorders>
              <w:bottom w:val="single" w:color="auto" w:sz="4" w:space="0"/>
            </w:tcBorders>
            <w:shd w:val="clear" w:color="auto" w:fill="auto"/>
            <w:vAlign w:val="center"/>
          </w:tcPr>
          <w:p>
            <w:pPr>
              <w:jc w:val="center"/>
              <w:rPr>
                <w:sz w:val="18"/>
                <w:szCs w:val="18"/>
              </w:rPr>
            </w:pPr>
            <w:r>
              <w:rPr>
                <w:rFonts w:hint="eastAsia"/>
                <w:sz w:val="18"/>
                <w:szCs w:val="18"/>
              </w:rPr>
              <w:t>33.75</w:t>
            </w:r>
          </w:p>
        </w:tc>
        <w:tc>
          <w:tcPr>
            <w:tcW w:w="644" w:type="dxa"/>
            <w:tcBorders>
              <w:bottom w:val="single" w:color="auto" w:sz="4" w:space="0"/>
            </w:tcBorders>
            <w:shd w:val="clear" w:color="auto" w:fill="auto"/>
            <w:vAlign w:val="center"/>
          </w:tcPr>
          <w:p>
            <w:pPr>
              <w:jc w:val="center"/>
              <w:rPr>
                <w:sz w:val="18"/>
                <w:szCs w:val="18"/>
              </w:rPr>
            </w:pPr>
            <w:r>
              <w:rPr>
                <w:sz w:val="18"/>
                <w:szCs w:val="18"/>
              </w:rPr>
              <w:t>达标</w:t>
            </w:r>
          </w:p>
        </w:tc>
        <w:tc>
          <w:tcPr>
            <w:tcW w:w="688" w:type="dxa"/>
            <w:tcBorders>
              <w:bottom w:val="single" w:color="auto" w:sz="4" w:space="0"/>
            </w:tcBorders>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PM</w:t>
            </w:r>
            <w:r>
              <w:rPr>
                <w:sz w:val="18"/>
                <w:szCs w:val="18"/>
                <w:vertAlign w:val="subscript"/>
              </w:rPr>
              <w:t>10</w:t>
            </w:r>
          </w:p>
        </w:tc>
        <w:tc>
          <w:tcPr>
            <w:tcW w:w="1051" w:type="dxa"/>
            <w:vAlign w:val="center"/>
          </w:tcPr>
          <w:p>
            <w:pPr>
              <w:jc w:val="center"/>
              <w:rPr>
                <w:sz w:val="18"/>
                <w:szCs w:val="18"/>
              </w:rPr>
            </w:pPr>
            <w:r>
              <w:rPr>
                <w:sz w:val="18"/>
                <w:szCs w:val="18"/>
              </w:rPr>
              <w:t>0.</w:t>
            </w:r>
            <w:r>
              <w:rPr>
                <w:rFonts w:hint="eastAsia"/>
                <w:sz w:val="18"/>
                <w:szCs w:val="18"/>
              </w:rPr>
              <w:t>15</w:t>
            </w:r>
          </w:p>
        </w:tc>
        <w:tc>
          <w:tcPr>
            <w:tcW w:w="1354" w:type="dxa"/>
            <w:shd w:val="clear" w:color="auto" w:fill="auto"/>
            <w:vAlign w:val="center"/>
          </w:tcPr>
          <w:p>
            <w:pPr>
              <w:jc w:val="center"/>
              <w:rPr>
                <w:sz w:val="18"/>
                <w:szCs w:val="18"/>
              </w:rPr>
            </w:pPr>
            <w:r>
              <w:rPr>
                <w:rFonts w:hint="eastAsia"/>
                <w:sz w:val="18"/>
                <w:szCs w:val="18"/>
              </w:rPr>
              <w:t>0.032~0.102</w:t>
            </w:r>
          </w:p>
        </w:tc>
        <w:tc>
          <w:tcPr>
            <w:tcW w:w="1057" w:type="dxa"/>
            <w:shd w:val="clear" w:color="auto" w:fill="auto"/>
            <w:vAlign w:val="center"/>
          </w:tcPr>
          <w:p>
            <w:pPr>
              <w:jc w:val="center"/>
              <w:rPr>
                <w:sz w:val="18"/>
                <w:szCs w:val="18"/>
              </w:rPr>
            </w:pPr>
            <w:r>
              <w:rPr>
                <w:rFonts w:hint="eastAsia"/>
                <w:sz w:val="18"/>
                <w:szCs w:val="18"/>
              </w:rPr>
              <w:t>0.102</w:t>
            </w:r>
          </w:p>
        </w:tc>
        <w:tc>
          <w:tcPr>
            <w:tcW w:w="1051" w:type="dxa"/>
            <w:shd w:val="clear" w:color="auto" w:fill="auto"/>
            <w:vAlign w:val="center"/>
          </w:tcPr>
          <w:p>
            <w:pPr>
              <w:jc w:val="center"/>
              <w:rPr>
                <w:sz w:val="18"/>
                <w:szCs w:val="18"/>
              </w:rPr>
            </w:pPr>
            <w:r>
              <w:rPr>
                <w:rFonts w:hint="eastAsia"/>
                <w:sz w:val="18"/>
                <w:szCs w:val="18"/>
              </w:rPr>
              <w:t>0.064</w:t>
            </w:r>
          </w:p>
        </w:tc>
        <w:tc>
          <w:tcPr>
            <w:tcW w:w="1279" w:type="dxa"/>
            <w:shd w:val="clear" w:color="auto" w:fill="auto"/>
            <w:vAlign w:val="center"/>
          </w:tcPr>
          <w:p>
            <w:pPr>
              <w:jc w:val="center"/>
              <w:rPr>
                <w:sz w:val="18"/>
                <w:szCs w:val="18"/>
              </w:rPr>
            </w:pPr>
            <w:r>
              <w:rPr>
                <w:rFonts w:hint="eastAsia"/>
                <w:sz w:val="18"/>
                <w:szCs w:val="18"/>
              </w:rPr>
              <w:t>68</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TSP</w:t>
            </w:r>
          </w:p>
        </w:tc>
        <w:tc>
          <w:tcPr>
            <w:tcW w:w="1051" w:type="dxa"/>
            <w:vAlign w:val="center"/>
          </w:tcPr>
          <w:p>
            <w:pPr>
              <w:jc w:val="center"/>
              <w:rPr>
                <w:sz w:val="18"/>
                <w:szCs w:val="18"/>
              </w:rPr>
            </w:pPr>
            <w:r>
              <w:rPr>
                <w:rFonts w:hint="eastAsia"/>
                <w:sz w:val="18"/>
                <w:szCs w:val="18"/>
              </w:rPr>
              <w:t>0.30</w:t>
            </w:r>
          </w:p>
        </w:tc>
        <w:tc>
          <w:tcPr>
            <w:tcW w:w="1354" w:type="dxa"/>
            <w:shd w:val="clear" w:color="auto" w:fill="auto"/>
            <w:vAlign w:val="center"/>
          </w:tcPr>
          <w:p>
            <w:pPr>
              <w:jc w:val="center"/>
              <w:rPr>
                <w:sz w:val="18"/>
                <w:szCs w:val="18"/>
              </w:rPr>
            </w:pPr>
            <w:r>
              <w:rPr>
                <w:rFonts w:hint="eastAsia"/>
                <w:sz w:val="18"/>
                <w:szCs w:val="18"/>
              </w:rPr>
              <w:t>0.043~0.133</w:t>
            </w:r>
          </w:p>
        </w:tc>
        <w:tc>
          <w:tcPr>
            <w:tcW w:w="1057" w:type="dxa"/>
            <w:shd w:val="clear" w:color="auto" w:fill="auto"/>
            <w:vAlign w:val="center"/>
          </w:tcPr>
          <w:p>
            <w:pPr>
              <w:jc w:val="center"/>
              <w:rPr>
                <w:sz w:val="18"/>
                <w:szCs w:val="18"/>
              </w:rPr>
            </w:pPr>
            <w:r>
              <w:rPr>
                <w:rFonts w:hint="eastAsia"/>
                <w:sz w:val="18"/>
                <w:szCs w:val="18"/>
              </w:rPr>
              <w:t>0.133</w:t>
            </w:r>
          </w:p>
        </w:tc>
        <w:tc>
          <w:tcPr>
            <w:tcW w:w="1051" w:type="dxa"/>
            <w:shd w:val="clear" w:color="auto" w:fill="auto"/>
            <w:vAlign w:val="center"/>
          </w:tcPr>
          <w:p>
            <w:pPr>
              <w:jc w:val="center"/>
              <w:rPr>
                <w:sz w:val="18"/>
                <w:szCs w:val="18"/>
              </w:rPr>
            </w:pPr>
            <w:r>
              <w:rPr>
                <w:rFonts w:hint="eastAsia"/>
                <w:sz w:val="18"/>
                <w:szCs w:val="18"/>
              </w:rPr>
              <w:t>0.087</w:t>
            </w:r>
          </w:p>
        </w:tc>
        <w:tc>
          <w:tcPr>
            <w:tcW w:w="1279" w:type="dxa"/>
            <w:shd w:val="clear" w:color="auto" w:fill="auto"/>
            <w:vAlign w:val="center"/>
          </w:tcPr>
          <w:p>
            <w:pPr>
              <w:jc w:val="center"/>
              <w:rPr>
                <w:sz w:val="18"/>
                <w:szCs w:val="18"/>
              </w:rPr>
            </w:pPr>
            <w:r>
              <w:rPr>
                <w:rFonts w:hint="eastAsia"/>
                <w:sz w:val="18"/>
                <w:szCs w:val="18"/>
              </w:rPr>
              <w:t>44.3</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restart"/>
            <w:shd w:val="clear" w:color="auto" w:fill="auto"/>
            <w:vAlign w:val="center"/>
          </w:tcPr>
          <w:p>
            <w:pPr>
              <w:jc w:val="center"/>
              <w:rPr>
                <w:sz w:val="18"/>
                <w:szCs w:val="18"/>
              </w:rPr>
            </w:pPr>
            <w:r>
              <w:rPr>
                <w:sz w:val="18"/>
                <w:szCs w:val="18"/>
              </w:rPr>
              <w:t>3</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白洋镇</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sz w:val="18"/>
                <w:szCs w:val="18"/>
              </w:rPr>
              <w:t>0.15</w:t>
            </w:r>
          </w:p>
        </w:tc>
        <w:tc>
          <w:tcPr>
            <w:tcW w:w="1354" w:type="dxa"/>
            <w:shd w:val="clear" w:color="auto" w:fill="auto"/>
            <w:vAlign w:val="center"/>
          </w:tcPr>
          <w:p>
            <w:pPr>
              <w:jc w:val="center"/>
              <w:rPr>
                <w:sz w:val="18"/>
                <w:szCs w:val="18"/>
              </w:rPr>
            </w:pPr>
            <w:r>
              <w:rPr>
                <w:rFonts w:hint="eastAsia"/>
                <w:sz w:val="18"/>
                <w:szCs w:val="18"/>
              </w:rPr>
              <w:t>0.014~0.048</w:t>
            </w:r>
          </w:p>
        </w:tc>
        <w:tc>
          <w:tcPr>
            <w:tcW w:w="1057" w:type="dxa"/>
            <w:shd w:val="clear" w:color="auto" w:fill="auto"/>
            <w:vAlign w:val="center"/>
          </w:tcPr>
          <w:p>
            <w:pPr>
              <w:jc w:val="center"/>
              <w:rPr>
                <w:sz w:val="18"/>
                <w:szCs w:val="18"/>
              </w:rPr>
            </w:pPr>
            <w:r>
              <w:rPr>
                <w:rFonts w:hint="eastAsia"/>
                <w:sz w:val="18"/>
                <w:szCs w:val="18"/>
              </w:rPr>
              <w:t>0.048</w:t>
            </w:r>
          </w:p>
        </w:tc>
        <w:tc>
          <w:tcPr>
            <w:tcW w:w="1051" w:type="dxa"/>
            <w:shd w:val="clear" w:color="auto" w:fill="auto"/>
            <w:vAlign w:val="center"/>
          </w:tcPr>
          <w:p>
            <w:pPr>
              <w:jc w:val="center"/>
              <w:rPr>
                <w:sz w:val="18"/>
                <w:szCs w:val="18"/>
              </w:rPr>
            </w:pPr>
            <w:r>
              <w:rPr>
                <w:rFonts w:hint="eastAsia"/>
                <w:sz w:val="18"/>
                <w:szCs w:val="18"/>
              </w:rPr>
              <w:t>0.025</w:t>
            </w:r>
          </w:p>
        </w:tc>
        <w:tc>
          <w:tcPr>
            <w:tcW w:w="1279" w:type="dxa"/>
            <w:shd w:val="clear" w:color="auto" w:fill="auto"/>
            <w:vAlign w:val="center"/>
          </w:tcPr>
          <w:p>
            <w:pPr>
              <w:jc w:val="center"/>
              <w:rPr>
                <w:sz w:val="18"/>
                <w:szCs w:val="18"/>
              </w:rPr>
            </w:pPr>
            <w:r>
              <w:rPr>
                <w:rFonts w:hint="eastAsia"/>
                <w:sz w:val="18"/>
                <w:szCs w:val="18"/>
              </w:rPr>
              <w:t>32</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0.08</w:t>
            </w:r>
          </w:p>
        </w:tc>
        <w:tc>
          <w:tcPr>
            <w:tcW w:w="1354" w:type="dxa"/>
            <w:shd w:val="clear" w:color="auto" w:fill="auto"/>
            <w:vAlign w:val="center"/>
          </w:tcPr>
          <w:p>
            <w:pPr>
              <w:jc w:val="center"/>
              <w:rPr>
                <w:sz w:val="18"/>
                <w:szCs w:val="18"/>
              </w:rPr>
            </w:pPr>
            <w:r>
              <w:rPr>
                <w:rFonts w:hint="eastAsia"/>
                <w:sz w:val="18"/>
                <w:szCs w:val="18"/>
              </w:rPr>
              <w:t>0.019~0.023</w:t>
            </w:r>
          </w:p>
        </w:tc>
        <w:tc>
          <w:tcPr>
            <w:tcW w:w="1057" w:type="dxa"/>
            <w:shd w:val="clear" w:color="auto" w:fill="auto"/>
            <w:vAlign w:val="center"/>
          </w:tcPr>
          <w:p>
            <w:pPr>
              <w:jc w:val="center"/>
              <w:rPr>
                <w:sz w:val="18"/>
                <w:szCs w:val="18"/>
              </w:rPr>
            </w:pPr>
            <w:r>
              <w:rPr>
                <w:rFonts w:hint="eastAsia"/>
                <w:sz w:val="18"/>
                <w:szCs w:val="18"/>
              </w:rPr>
              <w:t>0.023</w:t>
            </w:r>
          </w:p>
        </w:tc>
        <w:tc>
          <w:tcPr>
            <w:tcW w:w="1051" w:type="dxa"/>
            <w:shd w:val="clear" w:color="auto" w:fill="auto"/>
            <w:vAlign w:val="center"/>
          </w:tcPr>
          <w:p>
            <w:pPr>
              <w:jc w:val="center"/>
              <w:rPr>
                <w:sz w:val="18"/>
                <w:szCs w:val="18"/>
              </w:rPr>
            </w:pPr>
            <w:r>
              <w:rPr>
                <w:rFonts w:hint="eastAsia"/>
                <w:sz w:val="18"/>
                <w:szCs w:val="18"/>
              </w:rPr>
              <w:t>0.021</w:t>
            </w:r>
          </w:p>
        </w:tc>
        <w:tc>
          <w:tcPr>
            <w:tcW w:w="1279" w:type="dxa"/>
            <w:tcBorders>
              <w:bottom w:val="single" w:color="auto" w:sz="4" w:space="0"/>
            </w:tcBorders>
            <w:shd w:val="clear" w:color="auto" w:fill="auto"/>
            <w:vAlign w:val="center"/>
          </w:tcPr>
          <w:p>
            <w:pPr>
              <w:jc w:val="center"/>
              <w:rPr>
                <w:sz w:val="18"/>
                <w:szCs w:val="18"/>
              </w:rPr>
            </w:pPr>
            <w:r>
              <w:rPr>
                <w:rFonts w:hint="eastAsia"/>
                <w:sz w:val="18"/>
                <w:szCs w:val="18"/>
              </w:rPr>
              <w:t>28.75</w:t>
            </w:r>
          </w:p>
        </w:tc>
        <w:tc>
          <w:tcPr>
            <w:tcW w:w="644" w:type="dxa"/>
            <w:tcBorders>
              <w:bottom w:val="single" w:color="auto" w:sz="4" w:space="0"/>
            </w:tcBorders>
            <w:shd w:val="clear" w:color="auto" w:fill="auto"/>
            <w:vAlign w:val="center"/>
          </w:tcPr>
          <w:p>
            <w:pPr>
              <w:jc w:val="center"/>
              <w:rPr>
                <w:sz w:val="18"/>
                <w:szCs w:val="18"/>
              </w:rPr>
            </w:pPr>
            <w:r>
              <w:rPr>
                <w:sz w:val="18"/>
                <w:szCs w:val="18"/>
              </w:rPr>
              <w:t>达标</w:t>
            </w:r>
          </w:p>
        </w:tc>
        <w:tc>
          <w:tcPr>
            <w:tcW w:w="688" w:type="dxa"/>
            <w:tcBorders>
              <w:bottom w:val="single" w:color="auto" w:sz="4" w:space="0"/>
            </w:tcBorders>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PM</w:t>
            </w:r>
            <w:r>
              <w:rPr>
                <w:sz w:val="18"/>
                <w:szCs w:val="18"/>
                <w:vertAlign w:val="subscript"/>
              </w:rPr>
              <w:t>10</w:t>
            </w:r>
          </w:p>
        </w:tc>
        <w:tc>
          <w:tcPr>
            <w:tcW w:w="1051" w:type="dxa"/>
            <w:vAlign w:val="center"/>
          </w:tcPr>
          <w:p>
            <w:pPr>
              <w:jc w:val="center"/>
              <w:rPr>
                <w:sz w:val="18"/>
                <w:szCs w:val="18"/>
              </w:rPr>
            </w:pPr>
            <w:r>
              <w:rPr>
                <w:sz w:val="18"/>
                <w:szCs w:val="18"/>
              </w:rPr>
              <w:t>0.</w:t>
            </w:r>
            <w:r>
              <w:rPr>
                <w:rFonts w:hint="eastAsia"/>
                <w:sz w:val="18"/>
                <w:szCs w:val="18"/>
              </w:rPr>
              <w:t>15</w:t>
            </w:r>
          </w:p>
        </w:tc>
        <w:tc>
          <w:tcPr>
            <w:tcW w:w="1354" w:type="dxa"/>
            <w:shd w:val="clear" w:color="auto" w:fill="auto"/>
            <w:vAlign w:val="center"/>
          </w:tcPr>
          <w:p>
            <w:pPr>
              <w:jc w:val="center"/>
              <w:rPr>
                <w:sz w:val="18"/>
                <w:szCs w:val="18"/>
              </w:rPr>
            </w:pPr>
            <w:r>
              <w:rPr>
                <w:rFonts w:hint="eastAsia"/>
                <w:sz w:val="18"/>
                <w:szCs w:val="18"/>
              </w:rPr>
              <w:t>0.038~0.104</w:t>
            </w:r>
          </w:p>
        </w:tc>
        <w:tc>
          <w:tcPr>
            <w:tcW w:w="1057" w:type="dxa"/>
            <w:shd w:val="clear" w:color="auto" w:fill="auto"/>
            <w:vAlign w:val="center"/>
          </w:tcPr>
          <w:p>
            <w:pPr>
              <w:jc w:val="center"/>
              <w:rPr>
                <w:sz w:val="18"/>
                <w:szCs w:val="18"/>
              </w:rPr>
            </w:pPr>
            <w:r>
              <w:rPr>
                <w:rFonts w:hint="eastAsia"/>
                <w:sz w:val="18"/>
                <w:szCs w:val="18"/>
              </w:rPr>
              <w:t>0.104</w:t>
            </w:r>
          </w:p>
        </w:tc>
        <w:tc>
          <w:tcPr>
            <w:tcW w:w="1051" w:type="dxa"/>
            <w:shd w:val="clear" w:color="auto" w:fill="auto"/>
            <w:vAlign w:val="center"/>
          </w:tcPr>
          <w:p>
            <w:pPr>
              <w:jc w:val="center"/>
              <w:rPr>
                <w:sz w:val="18"/>
                <w:szCs w:val="18"/>
              </w:rPr>
            </w:pPr>
            <w:r>
              <w:rPr>
                <w:rFonts w:hint="eastAsia"/>
                <w:sz w:val="18"/>
                <w:szCs w:val="18"/>
              </w:rPr>
              <w:t>0.064</w:t>
            </w:r>
          </w:p>
        </w:tc>
        <w:tc>
          <w:tcPr>
            <w:tcW w:w="1279" w:type="dxa"/>
            <w:shd w:val="clear" w:color="auto" w:fill="auto"/>
            <w:vAlign w:val="center"/>
          </w:tcPr>
          <w:p>
            <w:pPr>
              <w:jc w:val="center"/>
              <w:rPr>
                <w:sz w:val="18"/>
                <w:szCs w:val="18"/>
              </w:rPr>
            </w:pPr>
            <w:r>
              <w:rPr>
                <w:rFonts w:hint="eastAsia"/>
                <w:sz w:val="18"/>
                <w:szCs w:val="18"/>
              </w:rPr>
              <w:t>69.3</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TSP</w:t>
            </w:r>
          </w:p>
        </w:tc>
        <w:tc>
          <w:tcPr>
            <w:tcW w:w="1051" w:type="dxa"/>
            <w:vAlign w:val="center"/>
          </w:tcPr>
          <w:p>
            <w:pPr>
              <w:jc w:val="center"/>
              <w:rPr>
                <w:sz w:val="18"/>
                <w:szCs w:val="18"/>
              </w:rPr>
            </w:pPr>
            <w:r>
              <w:rPr>
                <w:rFonts w:hint="eastAsia"/>
                <w:sz w:val="18"/>
                <w:szCs w:val="18"/>
              </w:rPr>
              <w:t>0.30</w:t>
            </w:r>
          </w:p>
        </w:tc>
        <w:tc>
          <w:tcPr>
            <w:tcW w:w="1354" w:type="dxa"/>
            <w:shd w:val="clear" w:color="auto" w:fill="auto"/>
            <w:vAlign w:val="center"/>
          </w:tcPr>
          <w:p>
            <w:pPr>
              <w:jc w:val="center"/>
              <w:rPr>
                <w:sz w:val="18"/>
                <w:szCs w:val="18"/>
              </w:rPr>
            </w:pPr>
            <w:r>
              <w:rPr>
                <w:rFonts w:hint="eastAsia"/>
                <w:sz w:val="18"/>
                <w:szCs w:val="18"/>
              </w:rPr>
              <w:t>0.051~0.136</w:t>
            </w:r>
          </w:p>
        </w:tc>
        <w:tc>
          <w:tcPr>
            <w:tcW w:w="1057" w:type="dxa"/>
            <w:shd w:val="clear" w:color="auto" w:fill="auto"/>
            <w:vAlign w:val="center"/>
          </w:tcPr>
          <w:p>
            <w:pPr>
              <w:jc w:val="center"/>
              <w:rPr>
                <w:sz w:val="18"/>
                <w:szCs w:val="18"/>
              </w:rPr>
            </w:pPr>
            <w:r>
              <w:rPr>
                <w:rFonts w:hint="eastAsia"/>
                <w:sz w:val="18"/>
                <w:szCs w:val="18"/>
              </w:rPr>
              <w:t>0.136</w:t>
            </w:r>
          </w:p>
        </w:tc>
        <w:tc>
          <w:tcPr>
            <w:tcW w:w="1051" w:type="dxa"/>
            <w:shd w:val="clear" w:color="auto" w:fill="auto"/>
            <w:vAlign w:val="center"/>
          </w:tcPr>
          <w:p>
            <w:pPr>
              <w:jc w:val="center"/>
              <w:rPr>
                <w:sz w:val="18"/>
                <w:szCs w:val="18"/>
              </w:rPr>
            </w:pPr>
            <w:r>
              <w:rPr>
                <w:rFonts w:hint="eastAsia"/>
                <w:sz w:val="18"/>
                <w:szCs w:val="18"/>
              </w:rPr>
              <w:t>0.089</w:t>
            </w:r>
          </w:p>
        </w:tc>
        <w:tc>
          <w:tcPr>
            <w:tcW w:w="1279" w:type="dxa"/>
            <w:shd w:val="clear" w:color="auto" w:fill="auto"/>
            <w:vAlign w:val="center"/>
          </w:tcPr>
          <w:p>
            <w:pPr>
              <w:jc w:val="center"/>
              <w:rPr>
                <w:sz w:val="18"/>
                <w:szCs w:val="18"/>
              </w:rPr>
            </w:pPr>
            <w:r>
              <w:rPr>
                <w:rFonts w:hint="eastAsia"/>
                <w:sz w:val="18"/>
                <w:szCs w:val="18"/>
              </w:rPr>
              <w:t>48.3</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restart"/>
            <w:shd w:val="clear" w:color="auto" w:fill="auto"/>
            <w:vAlign w:val="center"/>
          </w:tcPr>
          <w:p>
            <w:pPr>
              <w:jc w:val="center"/>
              <w:rPr>
                <w:sz w:val="18"/>
                <w:szCs w:val="18"/>
              </w:rPr>
            </w:pPr>
            <w:r>
              <w:rPr>
                <w:rFonts w:hint="eastAsia"/>
                <w:sz w:val="18"/>
                <w:szCs w:val="18"/>
              </w:rPr>
              <w:t>4</w:t>
            </w:r>
            <w:r>
              <w:rPr>
                <w:sz w:val="18"/>
                <w:szCs w:val="18"/>
                <w:vertAlign w:val="superscript"/>
              </w:rPr>
              <w:t>#</w:t>
            </w:r>
          </w:p>
        </w:tc>
        <w:tc>
          <w:tcPr>
            <w:tcW w:w="749" w:type="dxa"/>
            <w:vMerge w:val="restart"/>
            <w:shd w:val="clear" w:color="auto" w:fill="auto"/>
            <w:vAlign w:val="center"/>
          </w:tcPr>
          <w:p>
            <w:pPr>
              <w:ind w:left="-115" w:leftChars="-55" w:right="-38" w:rightChars="-18"/>
              <w:jc w:val="center"/>
              <w:rPr>
                <w:sz w:val="18"/>
                <w:szCs w:val="18"/>
              </w:rPr>
            </w:pPr>
            <w:r>
              <w:rPr>
                <w:rFonts w:hint="eastAsia"/>
                <w:sz w:val="18"/>
                <w:szCs w:val="18"/>
              </w:rPr>
              <w:t>万福垴村</w:t>
            </w:r>
          </w:p>
        </w:tc>
        <w:tc>
          <w:tcPr>
            <w:tcW w:w="755" w:type="dxa"/>
            <w:shd w:val="clear" w:color="auto" w:fill="auto"/>
            <w:vAlign w:val="center"/>
          </w:tcPr>
          <w:p>
            <w:pPr>
              <w:jc w:val="center"/>
              <w:rPr>
                <w:sz w:val="18"/>
                <w:szCs w:val="18"/>
              </w:rPr>
            </w:pPr>
            <w:r>
              <w:rPr>
                <w:sz w:val="18"/>
                <w:szCs w:val="18"/>
              </w:rPr>
              <w:t>SO</w:t>
            </w:r>
            <w:r>
              <w:rPr>
                <w:sz w:val="18"/>
                <w:szCs w:val="18"/>
                <w:vertAlign w:val="subscript"/>
              </w:rPr>
              <w:t>2</w:t>
            </w:r>
          </w:p>
        </w:tc>
        <w:tc>
          <w:tcPr>
            <w:tcW w:w="1051" w:type="dxa"/>
            <w:vAlign w:val="center"/>
          </w:tcPr>
          <w:p>
            <w:pPr>
              <w:jc w:val="center"/>
              <w:rPr>
                <w:sz w:val="18"/>
                <w:szCs w:val="18"/>
              </w:rPr>
            </w:pPr>
            <w:r>
              <w:rPr>
                <w:sz w:val="18"/>
                <w:szCs w:val="18"/>
              </w:rPr>
              <w:t>0.15</w:t>
            </w:r>
          </w:p>
        </w:tc>
        <w:tc>
          <w:tcPr>
            <w:tcW w:w="1354" w:type="dxa"/>
            <w:shd w:val="clear" w:color="auto" w:fill="auto"/>
            <w:vAlign w:val="center"/>
          </w:tcPr>
          <w:p>
            <w:pPr>
              <w:jc w:val="center"/>
              <w:rPr>
                <w:sz w:val="18"/>
                <w:szCs w:val="18"/>
              </w:rPr>
            </w:pPr>
            <w:r>
              <w:rPr>
                <w:rFonts w:hint="eastAsia"/>
                <w:sz w:val="18"/>
                <w:szCs w:val="18"/>
              </w:rPr>
              <w:t>0.014~0.022</w:t>
            </w:r>
          </w:p>
        </w:tc>
        <w:tc>
          <w:tcPr>
            <w:tcW w:w="1057" w:type="dxa"/>
            <w:shd w:val="clear" w:color="auto" w:fill="auto"/>
            <w:vAlign w:val="center"/>
          </w:tcPr>
          <w:p>
            <w:pPr>
              <w:jc w:val="center"/>
              <w:rPr>
                <w:sz w:val="18"/>
                <w:szCs w:val="18"/>
              </w:rPr>
            </w:pPr>
            <w:r>
              <w:rPr>
                <w:rFonts w:hint="eastAsia"/>
                <w:sz w:val="18"/>
                <w:szCs w:val="18"/>
              </w:rPr>
              <w:t>0.022</w:t>
            </w:r>
          </w:p>
        </w:tc>
        <w:tc>
          <w:tcPr>
            <w:tcW w:w="1051" w:type="dxa"/>
            <w:shd w:val="clear" w:color="auto" w:fill="auto"/>
            <w:vAlign w:val="center"/>
          </w:tcPr>
          <w:p>
            <w:pPr>
              <w:jc w:val="center"/>
              <w:rPr>
                <w:sz w:val="18"/>
                <w:szCs w:val="18"/>
              </w:rPr>
            </w:pPr>
            <w:r>
              <w:rPr>
                <w:rFonts w:hint="eastAsia"/>
                <w:sz w:val="18"/>
                <w:szCs w:val="18"/>
              </w:rPr>
              <w:t>0.019</w:t>
            </w:r>
          </w:p>
        </w:tc>
        <w:tc>
          <w:tcPr>
            <w:tcW w:w="1279" w:type="dxa"/>
            <w:shd w:val="clear" w:color="auto" w:fill="auto"/>
            <w:vAlign w:val="center"/>
          </w:tcPr>
          <w:p>
            <w:pPr>
              <w:jc w:val="center"/>
              <w:rPr>
                <w:sz w:val="18"/>
                <w:szCs w:val="18"/>
              </w:rPr>
            </w:pPr>
            <w:r>
              <w:rPr>
                <w:rFonts w:hint="eastAsia"/>
                <w:sz w:val="18"/>
                <w:szCs w:val="18"/>
              </w:rPr>
              <w:t>14.67</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NO</w:t>
            </w:r>
            <w:r>
              <w:rPr>
                <w:sz w:val="18"/>
                <w:szCs w:val="18"/>
                <w:vertAlign w:val="subscript"/>
              </w:rPr>
              <w:t>2</w:t>
            </w:r>
          </w:p>
        </w:tc>
        <w:tc>
          <w:tcPr>
            <w:tcW w:w="1051" w:type="dxa"/>
            <w:vAlign w:val="center"/>
          </w:tcPr>
          <w:p>
            <w:pPr>
              <w:jc w:val="center"/>
              <w:rPr>
                <w:sz w:val="18"/>
                <w:szCs w:val="18"/>
              </w:rPr>
            </w:pPr>
            <w:r>
              <w:rPr>
                <w:rFonts w:hint="eastAsia"/>
                <w:sz w:val="18"/>
                <w:szCs w:val="18"/>
              </w:rPr>
              <w:t>0.08</w:t>
            </w:r>
          </w:p>
        </w:tc>
        <w:tc>
          <w:tcPr>
            <w:tcW w:w="1354" w:type="dxa"/>
            <w:shd w:val="clear" w:color="auto" w:fill="auto"/>
            <w:vAlign w:val="center"/>
          </w:tcPr>
          <w:p>
            <w:pPr>
              <w:jc w:val="center"/>
              <w:rPr>
                <w:sz w:val="18"/>
                <w:szCs w:val="18"/>
              </w:rPr>
            </w:pPr>
            <w:r>
              <w:rPr>
                <w:rFonts w:hint="eastAsia"/>
                <w:sz w:val="18"/>
                <w:szCs w:val="18"/>
              </w:rPr>
              <w:t>0.020~0.032</w:t>
            </w:r>
          </w:p>
        </w:tc>
        <w:tc>
          <w:tcPr>
            <w:tcW w:w="1057" w:type="dxa"/>
            <w:shd w:val="clear" w:color="auto" w:fill="auto"/>
            <w:vAlign w:val="center"/>
          </w:tcPr>
          <w:p>
            <w:pPr>
              <w:jc w:val="center"/>
              <w:rPr>
                <w:sz w:val="18"/>
                <w:szCs w:val="18"/>
              </w:rPr>
            </w:pPr>
            <w:r>
              <w:rPr>
                <w:rFonts w:hint="eastAsia"/>
                <w:sz w:val="18"/>
                <w:szCs w:val="18"/>
              </w:rPr>
              <w:t>0.032</w:t>
            </w:r>
          </w:p>
        </w:tc>
        <w:tc>
          <w:tcPr>
            <w:tcW w:w="1051" w:type="dxa"/>
            <w:shd w:val="clear" w:color="auto" w:fill="auto"/>
            <w:vAlign w:val="center"/>
          </w:tcPr>
          <w:p>
            <w:pPr>
              <w:jc w:val="center"/>
              <w:rPr>
                <w:sz w:val="18"/>
                <w:szCs w:val="18"/>
              </w:rPr>
            </w:pPr>
            <w:r>
              <w:rPr>
                <w:rFonts w:hint="eastAsia"/>
                <w:sz w:val="18"/>
                <w:szCs w:val="18"/>
              </w:rPr>
              <w:t>0.024</w:t>
            </w:r>
          </w:p>
        </w:tc>
        <w:tc>
          <w:tcPr>
            <w:tcW w:w="1279" w:type="dxa"/>
            <w:tcBorders>
              <w:bottom w:val="single" w:color="auto" w:sz="4" w:space="0"/>
            </w:tcBorders>
            <w:shd w:val="clear" w:color="auto" w:fill="auto"/>
            <w:vAlign w:val="center"/>
          </w:tcPr>
          <w:p>
            <w:pPr>
              <w:jc w:val="center"/>
              <w:rPr>
                <w:sz w:val="18"/>
                <w:szCs w:val="18"/>
              </w:rPr>
            </w:pPr>
            <w:r>
              <w:rPr>
                <w:rFonts w:hint="eastAsia"/>
                <w:sz w:val="18"/>
                <w:szCs w:val="18"/>
              </w:rPr>
              <w:t>40</w:t>
            </w:r>
          </w:p>
        </w:tc>
        <w:tc>
          <w:tcPr>
            <w:tcW w:w="644" w:type="dxa"/>
            <w:tcBorders>
              <w:bottom w:val="single" w:color="auto" w:sz="4" w:space="0"/>
            </w:tcBorders>
            <w:shd w:val="clear" w:color="auto" w:fill="auto"/>
            <w:vAlign w:val="center"/>
          </w:tcPr>
          <w:p>
            <w:pPr>
              <w:jc w:val="center"/>
              <w:rPr>
                <w:sz w:val="18"/>
                <w:szCs w:val="18"/>
              </w:rPr>
            </w:pPr>
            <w:r>
              <w:rPr>
                <w:sz w:val="18"/>
                <w:szCs w:val="18"/>
              </w:rPr>
              <w:t>达标</w:t>
            </w:r>
          </w:p>
        </w:tc>
        <w:tc>
          <w:tcPr>
            <w:tcW w:w="688" w:type="dxa"/>
            <w:tcBorders>
              <w:bottom w:val="single" w:color="auto" w:sz="4" w:space="0"/>
            </w:tcBorders>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PM</w:t>
            </w:r>
            <w:r>
              <w:rPr>
                <w:sz w:val="18"/>
                <w:szCs w:val="18"/>
                <w:vertAlign w:val="subscript"/>
              </w:rPr>
              <w:t>10</w:t>
            </w:r>
          </w:p>
        </w:tc>
        <w:tc>
          <w:tcPr>
            <w:tcW w:w="1051" w:type="dxa"/>
            <w:vAlign w:val="center"/>
          </w:tcPr>
          <w:p>
            <w:pPr>
              <w:jc w:val="center"/>
              <w:rPr>
                <w:sz w:val="18"/>
                <w:szCs w:val="18"/>
              </w:rPr>
            </w:pPr>
            <w:r>
              <w:rPr>
                <w:sz w:val="18"/>
                <w:szCs w:val="18"/>
              </w:rPr>
              <w:t>0.</w:t>
            </w:r>
            <w:r>
              <w:rPr>
                <w:rFonts w:hint="eastAsia"/>
                <w:sz w:val="18"/>
                <w:szCs w:val="18"/>
              </w:rPr>
              <w:t>15</w:t>
            </w:r>
          </w:p>
        </w:tc>
        <w:tc>
          <w:tcPr>
            <w:tcW w:w="1354" w:type="dxa"/>
            <w:shd w:val="clear" w:color="auto" w:fill="auto"/>
            <w:vAlign w:val="center"/>
          </w:tcPr>
          <w:p>
            <w:pPr>
              <w:jc w:val="center"/>
              <w:rPr>
                <w:sz w:val="18"/>
                <w:szCs w:val="18"/>
              </w:rPr>
            </w:pPr>
            <w:r>
              <w:rPr>
                <w:rFonts w:hint="eastAsia"/>
                <w:sz w:val="18"/>
                <w:szCs w:val="18"/>
              </w:rPr>
              <w:t>0.035~0.109</w:t>
            </w:r>
          </w:p>
        </w:tc>
        <w:tc>
          <w:tcPr>
            <w:tcW w:w="1057" w:type="dxa"/>
            <w:shd w:val="clear" w:color="auto" w:fill="auto"/>
            <w:vAlign w:val="center"/>
          </w:tcPr>
          <w:p>
            <w:pPr>
              <w:jc w:val="center"/>
              <w:rPr>
                <w:sz w:val="18"/>
                <w:szCs w:val="18"/>
              </w:rPr>
            </w:pPr>
            <w:r>
              <w:rPr>
                <w:rFonts w:hint="eastAsia"/>
                <w:sz w:val="18"/>
                <w:szCs w:val="18"/>
              </w:rPr>
              <w:t>0.109</w:t>
            </w:r>
          </w:p>
        </w:tc>
        <w:tc>
          <w:tcPr>
            <w:tcW w:w="1051" w:type="dxa"/>
            <w:shd w:val="clear" w:color="auto" w:fill="auto"/>
            <w:vAlign w:val="center"/>
          </w:tcPr>
          <w:p>
            <w:pPr>
              <w:jc w:val="center"/>
              <w:rPr>
                <w:sz w:val="18"/>
                <w:szCs w:val="18"/>
              </w:rPr>
            </w:pPr>
            <w:r>
              <w:rPr>
                <w:rFonts w:hint="eastAsia"/>
                <w:sz w:val="18"/>
                <w:szCs w:val="18"/>
              </w:rPr>
              <w:t>0.064</w:t>
            </w:r>
          </w:p>
        </w:tc>
        <w:tc>
          <w:tcPr>
            <w:tcW w:w="1279" w:type="dxa"/>
            <w:shd w:val="clear" w:color="auto" w:fill="auto"/>
            <w:vAlign w:val="center"/>
          </w:tcPr>
          <w:p>
            <w:pPr>
              <w:jc w:val="center"/>
              <w:rPr>
                <w:sz w:val="18"/>
                <w:szCs w:val="18"/>
              </w:rPr>
            </w:pPr>
            <w:r>
              <w:rPr>
                <w:rFonts w:hint="eastAsia"/>
                <w:sz w:val="18"/>
                <w:szCs w:val="18"/>
              </w:rPr>
              <w:t>72.7</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420" w:type="dxa"/>
            <w:vMerge w:val="continue"/>
            <w:shd w:val="clear" w:color="auto" w:fill="auto"/>
            <w:vAlign w:val="center"/>
          </w:tcPr>
          <w:p>
            <w:pPr>
              <w:jc w:val="center"/>
              <w:rPr>
                <w:sz w:val="18"/>
                <w:szCs w:val="18"/>
              </w:rPr>
            </w:pPr>
          </w:p>
        </w:tc>
        <w:tc>
          <w:tcPr>
            <w:tcW w:w="749" w:type="dxa"/>
            <w:vMerge w:val="continue"/>
            <w:shd w:val="clear" w:color="auto" w:fill="auto"/>
            <w:vAlign w:val="center"/>
          </w:tcPr>
          <w:p>
            <w:pPr>
              <w:jc w:val="center"/>
              <w:rPr>
                <w:sz w:val="18"/>
                <w:szCs w:val="18"/>
              </w:rPr>
            </w:pPr>
          </w:p>
        </w:tc>
        <w:tc>
          <w:tcPr>
            <w:tcW w:w="755" w:type="dxa"/>
            <w:shd w:val="clear" w:color="auto" w:fill="auto"/>
            <w:vAlign w:val="center"/>
          </w:tcPr>
          <w:p>
            <w:pPr>
              <w:jc w:val="center"/>
              <w:rPr>
                <w:sz w:val="18"/>
                <w:szCs w:val="18"/>
              </w:rPr>
            </w:pPr>
            <w:r>
              <w:rPr>
                <w:sz w:val="18"/>
                <w:szCs w:val="18"/>
              </w:rPr>
              <w:t>TSP</w:t>
            </w:r>
          </w:p>
        </w:tc>
        <w:tc>
          <w:tcPr>
            <w:tcW w:w="1051" w:type="dxa"/>
            <w:vAlign w:val="center"/>
          </w:tcPr>
          <w:p>
            <w:pPr>
              <w:jc w:val="center"/>
              <w:rPr>
                <w:sz w:val="18"/>
                <w:szCs w:val="18"/>
              </w:rPr>
            </w:pPr>
            <w:r>
              <w:rPr>
                <w:rFonts w:hint="eastAsia"/>
                <w:sz w:val="18"/>
                <w:szCs w:val="18"/>
              </w:rPr>
              <w:t>0.30</w:t>
            </w:r>
          </w:p>
        </w:tc>
        <w:tc>
          <w:tcPr>
            <w:tcW w:w="1354" w:type="dxa"/>
            <w:shd w:val="clear" w:color="auto" w:fill="auto"/>
            <w:vAlign w:val="center"/>
          </w:tcPr>
          <w:p>
            <w:pPr>
              <w:jc w:val="center"/>
              <w:rPr>
                <w:sz w:val="18"/>
                <w:szCs w:val="18"/>
              </w:rPr>
            </w:pPr>
            <w:r>
              <w:rPr>
                <w:rFonts w:hint="eastAsia"/>
                <w:sz w:val="18"/>
                <w:szCs w:val="18"/>
              </w:rPr>
              <w:t>0.048~0.145</w:t>
            </w:r>
          </w:p>
        </w:tc>
        <w:tc>
          <w:tcPr>
            <w:tcW w:w="1057" w:type="dxa"/>
            <w:shd w:val="clear" w:color="auto" w:fill="auto"/>
            <w:vAlign w:val="center"/>
          </w:tcPr>
          <w:p>
            <w:pPr>
              <w:jc w:val="center"/>
              <w:rPr>
                <w:sz w:val="18"/>
                <w:szCs w:val="18"/>
              </w:rPr>
            </w:pPr>
            <w:r>
              <w:rPr>
                <w:rFonts w:hint="eastAsia"/>
                <w:sz w:val="18"/>
                <w:szCs w:val="18"/>
              </w:rPr>
              <w:t>0.145</w:t>
            </w:r>
          </w:p>
        </w:tc>
        <w:tc>
          <w:tcPr>
            <w:tcW w:w="1051" w:type="dxa"/>
            <w:shd w:val="clear" w:color="auto" w:fill="auto"/>
            <w:vAlign w:val="center"/>
          </w:tcPr>
          <w:p>
            <w:pPr>
              <w:jc w:val="center"/>
              <w:rPr>
                <w:sz w:val="18"/>
                <w:szCs w:val="18"/>
              </w:rPr>
            </w:pPr>
            <w:r>
              <w:rPr>
                <w:rFonts w:hint="eastAsia"/>
                <w:sz w:val="18"/>
                <w:szCs w:val="18"/>
              </w:rPr>
              <w:t>0.088</w:t>
            </w:r>
          </w:p>
        </w:tc>
        <w:tc>
          <w:tcPr>
            <w:tcW w:w="1279" w:type="dxa"/>
            <w:shd w:val="clear" w:color="auto" w:fill="auto"/>
            <w:vAlign w:val="center"/>
          </w:tcPr>
          <w:p>
            <w:pPr>
              <w:jc w:val="center"/>
              <w:rPr>
                <w:sz w:val="18"/>
                <w:szCs w:val="18"/>
              </w:rPr>
            </w:pPr>
            <w:r>
              <w:rPr>
                <w:rFonts w:hint="eastAsia"/>
                <w:sz w:val="18"/>
                <w:szCs w:val="18"/>
              </w:rPr>
              <w:t>48.3</w:t>
            </w:r>
          </w:p>
        </w:tc>
        <w:tc>
          <w:tcPr>
            <w:tcW w:w="644" w:type="dxa"/>
            <w:shd w:val="clear" w:color="auto" w:fill="auto"/>
            <w:vAlign w:val="center"/>
          </w:tcPr>
          <w:p>
            <w:pPr>
              <w:jc w:val="center"/>
              <w:rPr>
                <w:sz w:val="18"/>
                <w:szCs w:val="18"/>
              </w:rPr>
            </w:pPr>
            <w:r>
              <w:rPr>
                <w:sz w:val="18"/>
                <w:szCs w:val="18"/>
              </w:rPr>
              <w:t>达标</w:t>
            </w:r>
          </w:p>
        </w:tc>
        <w:tc>
          <w:tcPr>
            <w:tcW w:w="688" w:type="dxa"/>
            <w:shd w:val="clear" w:color="auto" w:fill="auto"/>
            <w:vAlign w:val="center"/>
          </w:tcPr>
          <w:p>
            <w:pPr>
              <w:jc w:val="center"/>
              <w:rPr>
                <w:sz w:val="18"/>
                <w:szCs w:val="18"/>
              </w:rPr>
            </w:pPr>
            <w:r>
              <w:rPr>
                <w:sz w:val="18"/>
                <w:szCs w:val="18"/>
              </w:rPr>
              <w:t>0</w:t>
            </w:r>
          </w:p>
        </w:tc>
      </w:tr>
    </w:tbl>
    <w:p>
      <w:pPr>
        <w:widowControl/>
        <w:spacing w:line="360" w:lineRule="auto"/>
        <w:ind w:firstLine="480" w:firstLineChars="200"/>
        <w:jc w:val="left"/>
        <w:rPr>
          <w:rFonts w:ascii="宋体" w:hAnsi="宋体" w:cs="宋体"/>
          <w:kern w:val="0"/>
          <w:szCs w:val="21"/>
        </w:rPr>
      </w:pPr>
      <w:r>
        <w:rPr>
          <w:sz w:val="24"/>
        </w:rPr>
        <w:t>根据监测数据分析，项目区域SO</w:t>
      </w:r>
      <w:r>
        <w:rPr>
          <w:sz w:val="24"/>
          <w:vertAlign w:val="subscript"/>
        </w:rPr>
        <w:t>2</w:t>
      </w:r>
      <w:r>
        <w:rPr>
          <w:sz w:val="24"/>
        </w:rPr>
        <w:t>、NO</w:t>
      </w:r>
      <w:r>
        <w:rPr>
          <w:sz w:val="24"/>
          <w:vertAlign w:val="subscript"/>
        </w:rPr>
        <w:t>2</w:t>
      </w:r>
      <w:r>
        <w:rPr>
          <w:sz w:val="24"/>
        </w:rPr>
        <w:t>日平均</w:t>
      </w:r>
      <w:r>
        <w:rPr>
          <w:kern w:val="0"/>
          <w:sz w:val="24"/>
        </w:rPr>
        <w:t>值、小时平均值</w:t>
      </w:r>
      <w:r>
        <w:rPr>
          <w:rFonts w:hint="eastAsia"/>
          <w:kern w:val="0"/>
          <w:sz w:val="24"/>
        </w:rPr>
        <w:t>，</w:t>
      </w:r>
      <w:r>
        <w:rPr>
          <w:sz w:val="24"/>
        </w:rPr>
        <w:t>PM</w:t>
      </w:r>
      <w:r>
        <w:rPr>
          <w:sz w:val="24"/>
          <w:vertAlign w:val="subscript"/>
        </w:rPr>
        <w:t>10</w:t>
      </w:r>
      <w:r>
        <w:rPr>
          <w:rFonts w:hint="eastAsia"/>
          <w:sz w:val="24"/>
        </w:rPr>
        <w:t>、</w:t>
      </w:r>
      <w:r>
        <w:rPr>
          <w:sz w:val="24"/>
        </w:rPr>
        <w:t>TSP日平均</w:t>
      </w:r>
      <w:r>
        <w:rPr>
          <w:kern w:val="0"/>
          <w:sz w:val="24"/>
        </w:rPr>
        <w:t>值均满足《环境空气质量标准》(GB3095-2012)二级标准要求</w:t>
      </w:r>
      <w:r>
        <w:rPr>
          <w:rFonts w:hint="eastAsia"/>
          <w:kern w:val="0"/>
          <w:sz w:val="24"/>
        </w:rPr>
        <w:t>。</w:t>
      </w:r>
    </w:p>
    <w:p>
      <w:pPr>
        <w:pStyle w:val="3"/>
        <w:tabs>
          <w:tab w:val="left" w:pos="426"/>
        </w:tabs>
        <w:ind w:left="0" w:firstLine="0"/>
      </w:pPr>
      <w:r>
        <w:rPr>
          <w:rFonts w:hint="eastAsia" w:cs="宋体"/>
          <w:color w:val="3D3D3D"/>
          <w:kern w:val="0"/>
          <w:sz w:val="24"/>
        </w:rPr>
        <w:t>　</w:t>
      </w:r>
      <w:bookmarkStart w:id="117" w:name="_Toc428863985"/>
      <w:bookmarkStart w:id="118" w:name="_Toc401933437"/>
      <w:bookmarkStart w:id="119" w:name="_Toc442195698"/>
      <w:r>
        <w:rPr>
          <w:rFonts w:hint="eastAsia"/>
        </w:rPr>
        <w:t>声</w:t>
      </w:r>
      <w:r>
        <w:t>环境</w:t>
      </w:r>
      <w:bookmarkEnd w:id="117"/>
      <w:bookmarkEnd w:id="118"/>
      <w:r>
        <w:rPr>
          <w:rFonts w:hint="eastAsia"/>
        </w:rPr>
        <w:t>质量现状监测与评价</w:t>
      </w:r>
      <w:bookmarkEnd w:id="119"/>
    </w:p>
    <w:p>
      <w:pPr>
        <w:pStyle w:val="5"/>
        <w:tabs>
          <w:tab w:val="left" w:pos="720"/>
        </w:tabs>
        <w:ind w:left="720"/>
        <w:rPr>
          <w:rFonts w:ascii="宋体" w:hAnsi="宋体" w:eastAsia="宋体"/>
          <w:b/>
          <w:sz w:val="28"/>
          <w:szCs w:val="28"/>
        </w:rPr>
      </w:pPr>
      <w:bookmarkStart w:id="120" w:name="_Toc442195699"/>
      <w:r>
        <w:rPr>
          <w:rFonts w:hint="eastAsia" w:ascii="宋体" w:hAnsi="宋体" w:eastAsia="宋体"/>
          <w:b/>
          <w:sz w:val="28"/>
          <w:szCs w:val="28"/>
        </w:rPr>
        <w:t>监测点位布设、监测项目</w:t>
      </w:r>
      <w:bookmarkEnd w:id="120"/>
    </w:p>
    <w:p>
      <w:pPr>
        <w:spacing w:line="360" w:lineRule="auto"/>
        <w:ind w:firstLine="480" w:firstLineChars="200"/>
        <w:rPr>
          <w:sz w:val="24"/>
        </w:rPr>
      </w:pPr>
      <w:r>
        <w:rPr>
          <w:rFonts w:hint="eastAsia"/>
          <w:sz w:val="24"/>
        </w:rPr>
        <w:t>（1）点位布设及项目</w:t>
      </w:r>
    </w:p>
    <w:p>
      <w:pPr>
        <w:spacing w:line="360" w:lineRule="auto"/>
        <w:ind w:firstLine="480" w:firstLineChars="200"/>
        <w:rPr>
          <w:sz w:val="24"/>
        </w:rPr>
      </w:pPr>
      <w:r>
        <w:rPr>
          <w:sz w:val="24"/>
        </w:rPr>
        <w:t>项目环境噪声监测共布</w:t>
      </w:r>
      <w:r>
        <w:rPr>
          <w:rFonts w:hint="eastAsia"/>
          <w:sz w:val="24"/>
        </w:rPr>
        <w:t>6</w:t>
      </w:r>
      <w:r>
        <w:rPr>
          <w:sz w:val="24"/>
        </w:rPr>
        <w:t>个点，覆盖</w:t>
      </w:r>
      <w:r>
        <w:rPr>
          <w:rFonts w:hint="eastAsia"/>
          <w:sz w:val="24"/>
        </w:rPr>
        <w:t>项目所在区域</w:t>
      </w:r>
      <w:r>
        <w:rPr>
          <w:sz w:val="24"/>
        </w:rPr>
        <w:t>。其中</w:t>
      </w:r>
      <w:r>
        <w:rPr>
          <w:rFonts w:hint="eastAsia"/>
          <w:sz w:val="24"/>
        </w:rPr>
        <w:t>1#~4#</w:t>
      </w:r>
      <w:r>
        <w:rPr>
          <w:sz w:val="24"/>
        </w:rPr>
        <w:t>监测点为</w:t>
      </w:r>
      <w:r>
        <w:rPr>
          <w:rFonts w:hint="eastAsia"/>
          <w:sz w:val="24"/>
        </w:rPr>
        <w:t>项目场界</w:t>
      </w:r>
      <w:r>
        <w:rPr>
          <w:sz w:val="24"/>
        </w:rPr>
        <w:t>，</w:t>
      </w:r>
      <w:r>
        <w:rPr>
          <w:rFonts w:hint="eastAsia"/>
          <w:sz w:val="24"/>
        </w:rPr>
        <w:t>1#、4#测点分别临在建318国道（白洋大道）、长江航道，</w:t>
      </w:r>
      <w:r>
        <w:rPr>
          <w:sz w:val="24"/>
        </w:rPr>
        <w:t>执行</w:t>
      </w:r>
      <w:r>
        <w:rPr>
          <w:rFonts w:hint="eastAsia"/>
          <w:sz w:val="24"/>
        </w:rPr>
        <w:t>4a</w:t>
      </w:r>
      <w:r>
        <w:rPr>
          <w:sz w:val="24"/>
        </w:rPr>
        <w:t>类标准；</w:t>
      </w:r>
      <w:r>
        <w:rPr>
          <w:rFonts w:hint="eastAsia"/>
          <w:sz w:val="24"/>
        </w:rPr>
        <w:t>5#、5#</w:t>
      </w:r>
      <w:r>
        <w:rPr>
          <w:sz w:val="24"/>
        </w:rPr>
        <w:t>为</w:t>
      </w:r>
      <w:r>
        <w:rPr>
          <w:rFonts w:hint="eastAsia"/>
          <w:sz w:val="24"/>
        </w:rPr>
        <w:t>居民点</w:t>
      </w:r>
      <w:r>
        <w:rPr>
          <w:sz w:val="24"/>
        </w:rPr>
        <w:t>，执行</w:t>
      </w:r>
      <w:r>
        <w:rPr>
          <w:rFonts w:hint="eastAsia"/>
          <w:sz w:val="24"/>
        </w:rPr>
        <w:t>2</w:t>
      </w:r>
      <w:r>
        <w:rPr>
          <w:sz w:val="24"/>
        </w:rPr>
        <w:t>类标准</w:t>
      </w:r>
      <w:r>
        <w:rPr>
          <w:rFonts w:hint="eastAsia"/>
          <w:sz w:val="24"/>
        </w:rPr>
        <w:t>；在6#测点设置噪声监测断面</w:t>
      </w:r>
      <w:r>
        <w:rPr>
          <w:sz w:val="24"/>
        </w:rPr>
        <w:t>。监测布点见表</w:t>
      </w:r>
      <w:r>
        <w:rPr>
          <w:rFonts w:hint="eastAsia"/>
          <w:sz w:val="24"/>
        </w:rPr>
        <w:t>3.4-1</w:t>
      </w:r>
      <w:r>
        <w:rPr>
          <w:sz w:val="24"/>
        </w:rPr>
        <w:t>、</w:t>
      </w:r>
      <w:r>
        <w:rPr>
          <w:rFonts w:hint="eastAsia"/>
          <w:sz w:val="24"/>
        </w:rPr>
        <w:t>附图4</w:t>
      </w:r>
      <w:r>
        <w:rPr>
          <w:sz w:val="24"/>
        </w:rPr>
        <w:t>。</w:t>
      </w:r>
    </w:p>
    <w:p>
      <w:pPr>
        <w:spacing w:line="360" w:lineRule="auto"/>
        <w:jc w:val="center"/>
        <w:rPr>
          <w:b/>
          <w:sz w:val="24"/>
        </w:rPr>
      </w:pPr>
      <w:r>
        <w:rPr>
          <w:b/>
          <w:sz w:val="24"/>
        </w:rPr>
        <w:t>表</w:t>
      </w:r>
      <w:r>
        <w:rPr>
          <w:rFonts w:hint="eastAsia"/>
          <w:b/>
          <w:sz w:val="24"/>
        </w:rPr>
        <w:t xml:space="preserve">3.4-1 </w:t>
      </w:r>
      <w:r>
        <w:rPr>
          <w:b/>
          <w:sz w:val="24"/>
        </w:rPr>
        <w:t>声环境监测布点说明表</w:t>
      </w:r>
    </w:p>
    <w:tbl>
      <w:tblPr>
        <w:tblStyle w:val="104"/>
        <w:tblW w:w="904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3"/>
        <w:gridCol w:w="3170"/>
        <w:gridCol w:w="4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
                <w:bCs/>
                <w:szCs w:val="21"/>
              </w:rPr>
            </w:pPr>
            <w:r>
              <w:rPr>
                <w:b/>
                <w:bCs/>
                <w:szCs w:val="21"/>
              </w:rPr>
              <w:t>序号</w:t>
            </w:r>
          </w:p>
        </w:tc>
        <w:tc>
          <w:tcPr>
            <w:tcW w:w="3170" w:type="dxa"/>
            <w:vAlign w:val="center"/>
          </w:tcPr>
          <w:p>
            <w:pPr>
              <w:jc w:val="center"/>
              <w:rPr>
                <w:b/>
                <w:bCs/>
                <w:szCs w:val="21"/>
              </w:rPr>
            </w:pPr>
            <w:r>
              <w:rPr>
                <w:b/>
                <w:bCs/>
                <w:szCs w:val="21"/>
              </w:rPr>
              <w:t>监测点位置</w:t>
            </w:r>
          </w:p>
        </w:tc>
        <w:tc>
          <w:tcPr>
            <w:tcW w:w="4935" w:type="dxa"/>
            <w:vAlign w:val="center"/>
          </w:tcPr>
          <w:p>
            <w:pPr>
              <w:jc w:val="center"/>
              <w:rPr>
                <w:b/>
                <w:bCs/>
                <w:szCs w:val="21"/>
              </w:rPr>
            </w:pPr>
            <w:r>
              <w:rPr>
                <w:b/>
                <w:bCs/>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bCs/>
                <w:szCs w:val="21"/>
              </w:rPr>
              <w:t>1#</w:t>
            </w:r>
          </w:p>
        </w:tc>
        <w:tc>
          <w:tcPr>
            <w:tcW w:w="3170" w:type="dxa"/>
            <w:vAlign w:val="center"/>
          </w:tcPr>
          <w:p>
            <w:pPr>
              <w:jc w:val="center"/>
              <w:rPr>
                <w:rFonts w:ascii="宋体" w:hAnsi="宋体" w:cs="宋体"/>
                <w:bCs/>
                <w:szCs w:val="21"/>
              </w:rPr>
            </w:pPr>
            <w:r>
              <w:rPr>
                <w:rFonts w:hint="eastAsia" w:ascii="宋体" w:hAnsi="宋体" w:cs="宋体"/>
                <w:bCs/>
                <w:szCs w:val="21"/>
              </w:rPr>
              <w:t>场界北侧</w:t>
            </w:r>
          </w:p>
        </w:tc>
        <w:tc>
          <w:tcPr>
            <w:tcW w:w="4935" w:type="dxa"/>
            <w:vAlign w:val="center"/>
          </w:tcPr>
          <w:p>
            <w:pPr>
              <w:jc w:val="center"/>
              <w:rPr>
                <w:bCs/>
                <w:szCs w:val="21"/>
              </w:rPr>
            </w:pPr>
            <w:r>
              <w:rPr>
                <w:bCs/>
                <w:szCs w:val="21"/>
              </w:rPr>
              <w:t>4a类，昼间70</w:t>
            </w:r>
            <w:r>
              <w:rPr>
                <w:b/>
                <w:szCs w:val="21"/>
              </w:rPr>
              <w:t xml:space="preserve"> </w:t>
            </w:r>
            <w:r>
              <w:rPr>
                <w:bCs/>
                <w:szCs w:val="21"/>
              </w:rPr>
              <w:t>dB(A</w:t>
            </w:r>
            <w:r>
              <w:rPr>
                <w:b/>
                <w:bCs/>
                <w:szCs w:val="21"/>
              </w:rPr>
              <w:t>)</w:t>
            </w:r>
            <w:r>
              <w:rPr>
                <w:bCs/>
                <w:szCs w:val="21"/>
              </w:rPr>
              <w:t>夜间55</w:t>
            </w:r>
            <w:r>
              <w:rPr>
                <w:b/>
                <w:szCs w:val="21"/>
              </w:rPr>
              <w:t xml:space="preserve"> </w:t>
            </w:r>
            <w:r>
              <w:rPr>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bCs/>
                <w:szCs w:val="21"/>
              </w:rPr>
              <w:t>2#</w:t>
            </w:r>
          </w:p>
        </w:tc>
        <w:tc>
          <w:tcPr>
            <w:tcW w:w="3170" w:type="dxa"/>
            <w:vAlign w:val="center"/>
          </w:tcPr>
          <w:p>
            <w:pPr>
              <w:jc w:val="center"/>
              <w:rPr>
                <w:rFonts w:ascii="宋体" w:hAnsi="宋体" w:cs="宋体"/>
                <w:bCs/>
                <w:szCs w:val="21"/>
              </w:rPr>
            </w:pPr>
            <w:r>
              <w:rPr>
                <w:rFonts w:hint="eastAsia" w:ascii="宋体" w:hAnsi="宋体" w:cs="宋体"/>
                <w:bCs/>
                <w:szCs w:val="21"/>
              </w:rPr>
              <w:t>场界东侧</w:t>
            </w:r>
          </w:p>
        </w:tc>
        <w:tc>
          <w:tcPr>
            <w:tcW w:w="4935" w:type="dxa"/>
            <w:vAlign w:val="center"/>
          </w:tcPr>
          <w:p>
            <w:pPr>
              <w:jc w:val="center"/>
              <w:rPr>
                <w:b/>
                <w:szCs w:val="21"/>
              </w:rPr>
            </w:pPr>
            <w:r>
              <w:rPr>
                <w:bCs/>
                <w:szCs w:val="21"/>
              </w:rPr>
              <w:t>2类，昼间60dB(A</w:t>
            </w:r>
            <w:r>
              <w:rPr>
                <w:b/>
                <w:bCs/>
                <w:szCs w:val="21"/>
              </w:rPr>
              <w:t>)</w:t>
            </w:r>
            <w:r>
              <w:rPr>
                <w:bCs/>
                <w:szCs w:val="21"/>
              </w:rPr>
              <w:t>夜间50</w:t>
            </w:r>
            <w:r>
              <w:rPr>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bCs/>
                <w:szCs w:val="21"/>
              </w:rPr>
              <w:t>3#</w:t>
            </w:r>
          </w:p>
        </w:tc>
        <w:tc>
          <w:tcPr>
            <w:tcW w:w="3170" w:type="dxa"/>
            <w:vAlign w:val="center"/>
          </w:tcPr>
          <w:p>
            <w:pPr>
              <w:jc w:val="center"/>
              <w:rPr>
                <w:rFonts w:ascii="宋体" w:hAnsi="宋体" w:cs="宋体"/>
                <w:bCs/>
                <w:szCs w:val="21"/>
              </w:rPr>
            </w:pPr>
            <w:r>
              <w:rPr>
                <w:rFonts w:hint="eastAsia" w:ascii="宋体" w:hAnsi="宋体" w:cs="宋体"/>
                <w:bCs/>
                <w:szCs w:val="21"/>
              </w:rPr>
              <w:t>场界西侧</w:t>
            </w:r>
          </w:p>
        </w:tc>
        <w:tc>
          <w:tcPr>
            <w:tcW w:w="4935" w:type="dxa"/>
            <w:vAlign w:val="center"/>
          </w:tcPr>
          <w:p>
            <w:pPr>
              <w:jc w:val="center"/>
              <w:rPr>
                <w:bCs/>
                <w:szCs w:val="21"/>
              </w:rPr>
            </w:pPr>
            <w:r>
              <w:rPr>
                <w:bCs/>
                <w:szCs w:val="21"/>
              </w:rPr>
              <w:t>2类，昼间60dB(A</w:t>
            </w:r>
            <w:r>
              <w:rPr>
                <w:b/>
                <w:bCs/>
                <w:szCs w:val="21"/>
              </w:rPr>
              <w:t>)</w:t>
            </w:r>
            <w:r>
              <w:rPr>
                <w:bCs/>
                <w:szCs w:val="21"/>
              </w:rPr>
              <w:t>夜间50</w:t>
            </w:r>
            <w:r>
              <w:rPr>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rFonts w:hint="eastAsia"/>
                <w:bCs/>
                <w:szCs w:val="21"/>
              </w:rPr>
              <w:t>4</w:t>
            </w:r>
            <w:r>
              <w:rPr>
                <w:bCs/>
                <w:szCs w:val="21"/>
              </w:rPr>
              <w:t>#</w:t>
            </w:r>
          </w:p>
        </w:tc>
        <w:tc>
          <w:tcPr>
            <w:tcW w:w="3170" w:type="dxa"/>
            <w:vAlign w:val="center"/>
          </w:tcPr>
          <w:p>
            <w:pPr>
              <w:jc w:val="center"/>
              <w:rPr>
                <w:rFonts w:ascii="宋体" w:hAnsi="宋体" w:cs="宋体"/>
                <w:bCs/>
                <w:szCs w:val="21"/>
              </w:rPr>
            </w:pPr>
            <w:r>
              <w:rPr>
                <w:rFonts w:hint="eastAsia" w:ascii="宋体" w:hAnsi="宋体" w:cs="宋体"/>
                <w:bCs/>
                <w:szCs w:val="21"/>
              </w:rPr>
              <w:t>场界南侧</w:t>
            </w:r>
          </w:p>
        </w:tc>
        <w:tc>
          <w:tcPr>
            <w:tcW w:w="4935" w:type="dxa"/>
            <w:vAlign w:val="center"/>
          </w:tcPr>
          <w:p>
            <w:pPr>
              <w:jc w:val="center"/>
              <w:rPr>
                <w:bCs/>
                <w:szCs w:val="21"/>
              </w:rPr>
            </w:pPr>
            <w:r>
              <w:rPr>
                <w:bCs/>
                <w:szCs w:val="21"/>
              </w:rPr>
              <w:t>4a类，昼间70</w:t>
            </w:r>
            <w:r>
              <w:rPr>
                <w:b/>
                <w:szCs w:val="21"/>
              </w:rPr>
              <w:t xml:space="preserve"> </w:t>
            </w:r>
            <w:r>
              <w:rPr>
                <w:bCs/>
                <w:szCs w:val="21"/>
              </w:rPr>
              <w:t>dB(A</w:t>
            </w:r>
            <w:r>
              <w:rPr>
                <w:b/>
                <w:bCs/>
                <w:szCs w:val="21"/>
              </w:rPr>
              <w:t>)</w:t>
            </w:r>
            <w:r>
              <w:rPr>
                <w:bCs/>
                <w:szCs w:val="21"/>
              </w:rPr>
              <w:t>夜间55</w:t>
            </w:r>
            <w:r>
              <w:rPr>
                <w:b/>
                <w:szCs w:val="21"/>
              </w:rPr>
              <w:t xml:space="preserve"> </w:t>
            </w:r>
            <w:r>
              <w:rPr>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rFonts w:hint="eastAsia"/>
                <w:bCs/>
                <w:szCs w:val="21"/>
              </w:rPr>
              <w:t>5</w:t>
            </w:r>
            <w:r>
              <w:rPr>
                <w:bCs/>
                <w:szCs w:val="21"/>
              </w:rPr>
              <w:t>#</w:t>
            </w:r>
          </w:p>
        </w:tc>
        <w:tc>
          <w:tcPr>
            <w:tcW w:w="3170" w:type="dxa"/>
            <w:vAlign w:val="center"/>
          </w:tcPr>
          <w:p>
            <w:pPr>
              <w:jc w:val="center"/>
              <w:rPr>
                <w:rFonts w:ascii="宋体" w:hAnsi="宋体" w:cs="宋体"/>
                <w:bCs/>
                <w:szCs w:val="21"/>
              </w:rPr>
            </w:pPr>
            <w:r>
              <w:rPr>
                <w:rFonts w:hint="eastAsia" w:ascii="宋体" w:hAnsi="宋体" w:cs="宋体"/>
                <w:bCs/>
                <w:szCs w:val="21"/>
              </w:rPr>
              <w:t>桂溪湖村</w:t>
            </w:r>
          </w:p>
        </w:tc>
        <w:tc>
          <w:tcPr>
            <w:tcW w:w="4935" w:type="dxa"/>
            <w:vAlign w:val="center"/>
          </w:tcPr>
          <w:p>
            <w:pPr>
              <w:jc w:val="center"/>
              <w:rPr>
                <w:bCs/>
                <w:szCs w:val="21"/>
              </w:rPr>
            </w:pPr>
            <w:r>
              <w:rPr>
                <w:bCs/>
                <w:szCs w:val="21"/>
              </w:rPr>
              <w:t>2类，昼间60dB(A</w:t>
            </w:r>
            <w:r>
              <w:rPr>
                <w:b/>
                <w:bCs/>
                <w:szCs w:val="21"/>
              </w:rPr>
              <w:t>)</w:t>
            </w:r>
            <w:r>
              <w:rPr>
                <w:bCs/>
                <w:szCs w:val="21"/>
              </w:rPr>
              <w:t>夜间50</w:t>
            </w:r>
            <w:r>
              <w:rPr>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943" w:type="dxa"/>
            <w:vAlign w:val="center"/>
          </w:tcPr>
          <w:p>
            <w:pPr>
              <w:jc w:val="center"/>
              <w:rPr>
                <w:bCs/>
                <w:szCs w:val="21"/>
              </w:rPr>
            </w:pPr>
            <w:r>
              <w:rPr>
                <w:rFonts w:hint="eastAsia"/>
                <w:bCs/>
                <w:szCs w:val="21"/>
              </w:rPr>
              <w:t>6</w:t>
            </w:r>
            <w:r>
              <w:rPr>
                <w:bCs/>
                <w:szCs w:val="21"/>
              </w:rPr>
              <w:t>#</w:t>
            </w:r>
          </w:p>
        </w:tc>
        <w:tc>
          <w:tcPr>
            <w:tcW w:w="3170" w:type="dxa"/>
          </w:tcPr>
          <w:p>
            <w:pPr>
              <w:jc w:val="center"/>
              <w:rPr>
                <w:rFonts w:ascii="宋体" w:hAnsi="宋体" w:cs="宋体"/>
                <w:bCs/>
                <w:szCs w:val="21"/>
              </w:rPr>
            </w:pPr>
            <w:r>
              <w:rPr>
                <w:rFonts w:hint="eastAsia" w:ascii="宋体" w:hAnsi="宋体" w:cs="宋体"/>
                <w:bCs/>
                <w:szCs w:val="21"/>
              </w:rPr>
              <w:t>垭子山村</w:t>
            </w:r>
          </w:p>
        </w:tc>
        <w:tc>
          <w:tcPr>
            <w:tcW w:w="4935" w:type="dxa"/>
            <w:vAlign w:val="center"/>
          </w:tcPr>
          <w:p>
            <w:pPr>
              <w:jc w:val="center"/>
              <w:rPr>
                <w:bCs/>
                <w:szCs w:val="21"/>
              </w:rPr>
            </w:pPr>
            <w:r>
              <w:rPr>
                <w:bCs/>
                <w:szCs w:val="21"/>
              </w:rPr>
              <w:t>2类，昼间60dB(A</w:t>
            </w:r>
            <w:r>
              <w:rPr>
                <w:b/>
                <w:bCs/>
                <w:szCs w:val="21"/>
              </w:rPr>
              <w:t>)</w:t>
            </w:r>
            <w:r>
              <w:rPr>
                <w:bCs/>
                <w:szCs w:val="21"/>
              </w:rPr>
              <w:t>夜间50</w:t>
            </w:r>
            <w:r>
              <w:rPr>
                <w:szCs w:val="21"/>
              </w:rPr>
              <w:t>dB(A)</w:t>
            </w:r>
          </w:p>
        </w:tc>
      </w:tr>
    </w:tbl>
    <w:p>
      <w:pPr>
        <w:spacing w:line="360" w:lineRule="auto"/>
        <w:ind w:firstLine="480" w:firstLineChars="200"/>
        <w:rPr>
          <w:sz w:val="24"/>
        </w:rPr>
      </w:pPr>
      <w:r>
        <w:rPr>
          <w:sz w:val="24"/>
        </w:rPr>
        <w:t>测量昼间及夜间的等效连续A声级。</w:t>
      </w:r>
    </w:p>
    <w:p>
      <w:pPr>
        <w:pStyle w:val="5"/>
        <w:tabs>
          <w:tab w:val="left" w:pos="720"/>
        </w:tabs>
        <w:ind w:left="720"/>
        <w:rPr>
          <w:rFonts w:ascii="宋体" w:hAnsi="宋体" w:eastAsia="宋体"/>
          <w:b/>
          <w:sz w:val="28"/>
          <w:szCs w:val="28"/>
        </w:rPr>
      </w:pPr>
      <w:bookmarkStart w:id="121" w:name="_Toc442195700"/>
      <w:r>
        <w:rPr>
          <w:rFonts w:ascii="宋体" w:hAnsi="宋体" w:eastAsia="宋体"/>
          <w:b/>
          <w:sz w:val="28"/>
          <w:szCs w:val="28"/>
        </w:rPr>
        <w:t>监测时间与频次</w:t>
      </w:r>
      <w:r>
        <w:rPr>
          <w:rFonts w:hint="eastAsia" w:ascii="宋体" w:hAnsi="宋体" w:eastAsia="宋体"/>
          <w:b/>
          <w:sz w:val="28"/>
          <w:szCs w:val="28"/>
        </w:rPr>
        <w:t>、方法与结果</w:t>
      </w:r>
      <w:bookmarkEnd w:id="121"/>
    </w:p>
    <w:p>
      <w:pPr>
        <w:spacing w:line="360" w:lineRule="auto"/>
        <w:ind w:firstLine="480" w:firstLineChars="200"/>
        <w:rPr>
          <w:sz w:val="24"/>
        </w:rPr>
      </w:pPr>
      <w:r>
        <w:rPr>
          <w:rFonts w:hint="eastAsia"/>
          <w:sz w:val="24"/>
        </w:rPr>
        <w:t>（1）时间与频次</w:t>
      </w:r>
    </w:p>
    <w:p>
      <w:pPr>
        <w:spacing w:line="360" w:lineRule="auto"/>
        <w:ind w:firstLine="480" w:firstLineChars="200"/>
        <w:rPr>
          <w:sz w:val="24"/>
        </w:rPr>
      </w:pPr>
      <w:r>
        <w:rPr>
          <w:rFonts w:hint="eastAsia"/>
          <w:sz w:val="24"/>
        </w:rPr>
        <w:t>武汉中质博测检测技术有限公司于2015年11月19日~20日</w:t>
      </w:r>
      <w:r>
        <w:rPr>
          <w:sz w:val="24"/>
        </w:rPr>
        <w:t>连续监测2天，对各个噪声监测点进行昼间和夜间监测。昼间06:00~22:00，夜间22:00~06:00（次日）。</w:t>
      </w:r>
    </w:p>
    <w:p>
      <w:pPr>
        <w:spacing w:line="360" w:lineRule="auto"/>
        <w:ind w:firstLine="480" w:firstLineChars="200"/>
        <w:rPr>
          <w:sz w:val="24"/>
        </w:rPr>
      </w:pPr>
      <w:r>
        <w:rPr>
          <w:rFonts w:hint="eastAsia"/>
          <w:sz w:val="24"/>
        </w:rPr>
        <w:t>（2）监测方法</w:t>
      </w:r>
    </w:p>
    <w:p>
      <w:pPr>
        <w:spacing w:line="360" w:lineRule="auto"/>
        <w:ind w:firstLine="480" w:firstLineChars="200"/>
        <w:rPr>
          <w:sz w:val="24"/>
        </w:rPr>
      </w:pPr>
      <w:r>
        <w:rPr>
          <w:sz w:val="24"/>
        </w:rPr>
        <w:t>价区环境噪声测量方法按照按《声环境质量标准》(GB3096-2008)、《工业企业厂界环境噪声排放标准》(GB12348-2008)及《环境影响评价技术导则-声环境》(HJ2.4-2009)中确定噪声现状监测布点原则和方法，进行噪声现状监测及数据处理。</w:t>
      </w:r>
    </w:p>
    <w:p>
      <w:pPr>
        <w:spacing w:line="360" w:lineRule="auto"/>
        <w:ind w:firstLine="480" w:firstLineChars="200"/>
        <w:rPr>
          <w:sz w:val="24"/>
        </w:rPr>
      </w:pPr>
      <w:r>
        <w:rPr>
          <w:rFonts w:hint="eastAsia"/>
          <w:sz w:val="24"/>
        </w:rPr>
        <w:t>（3）监测结果</w:t>
      </w:r>
    </w:p>
    <w:p>
      <w:pPr>
        <w:spacing w:line="360" w:lineRule="auto"/>
        <w:ind w:firstLine="480" w:firstLineChars="200"/>
        <w:rPr>
          <w:sz w:val="24"/>
        </w:rPr>
      </w:pPr>
      <w:r>
        <w:rPr>
          <w:rFonts w:hint="eastAsia"/>
          <w:sz w:val="24"/>
        </w:rPr>
        <w:t>噪声监测结果见表3.4-2。</w:t>
      </w:r>
    </w:p>
    <w:p>
      <w:pPr>
        <w:spacing w:line="360" w:lineRule="auto"/>
        <w:jc w:val="center"/>
        <w:rPr>
          <w:b/>
          <w:sz w:val="24"/>
        </w:rPr>
      </w:pPr>
      <w:r>
        <w:rPr>
          <w:b/>
          <w:sz w:val="24"/>
        </w:rPr>
        <w:t>表</w:t>
      </w:r>
      <w:r>
        <w:rPr>
          <w:rFonts w:hint="eastAsia"/>
          <w:b/>
          <w:sz w:val="24"/>
        </w:rPr>
        <w:t>3.4-2</w:t>
      </w:r>
      <w:r>
        <w:rPr>
          <w:b/>
          <w:sz w:val="24"/>
        </w:rPr>
        <w:t>声环境现状监测结果</w:t>
      </w:r>
    </w:p>
    <w:tbl>
      <w:tblPr>
        <w:tblStyle w:val="104"/>
        <w:tblW w:w="9370" w:type="dxa"/>
        <w:jc w:val="center"/>
        <w:tblInd w:w="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
        <w:gridCol w:w="656"/>
        <w:gridCol w:w="1612"/>
        <w:gridCol w:w="853"/>
        <w:gridCol w:w="1274"/>
        <w:gridCol w:w="850"/>
        <w:gridCol w:w="851"/>
        <w:gridCol w:w="850"/>
        <w:gridCol w:w="851"/>
        <w:gridCol w:w="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6" w:hRule="atLeast"/>
          <w:tblHeader/>
          <w:jc w:val="center"/>
        </w:trPr>
        <w:tc>
          <w:tcPr>
            <w:tcW w:w="606" w:type="dxa"/>
            <w:vMerge w:val="restart"/>
            <w:vAlign w:val="center"/>
          </w:tcPr>
          <w:p>
            <w:pPr>
              <w:jc w:val="center"/>
              <w:rPr>
                <w:rFonts w:eastAsiaTheme="minorEastAsia"/>
                <w:szCs w:val="21"/>
              </w:rPr>
            </w:pPr>
            <w:r>
              <w:rPr>
                <w:rFonts w:eastAsiaTheme="minorEastAsia"/>
                <w:szCs w:val="21"/>
              </w:rPr>
              <w:t>序号</w:t>
            </w:r>
          </w:p>
        </w:tc>
        <w:tc>
          <w:tcPr>
            <w:tcW w:w="2268" w:type="dxa"/>
            <w:gridSpan w:val="2"/>
            <w:vMerge w:val="restart"/>
            <w:vAlign w:val="center"/>
          </w:tcPr>
          <w:p>
            <w:pPr>
              <w:widowControl/>
              <w:jc w:val="center"/>
              <w:textAlignment w:val="center"/>
              <w:rPr>
                <w:rFonts w:eastAsiaTheme="minorEastAsia"/>
                <w:szCs w:val="21"/>
              </w:rPr>
            </w:pPr>
            <w:r>
              <w:rPr>
                <w:rFonts w:eastAsiaTheme="minorEastAsia"/>
                <w:szCs w:val="21"/>
              </w:rPr>
              <w:t>监测点位置</w:t>
            </w:r>
          </w:p>
        </w:tc>
        <w:tc>
          <w:tcPr>
            <w:tcW w:w="853" w:type="dxa"/>
            <w:vMerge w:val="restart"/>
            <w:vAlign w:val="center"/>
          </w:tcPr>
          <w:p>
            <w:pPr>
              <w:widowControl/>
              <w:jc w:val="center"/>
              <w:textAlignment w:val="center"/>
              <w:rPr>
                <w:rFonts w:eastAsiaTheme="minorEastAsia"/>
                <w:szCs w:val="21"/>
              </w:rPr>
            </w:pPr>
            <w:r>
              <w:rPr>
                <w:rFonts w:eastAsiaTheme="minorEastAsia"/>
                <w:szCs w:val="21"/>
              </w:rPr>
              <w:t>主要</w:t>
            </w:r>
          </w:p>
          <w:p>
            <w:pPr>
              <w:widowControl/>
              <w:jc w:val="center"/>
              <w:textAlignment w:val="center"/>
              <w:rPr>
                <w:rFonts w:eastAsiaTheme="minorEastAsia"/>
                <w:szCs w:val="21"/>
              </w:rPr>
            </w:pPr>
            <w:r>
              <w:rPr>
                <w:rFonts w:eastAsiaTheme="minorEastAsia"/>
                <w:szCs w:val="21"/>
              </w:rPr>
              <w:t>声源</w:t>
            </w:r>
          </w:p>
        </w:tc>
        <w:tc>
          <w:tcPr>
            <w:tcW w:w="1274" w:type="dxa"/>
            <w:vMerge w:val="restart"/>
            <w:vAlign w:val="center"/>
          </w:tcPr>
          <w:p>
            <w:pPr>
              <w:widowControl/>
              <w:jc w:val="center"/>
              <w:textAlignment w:val="center"/>
              <w:rPr>
                <w:rFonts w:eastAsiaTheme="minorEastAsia"/>
                <w:szCs w:val="21"/>
              </w:rPr>
            </w:pPr>
            <w:r>
              <w:rPr>
                <w:rFonts w:eastAsiaTheme="minorEastAsia"/>
                <w:szCs w:val="21"/>
              </w:rPr>
              <w:t>监测日期</w:t>
            </w:r>
          </w:p>
        </w:tc>
        <w:tc>
          <w:tcPr>
            <w:tcW w:w="850" w:type="dxa"/>
            <w:vMerge w:val="restart"/>
            <w:vAlign w:val="center"/>
          </w:tcPr>
          <w:p>
            <w:pPr>
              <w:jc w:val="center"/>
              <w:rPr>
                <w:rFonts w:eastAsiaTheme="minorEastAsia"/>
                <w:szCs w:val="21"/>
              </w:rPr>
            </w:pPr>
            <w:r>
              <w:rPr>
                <w:rFonts w:eastAsiaTheme="minorEastAsia"/>
                <w:kern w:val="0"/>
                <w:szCs w:val="21"/>
              </w:rPr>
              <w:t>昼间</w:t>
            </w:r>
          </w:p>
        </w:tc>
        <w:tc>
          <w:tcPr>
            <w:tcW w:w="851" w:type="dxa"/>
            <w:vMerge w:val="restart"/>
            <w:vAlign w:val="center"/>
          </w:tcPr>
          <w:p>
            <w:pPr>
              <w:jc w:val="center"/>
              <w:rPr>
                <w:rFonts w:eastAsiaTheme="minorEastAsia"/>
                <w:szCs w:val="21"/>
              </w:rPr>
            </w:pPr>
            <w:r>
              <w:rPr>
                <w:rFonts w:eastAsiaTheme="minorEastAsia"/>
                <w:kern w:val="0"/>
                <w:szCs w:val="21"/>
              </w:rPr>
              <w:t>夜间</w:t>
            </w:r>
          </w:p>
        </w:tc>
        <w:tc>
          <w:tcPr>
            <w:tcW w:w="1701" w:type="dxa"/>
            <w:gridSpan w:val="2"/>
            <w:vAlign w:val="center"/>
          </w:tcPr>
          <w:p>
            <w:pPr>
              <w:jc w:val="center"/>
              <w:rPr>
                <w:rFonts w:eastAsiaTheme="minorEastAsia"/>
                <w:szCs w:val="21"/>
              </w:rPr>
            </w:pPr>
            <w:r>
              <w:rPr>
                <w:rFonts w:eastAsiaTheme="minorEastAsia"/>
                <w:szCs w:val="21"/>
              </w:rPr>
              <w:t>超标情况</w:t>
            </w:r>
          </w:p>
        </w:tc>
        <w:tc>
          <w:tcPr>
            <w:tcW w:w="967" w:type="dxa"/>
            <w:vMerge w:val="restart"/>
            <w:vAlign w:val="center"/>
          </w:tcPr>
          <w:p>
            <w:pPr>
              <w:jc w:val="center"/>
              <w:textAlignment w:val="center"/>
              <w:rPr>
                <w:rFonts w:eastAsiaTheme="minorEastAsia"/>
                <w:kern w:val="0"/>
                <w:szCs w:val="21"/>
              </w:rPr>
            </w:pPr>
            <w:r>
              <w:rPr>
                <w:rFonts w:eastAsiaTheme="minorEastAsia"/>
                <w:szCs w:val="21"/>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blHeader/>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center"/>
              <w:rPr>
                <w:rFonts w:eastAsiaTheme="minorEastAsia"/>
                <w:szCs w:val="21"/>
              </w:rPr>
            </w:pPr>
          </w:p>
        </w:tc>
        <w:tc>
          <w:tcPr>
            <w:tcW w:w="853" w:type="dxa"/>
            <w:vMerge w:val="continue"/>
            <w:vAlign w:val="center"/>
          </w:tcPr>
          <w:p>
            <w:pPr>
              <w:widowControl/>
              <w:jc w:val="center"/>
              <w:textAlignment w:val="center"/>
              <w:rPr>
                <w:rFonts w:eastAsiaTheme="minorEastAsia"/>
                <w:szCs w:val="21"/>
              </w:rPr>
            </w:pPr>
          </w:p>
        </w:tc>
        <w:tc>
          <w:tcPr>
            <w:tcW w:w="1274" w:type="dxa"/>
            <w:vMerge w:val="continue"/>
            <w:vAlign w:val="center"/>
          </w:tcPr>
          <w:p>
            <w:pPr>
              <w:widowControl/>
              <w:jc w:val="center"/>
              <w:textAlignment w:val="center"/>
              <w:rPr>
                <w:rFonts w:eastAsiaTheme="minorEastAsia"/>
                <w:szCs w:val="21"/>
              </w:rPr>
            </w:pPr>
          </w:p>
        </w:tc>
        <w:tc>
          <w:tcPr>
            <w:tcW w:w="850" w:type="dxa"/>
            <w:vMerge w:val="continue"/>
            <w:vAlign w:val="center"/>
          </w:tcPr>
          <w:p>
            <w:pPr>
              <w:jc w:val="center"/>
              <w:rPr>
                <w:rFonts w:eastAsiaTheme="minorEastAsia"/>
                <w:kern w:val="0"/>
                <w:szCs w:val="21"/>
              </w:rPr>
            </w:pPr>
          </w:p>
        </w:tc>
        <w:tc>
          <w:tcPr>
            <w:tcW w:w="851" w:type="dxa"/>
            <w:vMerge w:val="continue"/>
            <w:vAlign w:val="center"/>
          </w:tcPr>
          <w:p>
            <w:pPr>
              <w:jc w:val="center"/>
              <w:rPr>
                <w:rFonts w:eastAsiaTheme="minorEastAsia"/>
                <w:kern w:val="0"/>
                <w:szCs w:val="21"/>
              </w:rPr>
            </w:pPr>
          </w:p>
        </w:tc>
        <w:tc>
          <w:tcPr>
            <w:tcW w:w="850" w:type="dxa"/>
            <w:vAlign w:val="center"/>
          </w:tcPr>
          <w:p>
            <w:pPr>
              <w:jc w:val="center"/>
              <w:rPr>
                <w:rFonts w:eastAsiaTheme="minorEastAsia"/>
                <w:szCs w:val="21"/>
              </w:rPr>
            </w:pPr>
            <w:r>
              <w:rPr>
                <w:rFonts w:eastAsiaTheme="minorEastAsia"/>
                <w:kern w:val="0"/>
                <w:szCs w:val="21"/>
              </w:rPr>
              <w:t>昼间</w:t>
            </w:r>
          </w:p>
        </w:tc>
        <w:tc>
          <w:tcPr>
            <w:tcW w:w="851" w:type="dxa"/>
            <w:vAlign w:val="center"/>
          </w:tcPr>
          <w:p>
            <w:pPr>
              <w:jc w:val="center"/>
              <w:rPr>
                <w:rFonts w:eastAsiaTheme="minorEastAsia"/>
                <w:szCs w:val="21"/>
              </w:rPr>
            </w:pPr>
            <w:r>
              <w:rPr>
                <w:rFonts w:eastAsiaTheme="minorEastAsia"/>
                <w:kern w:val="0"/>
                <w:szCs w:val="21"/>
              </w:rPr>
              <w:t>夜间</w:t>
            </w:r>
          </w:p>
        </w:tc>
        <w:tc>
          <w:tcPr>
            <w:tcW w:w="967" w:type="dxa"/>
            <w:vMerge w:val="continue"/>
            <w:vAlign w:val="center"/>
          </w:tcPr>
          <w:p>
            <w:pPr>
              <w:jc w:val="center"/>
              <w:textAlignment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1#</w:t>
            </w:r>
          </w:p>
        </w:tc>
        <w:tc>
          <w:tcPr>
            <w:tcW w:w="2268" w:type="dxa"/>
            <w:gridSpan w:val="2"/>
            <w:vMerge w:val="restart"/>
            <w:vAlign w:val="center"/>
          </w:tcPr>
          <w:p>
            <w:pPr>
              <w:widowControl/>
              <w:jc w:val="center"/>
              <w:textAlignment w:val="center"/>
              <w:rPr>
                <w:rFonts w:eastAsiaTheme="minorEastAsia"/>
                <w:szCs w:val="21"/>
              </w:rPr>
            </w:pPr>
            <w:r>
              <w:rPr>
                <w:bCs/>
                <w:szCs w:val="21"/>
              </w:rPr>
              <w:t>场界北侧</w:t>
            </w:r>
          </w:p>
        </w:tc>
        <w:tc>
          <w:tcPr>
            <w:tcW w:w="853" w:type="dxa"/>
            <w:vMerge w:val="restart"/>
            <w:vAlign w:val="center"/>
          </w:tcPr>
          <w:p>
            <w:pPr>
              <w:widowControl/>
              <w:jc w:val="center"/>
              <w:textAlignment w:val="center"/>
              <w:rPr>
                <w:rFonts w:eastAsiaTheme="minorEastAsia"/>
                <w:szCs w:val="21"/>
              </w:rPr>
            </w:pPr>
            <w:r>
              <w:rPr>
                <w:rFonts w:eastAsiaTheme="minorEastAsia"/>
                <w:szCs w:val="21"/>
              </w:rPr>
              <w:t>交通</w:t>
            </w:r>
          </w:p>
          <w:p>
            <w:pPr>
              <w:widowControl/>
              <w:jc w:val="center"/>
              <w:textAlignment w:val="center"/>
              <w:rPr>
                <w:rFonts w:eastAsiaTheme="minorEastAsia"/>
                <w:szCs w:val="21"/>
              </w:rPr>
            </w:pPr>
            <w:r>
              <w:rPr>
                <w:rFonts w:eastAsiaTheme="minorEastAsia"/>
                <w:szCs w:val="21"/>
              </w:rPr>
              <w:t>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63.1</w:t>
            </w:r>
          </w:p>
        </w:tc>
        <w:tc>
          <w:tcPr>
            <w:tcW w:w="851" w:type="dxa"/>
            <w:vAlign w:val="center"/>
          </w:tcPr>
          <w:p>
            <w:pPr>
              <w:jc w:val="center"/>
              <w:rPr>
                <w:szCs w:val="21"/>
              </w:rPr>
            </w:pPr>
            <w:r>
              <w:rPr>
                <w:szCs w:val="21"/>
              </w:rPr>
              <w:t>57.0</w:t>
            </w:r>
          </w:p>
        </w:tc>
        <w:tc>
          <w:tcPr>
            <w:tcW w:w="850" w:type="dxa"/>
            <w:vAlign w:val="center"/>
          </w:tcPr>
          <w:p>
            <w:pPr>
              <w:jc w:val="center"/>
              <w:rPr>
                <w:rFonts w:eastAsiaTheme="minorEastAsia"/>
                <w:szCs w:val="21"/>
              </w:rPr>
            </w:pPr>
            <w:r>
              <w:rPr>
                <w:rFonts w:eastAsiaTheme="minorEastAsia"/>
                <w:szCs w:val="21"/>
              </w:rPr>
              <w:t>/</w:t>
            </w:r>
          </w:p>
        </w:tc>
        <w:tc>
          <w:tcPr>
            <w:tcW w:w="851" w:type="dxa"/>
            <w:vAlign w:val="center"/>
          </w:tcPr>
          <w:p>
            <w:pPr>
              <w:jc w:val="center"/>
              <w:rPr>
                <w:rFonts w:eastAsiaTheme="minorEastAsia"/>
                <w:szCs w:val="21"/>
              </w:rPr>
            </w:pPr>
            <w:r>
              <w:rPr>
                <w:rFonts w:eastAsiaTheme="minorEastAsia"/>
                <w:szCs w:val="21"/>
              </w:rPr>
              <w:t>+2</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4a类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center"/>
              <w:rPr>
                <w:rFonts w:eastAsiaTheme="minorEastAsia"/>
                <w:szCs w:val="21"/>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62.4</w:t>
            </w:r>
          </w:p>
        </w:tc>
        <w:tc>
          <w:tcPr>
            <w:tcW w:w="851" w:type="dxa"/>
            <w:vAlign w:val="center"/>
          </w:tcPr>
          <w:p>
            <w:pPr>
              <w:jc w:val="center"/>
              <w:rPr>
                <w:szCs w:val="21"/>
              </w:rPr>
            </w:pPr>
            <w:r>
              <w:rPr>
                <w:szCs w:val="21"/>
              </w:rPr>
              <w:t>57.8</w:t>
            </w:r>
          </w:p>
        </w:tc>
        <w:tc>
          <w:tcPr>
            <w:tcW w:w="850" w:type="dxa"/>
            <w:vAlign w:val="center"/>
          </w:tcPr>
          <w:p>
            <w:pPr>
              <w:jc w:val="center"/>
              <w:rPr>
                <w:rFonts w:eastAsiaTheme="minorEastAsia"/>
                <w:szCs w:val="21"/>
              </w:rPr>
            </w:pPr>
            <w:r>
              <w:rPr>
                <w:rFonts w:eastAsiaTheme="minorEastAsia"/>
                <w:szCs w:val="21"/>
              </w:rPr>
              <w:t>/</w:t>
            </w:r>
          </w:p>
        </w:tc>
        <w:tc>
          <w:tcPr>
            <w:tcW w:w="851" w:type="dxa"/>
            <w:vAlign w:val="center"/>
          </w:tcPr>
          <w:p>
            <w:pPr>
              <w:jc w:val="center"/>
              <w:rPr>
                <w:rFonts w:eastAsiaTheme="minorEastAsia"/>
                <w:szCs w:val="21"/>
              </w:rPr>
            </w:pPr>
            <w:r>
              <w:rPr>
                <w:rFonts w:eastAsiaTheme="minorEastAsia"/>
                <w:szCs w:val="21"/>
              </w:rPr>
              <w:t>+2.8</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2#</w:t>
            </w:r>
          </w:p>
        </w:tc>
        <w:tc>
          <w:tcPr>
            <w:tcW w:w="2268" w:type="dxa"/>
            <w:gridSpan w:val="2"/>
            <w:vMerge w:val="restart"/>
            <w:vAlign w:val="center"/>
          </w:tcPr>
          <w:p>
            <w:pPr>
              <w:widowControl/>
              <w:jc w:val="center"/>
              <w:textAlignment w:val="baseline"/>
              <w:rPr>
                <w:rFonts w:eastAsiaTheme="minorEastAsia"/>
                <w:bCs/>
                <w:kern w:val="0"/>
                <w:szCs w:val="21"/>
                <w:u w:color="000000"/>
                <w:lang w:val="zh-CN" w:eastAsia="zh-CN"/>
              </w:rPr>
            </w:pPr>
            <w:r>
              <w:rPr>
                <w:bCs/>
                <w:szCs w:val="21"/>
              </w:rPr>
              <w:t>场界东侧</w:t>
            </w:r>
          </w:p>
        </w:tc>
        <w:tc>
          <w:tcPr>
            <w:tcW w:w="853" w:type="dxa"/>
            <w:vMerge w:val="restart"/>
            <w:vAlign w:val="center"/>
          </w:tcPr>
          <w:p>
            <w:pPr>
              <w:widowControl/>
              <w:jc w:val="center"/>
              <w:textAlignment w:val="center"/>
              <w:rPr>
                <w:rFonts w:eastAsiaTheme="minorEastAsia"/>
                <w:szCs w:val="21"/>
              </w:rPr>
            </w:pPr>
            <w:r>
              <w:rPr>
                <w:rFonts w:eastAsiaTheme="minorEastAsia"/>
                <w:szCs w:val="21"/>
              </w:rPr>
              <w:t>社会生活噪声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48.9</w:t>
            </w:r>
          </w:p>
        </w:tc>
        <w:tc>
          <w:tcPr>
            <w:tcW w:w="851" w:type="dxa"/>
            <w:vAlign w:val="center"/>
          </w:tcPr>
          <w:p>
            <w:pPr>
              <w:jc w:val="center"/>
              <w:rPr>
                <w:szCs w:val="21"/>
              </w:rPr>
            </w:pPr>
            <w:r>
              <w:rPr>
                <w:szCs w:val="21"/>
              </w:rPr>
              <w:t>44.2</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48.5</w:t>
            </w:r>
          </w:p>
        </w:tc>
        <w:tc>
          <w:tcPr>
            <w:tcW w:w="851" w:type="dxa"/>
            <w:vAlign w:val="center"/>
          </w:tcPr>
          <w:p>
            <w:pPr>
              <w:jc w:val="center"/>
              <w:rPr>
                <w:szCs w:val="21"/>
              </w:rPr>
            </w:pPr>
            <w:r>
              <w:rPr>
                <w:szCs w:val="21"/>
              </w:rPr>
              <w:t>44.1</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3#</w:t>
            </w:r>
          </w:p>
        </w:tc>
        <w:tc>
          <w:tcPr>
            <w:tcW w:w="2268" w:type="dxa"/>
            <w:gridSpan w:val="2"/>
            <w:vMerge w:val="restart"/>
            <w:vAlign w:val="center"/>
          </w:tcPr>
          <w:p>
            <w:pPr>
              <w:widowControl/>
              <w:jc w:val="center"/>
              <w:textAlignment w:val="baseline"/>
              <w:rPr>
                <w:rFonts w:eastAsiaTheme="minorEastAsia"/>
                <w:bCs/>
                <w:kern w:val="0"/>
                <w:szCs w:val="21"/>
                <w:u w:color="000000"/>
                <w:lang w:val="zh-CN" w:eastAsia="zh-CN"/>
              </w:rPr>
            </w:pPr>
            <w:r>
              <w:rPr>
                <w:bCs/>
                <w:szCs w:val="21"/>
              </w:rPr>
              <w:t>场界西侧</w:t>
            </w:r>
          </w:p>
        </w:tc>
        <w:tc>
          <w:tcPr>
            <w:tcW w:w="853" w:type="dxa"/>
            <w:vMerge w:val="restart"/>
            <w:vAlign w:val="center"/>
          </w:tcPr>
          <w:p>
            <w:pPr>
              <w:widowControl/>
              <w:jc w:val="center"/>
              <w:textAlignment w:val="center"/>
              <w:rPr>
                <w:rFonts w:eastAsiaTheme="minorEastAsia"/>
                <w:szCs w:val="21"/>
              </w:rPr>
            </w:pPr>
            <w:r>
              <w:rPr>
                <w:rFonts w:eastAsiaTheme="minorEastAsia"/>
                <w:szCs w:val="21"/>
              </w:rPr>
              <w:t>社会生活噪声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48.9</w:t>
            </w:r>
          </w:p>
        </w:tc>
        <w:tc>
          <w:tcPr>
            <w:tcW w:w="851" w:type="dxa"/>
            <w:vAlign w:val="center"/>
          </w:tcPr>
          <w:p>
            <w:pPr>
              <w:jc w:val="center"/>
              <w:rPr>
                <w:szCs w:val="21"/>
              </w:rPr>
            </w:pPr>
            <w:r>
              <w:rPr>
                <w:szCs w:val="21"/>
              </w:rPr>
              <w:t>44.7</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47.6</w:t>
            </w:r>
          </w:p>
        </w:tc>
        <w:tc>
          <w:tcPr>
            <w:tcW w:w="851" w:type="dxa"/>
            <w:vAlign w:val="center"/>
          </w:tcPr>
          <w:p>
            <w:pPr>
              <w:jc w:val="center"/>
              <w:rPr>
                <w:szCs w:val="21"/>
              </w:rPr>
            </w:pPr>
            <w:r>
              <w:rPr>
                <w:szCs w:val="21"/>
              </w:rPr>
              <w:t>45.2</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4#</w:t>
            </w:r>
          </w:p>
        </w:tc>
        <w:tc>
          <w:tcPr>
            <w:tcW w:w="2268" w:type="dxa"/>
            <w:gridSpan w:val="2"/>
            <w:vMerge w:val="restart"/>
            <w:vAlign w:val="center"/>
          </w:tcPr>
          <w:p>
            <w:pPr>
              <w:widowControl/>
              <w:jc w:val="center"/>
              <w:textAlignment w:val="baseline"/>
              <w:rPr>
                <w:rFonts w:eastAsiaTheme="minorEastAsia"/>
                <w:bCs/>
                <w:kern w:val="0"/>
                <w:szCs w:val="21"/>
                <w:u w:color="000000"/>
                <w:lang w:val="zh-CN" w:eastAsia="zh-CN"/>
              </w:rPr>
            </w:pPr>
            <w:r>
              <w:rPr>
                <w:bCs/>
                <w:szCs w:val="21"/>
              </w:rPr>
              <w:t>场界南侧</w:t>
            </w:r>
          </w:p>
        </w:tc>
        <w:tc>
          <w:tcPr>
            <w:tcW w:w="853" w:type="dxa"/>
            <w:vMerge w:val="restart"/>
            <w:vAlign w:val="center"/>
          </w:tcPr>
          <w:p>
            <w:pPr>
              <w:widowControl/>
              <w:jc w:val="center"/>
              <w:textAlignment w:val="center"/>
              <w:rPr>
                <w:rFonts w:eastAsiaTheme="minorEastAsia"/>
                <w:szCs w:val="21"/>
              </w:rPr>
            </w:pPr>
            <w:r>
              <w:rPr>
                <w:rFonts w:eastAsiaTheme="minorEastAsia"/>
                <w:szCs w:val="21"/>
              </w:rPr>
              <w:t>交通</w:t>
            </w:r>
          </w:p>
          <w:p>
            <w:pPr>
              <w:widowControl/>
              <w:jc w:val="center"/>
              <w:textAlignment w:val="center"/>
              <w:rPr>
                <w:rFonts w:eastAsiaTheme="minorEastAsia"/>
                <w:szCs w:val="21"/>
              </w:rPr>
            </w:pPr>
            <w:r>
              <w:rPr>
                <w:rFonts w:eastAsiaTheme="minorEastAsia"/>
                <w:szCs w:val="21"/>
              </w:rPr>
              <w:t>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49.4</w:t>
            </w:r>
          </w:p>
        </w:tc>
        <w:tc>
          <w:tcPr>
            <w:tcW w:w="851" w:type="dxa"/>
            <w:vAlign w:val="center"/>
          </w:tcPr>
          <w:p>
            <w:pPr>
              <w:jc w:val="center"/>
              <w:rPr>
                <w:szCs w:val="21"/>
              </w:rPr>
            </w:pPr>
            <w:r>
              <w:rPr>
                <w:szCs w:val="21"/>
              </w:rPr>
              <w:t>44.5</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4a类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47.6</w:t>
            </w:r>
          </w:p>
        </w:tc>
        <w:tc>
          <w:tcPr>
            <w:tcW w:w="851" w:type="dxa"/>
            <w:vAlign w:val="center"/>
          </w:tcPr>
          <w:p>
            <w:pPr>
              <w:jc w:val="center"/>
              <w:rPr>
                <w:szCs w:val="21"/>
              </w:rPr>
            </w:pPr>
            <w:r>
              <w:rPr>
                <w:szCs w:val="21"/>
              </w:rPr>
              <w:t xml:space="preserve">45.1                </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5#</w:t>
            </w:r>
          </w:p>
        </w:tc>
        <w:tc>
          <w:tcPr>
            <w:tcW w:w="2268" w:type="dxa"/>
            <w:gridSpan w:val="2"/>
            <w:vMerge w:val="restart"/>
            <w:vAlign w:val="center"/>
          </w:tcPr>
          <w:p>
            <w:pPr>
              <w:widowControl/>
              <w:jc w:val="center"/>
              <w:textAlignment w:val="baseline"/>
              <w:rPr>
                <w:rFonts w:eastAsiaTheme="minorEastAsia"/>
                <w:bCs/>
                <w:kern w:val="0"/>
                <w:szCs w:val="21"/>
                <w:u w:color="000000"/>
                <w:lang w:val="zh-CN" w:eastAsia="zh-CN"/>
              </w:rPr>
            </w:pPr>
            <w:r>
              <w:rPr>
                <w:bCs/>
                <w:szCs w:val="21"/>
              </w:rPr>
              <w:t>桂溪湖村</w:t>
            </w:r>
          </w:p>
        </w:tc>
        <w:tc>
          <w:tcPr>
            <w:tcW w:w="853" w:type="dxa"/>
            <w:vMerge w:val="restart"/>
            <w:vAlign w:val="center"/>
          </w:tcPr>
          <w:p>
            <w:pPr>
              <w:widowControl/>
              <w:jc w:val="center"/>
              <w:textAlignment w:val="center"/>
              <w:rPr>
                <w:rFonts w:eastAsiaTheme="minorEastAsia"/>
                <w:szCs w:val="21"/>
              </w:rPr>
            </w:pPr>
            <w:r>
              <w:rPr>
                <w:rFonts w:eastAsiaTheme="minorEastAsia"/>
                <w:szCs w:val="21"/>
              </w:rPr>
              <w:t>社会生活噪声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46.7</w:t>
            </w:r>
          </w:p>
        </w:tc>
        <w:tc>
          <w:tcPr>
            <w:tcW w:w="851" w:type="dxa"/>
            <w:vAlign w:val="center"/>
          </w:tcPr>
          <w:p>
            <w:pPr>
              <w:jc w:val="center"/>
              <w:rPr>
                <w:szCs w:val="21"/>
              </w:rPr>
            </w:pPr>
            <w:r>
              <w:rPr>
                <w:szCs w:val="21"/>
              </w:rPr>
              <w:t>44.0</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2268" w:type="dxa"/>
            <w:gridSpan w:val="2"/>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45.7</w:t>
            </w:r>
          </w:p>
        </w:tc>
        <w:tc>
          <w:tcPr>
            <w:tcW w:w="851" w:type="dxa"/>
            <w:vAlign w:val="center"/>
          </w:tcPr>
          <w:p>
            <w:pPr>
              <w:jc w:val="center"/>
              <w:rPr>
                <w:szCs w:val="21"/>
              </w:rPr>
            </w:pPr>
            <w:r>
              <w:rPr>
                <w:szCs w:val="21"/>
              </w:rPr>
              <w:t>44.0</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restart"/>
            <w:vAlign w:val="center"/>
          </w:tcPr>
          <w:p>
            <w:pPr>
              <w:jc w:val="center"/>
              <w:rPr>
                <w:rFonts w:eastAsiaTheme="minorEastAsia"/>
                <w:szCs w:val="21"/>
              </w:rPr>
            </w:pPr>
            <w:r>
              <w:rPr>
                <w:rFonts w:eastAsiaTheme="minorEastAsia"/>
                <w:szCs w:val="21"/>
              </w:rPr>
              <w:t>6#</w:t>
            </w:r>
          </w:p>
        </w:tc>
        <w:tc>
          <w:tcPr>
            <w:tcW w:w="656" w:type="dxa"/>
            <w:vMerge w:val="restart"/>
            <w:vAlign w:val="center"/>
          </w:tcPr>
          <w:p>
            <w:pPr>
              <w:widowControl/>
              <w:jc w:val="center"/>
              <w:textAlignment w:val="baseline"/>
              <w:rPr>
                <w:rFonts w:eastAsiaTheme="minorEastAsia"/>
                <w:bCs/>
                <w:kern w:val="0"/>
                <w:szCs w:val="21"/>
                <w:u w:color="000000"/>
                <w:lang w:val="zh-CN" w:eastAsia="zh-CN"/>
              </w:rPr>
            </w:pPr>
            <w:r>
              <w:rPr>
                <w:rFonts w:eastAsiaTheme="minorEastAsia"/>
                <w:bCs/>
                <w:kern w:val="0"/>
                <w:szCs w:val="21"/>
                <w:u w:color="000000"/>
                <w:lang w:val="zh-CN" w:eastAsia="zh-CN"/>
              </w:rPr>
              <w:t>垭子山村</w:t>
            </w:r>
          </w:p>
        </w:tc>
        <w:tc>
          <w:tcPr>
            <w:tcW w:w="1612" w:type="dxa"/>
            <w:vMerge w:val="restart"/>
            <w:vAlign w:val="center"/>
          </w:tcPr>
          <w:p>
            <w:pPr>
              <w:widowControl/>
              <w:jc w:val="center"/>
              <w:textAlignment w:val="center"/>
              <w:rPr>
                <w:rFonts w:eastAsiaTheme="minorEastAsia"/>
                <w:szCs w:val="21"/>
              </w:rPr>
            </w:pPr>
            <w:r>
              <w:rPr>
                <w:rFonts w:eastAsiaTheme="minorEastAsia"/>
                <w:szCs w:val="21"/>
              </w:rPr>
              <w:t>距离道路20m</w:t>
            </w:r>
          </w:p>
        </w:tc>
        <w:tc>
          <w:tcPr>
            <w:tcW w:w="853" w:type="dxa"/>
            <w:vMerge w:val="restart"/>
            <w:vAlign w:val="center"/>
          </w:tcPr>
          <w:p>
            <w:pPr>
              <w:widowControl/>
              <w:jc w:val="center"/>
              <w:textAlignment w:val="center"/>
              <w:rPr>
                <w:rFonts w:eastAsiaTheme="minorEastAsia"/>
                <w:szCs w:val="21"/>
              </w:rPr>
            </w:pPr>
            <w:r>
              <w:rPr>
                <w:rFonts w:eastAsiaTheme="minorEastAsia"/>
                <w:szCs w:val="21"/>
              </w:rPr>
              <w:t>交通</w:t>
            </w:r>
          </w:p>
          <w:p>
            <w:pPr>
              <w:widowControl/>
              <w:jc w:val="center"/>
              <w:textAlignment w:val="center"/>
              <w:rPr>
                <w:rFonts w:eastAsiaTheme="minorEastAsia"/>
                <w:szCs w:val="21"/>
              </w:rPr>
            </w:pPr>
            <w:r>
              <w:rPr>
                <w:rFonts w:eastAsiaTheme="minorEastAsia"/>
                <w:szCs w:val="21"/>
              </w:rPr>
              <w:t>噪声、社会生活噪声</w:t>
            </w: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59.5</w:t>
            </w:r>
          </w:p>
        </w:tc>
        <w:tc>
          <w:tcPr>
            <w:tcW w:w="851" w:type="dxa"/>
            <w:vAlign w:val="center"/>
          </w:tcPr>
          <w:p>
            <w:pPr>
              <w:jc w:val="center"/>
              <w:rPr>
                <w:szCs w:val="21"/>
              </w:rPr>
            </w:pPr>
            <w:r>
              <w:rPr>
                <w:szCs w:val="21"/>
              </w:rPr>
              <w:t>53.5</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4a类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58.5</w:t>
            </w:r>
          </w:p>
        </w:tc>
        <w:tc>
          <w:tcPr>
            <w:tcW w:w="851" w:type="dxa"/>
            <w:vAlign w:val="center"/>
          </w:tcPr>
          <w:p>
            <w:pPr>
              <w:jc w:val="center"/>
              <w:rPr>
                <w:szCs w:val="21"/>
              </w:rPr>
            </w:pPr>
            <w:r>
              <w:rPr>
                <w:szCs w:val="21"/>
              </w:rPr>
              <w:t>53.1</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restart"/>
            <w:vAlign w:val="center"/>
          </w:tcPr>
          <w:p>
            <w:pPr>
              <w:widowControl/>
              <w:jc w:val="center"/>
              <w:textAlignment w:val="center"/>
              <w:rPr>
                <w:rFonts w:eastAsiaTheme="minorEastAsia"/>
                <w:szCs w:val="21"/>
              </w:rPr>
            </w:pPr>
            <w:r>
              <w:rPr>
                <w:rFonts w:eastAsiaTheme="minorEastAsia"/>
                <w:szCs w:val="21"/>
              </w:rPr>
              <w:t>距离道路40m</w:t>
            </w: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58.6</w:t>
            </w:r>
          </w:p>
        </w:tc>
        <w:tc>
          <w:tcPr>
            <w:tcW w:w="851" w:type="dxa"/>
            <w:vAlign w:val="center"/>
          </w:tcPr>
          <w:p>
            <w:pPr>
              <w:jc w:val="center"/>
              <w:rPr>
                <w:szCs w:val="21"/>
              </w:rPr>
            </w:pPr>
            <w:r>
              <w:rPr>
                <w:szCs w:val="21"/>
              </w:rPr>
              <w:t>52.4</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4a类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56.5</w:t>
            </w:r>
          </w:p>
        </w:tc>
        <w:tc>
          <w:tcPr>
            <w:tcW w:w="851" w:type="dxa"/>
            <w:vAlign w:val="center"/>
          </w:tcPr>
          <w:p>
            <w:pPr>
              <w:jc w:val="center"/>
              <w:rPr>
                <w:szCs w:val="21"/>
              </w:rPr>
            </w:pPr>
            <w:r>
              <w:rPr>
                <w:szCs w:val="21"/>
              </w:rPr>
              <w:t>52.4</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restart"/>
            <w:vAlign w:val="center"/>
          </w:tcPr>
          <w:p>
            <w:pPr>
              <w:widowControl/>
              <w:jc w:val="center"/>
              <w:textAlignment w:val="center"/>
              <w:rPr>
                <w:rFonts w:eastAsiaTheme="minorEastAsia"/>
                <w:szCs w:val="21"/>
              </w:rPr>
            </w:pPr>
            <w:r>
              <w:rPr>
                <w:rFonts w:eastAsiaTheme="minorEastAsia"/>
                <w:szCs w:val="21"/>
              </w:rPr>
              <w:t>距离道路60m</w:t>
            </w: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56.9</w:t>
            </w:r>
          </w:p>
        </w:tc>
        <w:tc>
          <w:tcPr>
            <w:tcW w:w="851" w:type="dxa"/>
            <w:vAlign w:val="center"/>
          </w:tcPr>
          <w:p>
            <w:pPr>
              <w:jc w:val="center"/>
              <w:rPr>
                <w:szCs w:val="21"/>
              </w:rPr>
            </w:pPr>
            <w:r>
              <w:rPr>
                <w:szCs w:val="21"/>
              </w:rPr>
              <w:t>51.0</w:t>
            </w:r>
          </w:p>
        </w:tc>
        <w:tc>
          <w:tcPr>
            <w:tcW w:w="850" w:type="dxa"/>
            <w:vAlign w:val="center"/>
          </w:tcPr>
          <w:p>
            <w:pPr>
              <w:jc w:val="center"/>
              <w:rPr>
                <w:rFonts w:eastAsiaTheme="minorEastAsia"/>
                <w:szCs w:val="21"/>
              </w:rPr>
            </w:pPr>
            <w:r>
              <w:rPr>
                <w:rFonts w:eastAsiaTheme="minorEastAsia"/>
                <w:szCs w:val="21"/>
              </w:rPr>
              <w:t>/</w:t>
            </w:r>
          </w:p>
        </w:tc>
        <w:tc>
          <w:tcPr>
            <w:tcW w:w="851" w:type="dxa"/>
            <w:vAlign w:val="center"/>
          </w:tcPr>
          <w:p>
            <w:pPr>
              <w:jc w:val="center"/>
              <w:rPr>
                <w:rFonts w:eastAsiaTheme="minorEastAsia"/>
                <w:szCs w:val="21"/>
              </w:rPr>
            </w:pPr>
            <w:r>
              <w:rPr>
                <w:rFonts w:eastAsiaTheme="minorEastAsia"/>
                <w:szCs w:val="21"/>
              </w:rPr>
              <w:t>+1.0</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55.3</w:t>
            </w:r>
          </w:p>
        </w:tc>
        <w:tc>
          <w:tcPr>
            <w:tcW w:w="851" w:type="dxa"/>
            <w:vAlign w:val="center"/>
          </w:tcPr>
          <w:p>
            <w:pPr>
              <w:jc w:val="center"/>
              <w:rPr>
                <w:szCs w:val="21"/>
              </w:rPr>
            </w:pPr>
            <w:r>
              <w:rPr>
                <w:szCs w:val="21"/>
              </w:rPr>
              <w:t>51.0</w:t>
            </w:r>
          </w:p>
        </w:tc>
        <w:tc>
          <w:tcPr>
            <w:tcW w:w="850" w:type="dxa"/>
            <w:vAlign w:val="center"/>
          </w:tcPr>
          <w:p>
            <w:pPr>
              <w:jc w:val="center"/>
              <w:rPr>
                <w:rFonts w:eastAsiaTheme="minorEastAsia"/>
                <w:szCs w:val="21"/>
              </w:rPr>
            </w:pPr>
            <w:r>
              <w:rPr>
                <w:rFonts w:eastAsiaTheme="minorEastAsia"/>
                <w:szCs w:val="21"/>
              </w:rPr>
              <w:t>/</w:t>
            </w:r>
          </w:p>
        </w:tc>
        <w:tc>
          <w:tcPr>
            <w:tcW w:w="851" w:type="dxa"/>
            <w:vAlign w:val="center"/>
          </w:tcPr>
          <w:p>
            <w:pPr>
              <w:jc w:val="center"/>
              <w:rPr>
                <w:rFonts w:eastAsiaTheme="minorEastAsia"/>
                <w:szCs w:val="21"/>
              </w:rPr>
            </w:pPr>
            <w:r>
              <w:rPr>
                <w:rFonts w:eastAsiaTheme="minorEastAsia"/>
                <w:szCs w:val="21"/>
              </w:rPr>
              <w:t>+1.0</w:t>
            </w:r>
          </w:p>
        </w:tc>
        <w:tc>
          <w:tcPr>
            <w:tcW w:w="967" w:type="dxa"/>
            <w:vMerge w:val="continue"/>
            <w:vAlign w:val="center"/>
          </w:tcPr>
          <w:p>
            <w:pPr>
              <w:widowControl/>
              <w:jc w:val="center"/>
              <w:textAlignment w:val="center"/>
              <w:rPr>
                <w:rFonts w:eastAsia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restart"/>
            <w:vAlign w:val="center"/>
          </w:tcPr>
          <w:p>
            <w:pPr>
              <w:widowControl/>
              <w:jc w:val="center"/>
              <w:textAlignment w:val="center"/>
              <w:rPr>
                <w:rFonts w:eastAsiaTheme="minorEastAsia"/>
                <w:szCs w:val="21"/>
              </w:rPr>
            </w:pPr>
            <w:r>
              <w:rPr>
                <w:rFonts w:eastAsiaTheme="minorEastAsia"/>
                <w:szCs w:val="21"/>
              </w:rPr>
              <w:t>距离道路120m</w:t>
            </w: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11月19日</w:t>
            </w:r>
          </w:p>
        </w:tc>
        <w:tc>
          <w:tcPr>
            <w:tcW w:w="850" w:type="dxa"/>
            <w:vAlign w:val="center"/>
          </w:tcPr>
          <w:p>
            <w:pPr>
              <w:jc w:val="center"/>
              <w:rPr>
                <w:szCs w:val="21"/>
              </w:rPr>
            </w:pPr>
            <w:r>
              <w:rPr>
                <w:szCs w:val="21"/>
              </w:rPr>
              <w:t>54.1</w:t>
            </w:r>
          </w:p>
        </w:tc>
        <w:tc>
          <w:tcPr>
            <w:tcW w:w="851" w:type="dxa"/>
            <w:vAlign w:val="center"/>
          </w:tcPr>
          <w:p>
            <w:pPr>
              <w:jc w:val="center"/>
              <w:rPr>
                <w:szCs w:val="21"/>
              </w:rPr>
            </w:pPr>
            <w:r>
              <w:rPr>
                <w:szCs w:val="21"/>
              </w:rPr>
              <w:t>49.5</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restart"/>
            <w:vAlign w:val="center"/>
          </w:tcPr>
          <w:p>
            <w:pPr>
              <w:widowControl/>
              <w:jc w:val="center"/>
              <w:textAlignment w:val="center"/>
              <w:rPr>
                <w:rFonts w:eastAsiaTheme="minorEastAsia"/>
                <w:kern w:val="0"/>
                <w:szCs w:val="21"/>
              </w:rPr>
            </w:pPr>
            <w:r>
              <w:rPr>
                <w:rFonts w:eastAsiaTheme="minorEastAsia"/>
                <w:kern w:val="0"/>
                <w:szCs w:val="21"/>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06" w:type="dxa"/>
            <w:vMerge w:val="continue"/>
            <w:vAlign w:val="center"/>
          </w:tcPr>
          <w:p>
            <w:pPr>
              <w:jc w:val="center"/>
              <w:rPr>
                <w:rFonts w:eastAsiaTheme="minorEastAsia"/>
                <w:szCs w:val="21"/>
              </w:rPr>
            </w:pPr>
          </w:p>
        </w:tc>
        <w:tc>
          <w:tcPr>
            <w:tcW w:w="656" w:type="dxa"/>
            <w:vMerge w:val="continue"/>
            <w:vAlign w:val="center"/>
          </w:tcPr>
          <w:p>
            <w:pPr>
              <w:widowControl/>
              <w:jc w:val="center"/>
              <w:textAlignment w:val="baseline"/>
              <w:rPr>
                <w:rFonts w:eastAsiaTheme="minorEastAsia"/>
                <w:bCs/>
                <w:kern w:val="0"/>
                <w:szCs w:val="21"/>
                <w:u w:color="000000"/>
                <w:lang w:val="zh-CN" w:eastAsia="zh-CN"/>
              </w:rPr>
            </w:pPr>
          </w:p>
        </w:tc>
        <w:tc>
          <w:tcPr>
            <w:tcW w:w="1612" w:type="dxa"/>
            <w:vMerge w:val="continue"/>
            <w:vAlign w:val="center"/>
          </w:tcPr>
          <w:p>
            <w:pPr>
              <w:widowControl/>
              <w:jc w:val="center"/>
              <w:textAlignment w:val="baseline"/>
              <w:rPr>
                <w:rFonts w:eastAsiaTheme="minorEastAsia"/>
                <w:bCs/>
                <w:kern w:val="0"/>
                <w:szCs w:val="21"/>
                <w:u w:color="000000"/>
                <w:lang w:val="zh-CN" w:eastAsia="zh-CN"/>
              </w:rPr>
            </w:pPr>
          </w:p>
        </w:tc>
        <w:tc>
          <w:tcPr>
            <w:tcW w:w="853" w:type="dxa"/>
            <w:vMerge w:val="continue"/>
            <w:vAlign w:val="center"/>
          </w:tcPr>
          <w:p>
            <w:pPr>
              <w:widowControl/>
              <w:jc w:val="center"/>
              <w:textAlignment w:val="center"/>
              <w:rPr>
                <w:rFonts w:eastAsiaTheme="minorEastAsia"/>
                <w:szCs w:val="21"/>
              </w:rPr>
            </w:pPr>
          </w:p>
        </w:tc>
        <w:tc>
          <w:tcPr>
            <w:tcW w:w="1274" w:type="dxa"/>
            <w:vAlign w:val="center"/>
          </w:tcPr>
          <w:p>
            <w:pPr>
              <w:widowControl/>
              <w:spacing w:line="240" w:lineRule="exact"/>
              <w:jc w:val="center"/>
              <w:textAlignment w:val="center"/>
              <w:rPr>
                <w:szCs w:val="21"/>
              </w:rPr>
            </w:pPr>
            <w:r>
              <w:rPr>
                <w:szCs w:val="21"/>
              </w:rPr>
              <w:t>11月20日</w:t>
            </w:r>
          </w:p>
        </w:tc>
        <w:tc>
          <w:tcPr>
            <w:tcW w:w="850" w:type="dxa"/>
            <w:vAlign w:val="center"/>
          </w:tcPr>
          <w:p>
            <w:pPr>
              <w:jc w:val="center"/>
              <w:rPr>
                <w:szCs w:val="21"/>
              </w:rPr>
            </w:pPr>
            <w:r>
              <w:rPr>
                <w:szCs w:val="21"/>
              </w:rPr>
              <w:t>54.6</w:t>
            </w:r>
          </w:p>
        </w:tc>
        <w:tc>
          <w:tcPr>
            <w:tcW w:w="851" w:type="dxa"/>
            <w:vAlign w:val="center"/>
          </w:tcPr>
          <w:p>
            <w:pPr>
              <w:jc w:val="center"/>
              <w:rPr>
                <w:szCs w:val="21"/>
              </w:rPr>
            </w:pPr>
            <w:r>
              <w:rPr>
                <w:szCs w:val="21"/>
              </w:rPr>
              <w:t>48.9</w:t>
            </w:r>
          </w:p>
        </w:tc>
        <w:tc>
          <w:tcPr>
            <w:tcW w:w="850" w:type="dxa"/>
          </w:tcPr>
          <w:p>
            <w:pPr>
              <w:jc w:val="center"/>
              <w:rPr>
                <w:szCs w:val="21"/>
              </w:rPr>
            </w:pPr>
            <w:r>
              <w:rPr>
                <w:rFonts w:eastAsiaTheme="minorEastAsia"/>
                <w:szCs w:val="21"/>
              </w:rPr>
              <w:t>/</w:t>
            </w:r>
          </w:p>
        </w:tc>
        <w:tc>
          <w:tcPr>
            <w:tcW w:w="851" w:type="dxa"/>
          </w:tcPr>
          <w:p>
            <w:pPr>
              <w:jc w:val="center"/>
              <w:rPr>
                <w:szCs w:val="21"/>
              </w:rPr>
            </w:pPr>
            <w:r>
              <w:rPr>
                <w:rFonts w:eastAsiaTheme="minorEastAsia"/>
                <w:szCs w:val="21"/>
              </w:rPr>
              <w:t>/</w:t>
            </w:r>
          </w:p>
        </w:tc>
        <w:tc>
          <w:tcPr>
            <w:tcW w:w="967" w:type="dxa"/>
            <w:vMerge w:val="continue"/>
            <w:vAlign w:val="center"/>
          </w:tcPr>
          <w:p>
            <w:pPr>
              <w:widowControl/>
              <w:jc w:val="center"/>
              <w:textAlignment w:val="center"/>
              <w:rPr>
                <w:rFonts w:eastAsiaTheme="minorEastAsia"/>
                <w:kern w:val="0"/>
                <w:szCs w:val="21"/>
              </w:rPr>
            </w:pPr>
          </w:p>
        </w:tc>
      </w:tr>
    </w:tbl>
    <w:p>
      <w:pPr>
        <w:spacing w:line="360" w:lineRule="auto"/>
        <w:ind w:firstLine="480" w:firstLineChars="200"/>
        <w:rPr>
          <w:sz w:val="24"/>
        </w:rPr>
      </w:pPr>
      <w:r>
        <w:rPr>
          <w:rFonts w:hint="eastAsia"/>
          <w:sz w:val="24"/>
        </w:rPr>
        <w:t>从表3.4-2现状监测结果可以看出，北侧场界临近在建318国道，昼间噪声达标，夜间超标2~2.8</w:t>
      </w:r>
      <w:r>
        <w:rPr>
          <w:sz w:val="24"/>
        </w:rPr>
        <w:t>dB(A)</w:t>
      </w:r>
      <w:r>
        <w:rPr>
          <w:rFonts w:hint="eastAsia"/>
          <w:sz w:val="24"/>
        </w:rPr>
        <w:t>；东侧、西侧、南侧场界均满足相关标准要求；噪声敏感点桂溪湖村昼夜噪声均满足2类标准要求，垭子山村距离道路60m，噪声昼间达标，夜间超标1.0</w:t>
      </w:r>
      <w:r>
        <w:rPr>
          <w:sz w:val="24"/>
        </w:rPr>
        <w:t xml:space="preserve"> dB(A)</w:t>
      </w:r>
      <w:r>
        <w:rPr>
          <w:rFonts w:hint="eastAsia"/>
          <w:sz w:val="24"/>
        </w:rPr>
        <w:t>，主要受318国道交通噪声影响。</w:t>
      </w:r>
    </w:p>
    <w:p>
      <w:pPr>
        <w:pStyle w:val="3"/>
        <w:tabs>
          <w:tab w:val="left" w:pos="426"/>
        </w:tabs>
        <w:ind w:left="0" w:firstLine="0"/>
      </w:pPr>
      <w:bookmarkStart w:id="122" w:name="_Toc442195701"/>
      <w:r>
        <w:rPr>
          <w:rFonts w:hint="eastAsia"/>
        </w:rPr>
        <w:t>地表水</w:t>
      </w:r>
      <w:r>
        <w:t>环境</w:t>
      </w:r>
      <w:r>
        <w:rPr>
          <w:rFonts w:hint="eastAsia"/>
        </w:rPr>
        <w:t>质量现状监测与评价</w:t>
      </w:r>
      <w:bookmarkEnd w:id="122"/>
    </w:p>
    <w:p>
      <w:pPr>
        <w:pStyle w:val="5"/>
        <w:tabs>
          <w:tab w:val="left" w:pos="720"/>
        </w:tabs>
        <w:ind w:left="720"/>
        <w:rPr>
          <w:rFonts w:ascii="宋体" w:hAnsi="宋体" w:eastAsia="宋体"/>
          <w:b/>
          <w:sz w:val="28"/>
          <w:szCs w:val="28"/>
        </w:rPr>
      </w:pPr>
      <w:bookmarkStart w:id="123" w:name="_Toc442195702"/>
      <w:r>
        <w:rPr>
          <w:rFonts w:hint="eastAsia" w:ascii="宋体" w:hAnsi="宋体" w:eastAsia="宋体"/>
          <w:b/>
          <w:sz w:val="28"/>
          <w:szCs w:val="28"/>
        </w:rPr>
        <w:t>监测断面布设、监测项目、监测时间与频次</w:t>
      </w:r>
      <w:bookmarkEnd w:id="123"/>
    </w:p>
    <w:p>
      <w:pPr>
        <w:spacing w:line="360" w:lineRule="auto"/>
        <w:ind w:firstLine="480" w:firstLineChars="200"/>
        <w:rPr>
          <w:sz w:val="24"/>
        </w:rPr>
      </w:pPr>
      <w:r>
        <w:rPr>
          <w:rFonts w:hint="eastAsia"/>
          <w:sz w:val="24"/>
        </w:rPr>
        <w:t>（1）断面布设</w:t>
      </w:r>
    </w:p>
    <w:p>
      <w:pPr>
        <w:spacing w:line="360" w:lineRule="auto"/>
        <w:ind w:firstLine="480" w:firstLineChars="200"/>
        <w:rPr>
          <w:sz w:val="24"/>
        </w:rPr>
      </w:pPr>
      <w:r>
        <w:rPr>
          <w:sz w:val="24"/>
        </w:rPr>
        <w:t>根据《环境影响评价技术导则——地表水环境》（HJ/T2.3-93）中的河流布设水质取样断面及取样点的原则和方法，结合建设项目所处的地理位置</w:t>
      </w:r>
      <w:r>
        <w:rPr>
          <w:rFonts w:hint="eastAsia"/>
          <w:sz w:val="24"/>
        </w:rPr>
        <w:t>及上下游取水口分布情况</w:t>
      </w:r>
      <w:r>
        <w:rPr>
          <w:sz w:val="24"/>
        </w:rPr>
        <w:t>，确定本项目水环境</w:t>
      </w:r>
      <w:r>
        <w:rPr>
          <w:rFonts w:hint="eastAsia"/>
          <w:sz w:val="24"/>
        </w:rPr>
        <w:t>质量现状监测的断面。</w:t>
      </w:r>
    </w:p>
    <w:p>
      <w:pPr>
        <w:spacing w:line="360" w:lineRule="auto"/>
        <w:ind w:firstLine="480" w:firstLineChars="200"/>
        <w:rPr>
          <w:sz w:val="24"/>
        </w:rPr>
      </w:pPr>
      <w:r>
        <w:rPr>
          <w:sz w:val="24"/>
        </w:rPr>
        <w:t>拟建</w:t>
      </w:r>
      <w:r>
        <w:rPr>
          <w:rFonts w:hint="eastAsia"/>
          <w:sz w:val="24"/>
        </w:rPr>
        <w:t>项目涉及长江枝江段，</w:t>
      </w:r>
      <w:r>
        <w:rPr>
          <w:sz w:val="24"/>
        </w:rPr>
        <w:t>本次监测确定</w:t>
      </w:r>
      <w:r>
        <w:rPr>
          <w:rFonts w:hint="eastAsia"/>
          <w:sz w:val="24"/>
        </w:rPr>
        <w:t>5</w:t>
      </w:r>
      <w:r>
        <w:rPr>
          <w:sz w:val="24"/>
        </w:rPr>
        <w:t>个监测断面，具体位置见表</w:t>
      </w:r>
      <w:r>
        <w:rPr>
          <w:rFonts w:hint="eastAsia"/>
          <w:sz w:val="24"/>
        </w:rPr>
        <w:t>3.5</w:t>
      </w:r>
      <w:r>
        <w:rPr>
          <w:sz w:val="24"/>
        </w:rPr>
        <w:t>-1。</w:t>
      </w:r>
    </w:p>
    <w:p>
      <w:pPr>
        <w:spacing w:line="360" w:lineRule="auto"/>
        <w:jc w:val="center"/>
        <w:rPr>
          <w:b/>
          <w:sz w:val="24"/>
        </w:rPr>
      </w:pPr>
      <w:r>
        <w:rPr>
          <w:b/>
          <w:sz w:val="24"/>
        </w:rPr>
        <w:t>表</w:t>
      </w:r>
      <w:r>
        <w:rPr>
          <w:rFonts w:hint="eastAsia"/>
          <w:b/>
          <w:sz w:val="24"/>
        </w:rPr>
        <w:t>3.5</w:t>
      </w:r>
      <w:r>
        <w:rPr>
          <w:b/>
          <w:sz w:val="24"/>
        </w:rPr>
        <w:t>-1拟建项目区域水质监测</w:t>
      </w:r>
      <w:r>
        <w:rPr>
          <w:rFonts w:hint="eastAsia"/>
          <w:b/>
          <w:sz w:val="24"/>
        </w:rPr>
        <w:t>断面</w:t>
      </w:r>
    </w:p>
    <w:tbl>
      <w:tblPr>
        <w:tblStyle w:val="104"/>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2"/>
        <w:gridCol w:w="62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b/>
                <w:szCs w:val="21"/>
              </w:rPr>
            </w:pPr>
            <w:r>
              <w:rPr>
                <w:rFonts w:cs="Times New Roman"/>
                <w:b/>
                <w:szCs w:val="21"/>
              </w:rPr>
              <w:t>编号</w:t>
            </w:r>
          </w:p>
        </w:tc>
        <w:tc>
          <w:tcPr>
            <w:tcW w:w="6272" w:type="dxa"/>
            <w:vAlign w:val="center"/>
          </w:tcPr>
          <w:p>
            <w:pPr>
              <w:pStyle w:val="1240"/>
              <w:spacing w:line="240" w:lineRule="exact"/>
              <w:rPr>
                <w:rFonts w:cs="Times New Roman"/>
                <w:b/>
                <w:szCs w:val="21"/>
              </w:rPr>
            </w:pPr>
            <w:r>
              <w:rPr>
                <w:rFonts w:cs="Times New Roman"/>
                <w:b/>
                <w:szCs w:val="21"/>
              </w:rPr>
              <w:t>监测断面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rPr>
            </w:pPr>
            <w:r>
              <w:rPr>
                <w:rFonts w:cs="Times New Roman"/>
              </w:rPr>
              <w:t>1</w:t>
            </w:r>
            <w:r>
              <w:rPr>
                <w:rFonts w:cs="Times New Roman"/>
                <w:vertAlign w:val="superscript"/>
              </w:rPr>
              <w:t>#</w:t>
            </w:r>
          </w:p>
        </w:tc>
        <w:tc>
          <w:tcPr>
            <w:tcW w:w="6272" w:type="dxa"/>
            <w:vAlign w:val="center"/>
          </w:tcPr>
          <w:p>
            <w:pPr>
              <w:pStyle w:val="186"/>
              <w:ind w:left="-21" w:right="-21"/>
              <w:jc w:val="center"/>
              <w:rPr>
                <w:rFonts w:ascii="Times New Roman" w:hAnsi="Times New Roman"/>
              </w:rPr>
            </w:pPr>
            <w:r>
              <w:rPr>
                <w:rFonts w:ascii="Times New Roman" w:hAnsi="Times New Roman"/>
              </w:rPr>
              <w:t>码头上游1800m（陆城二水厂取水口）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rPr>
            </w:pPr>
            <w:r>
              <w:rPr>
                <w:rFonts w:cs="Times New Roman"/>
              </w:rPr>
              <w:t>2</w:t>
            </w:r>
            <w:r>
              <w:rPr>
                <w:rFonts w:cs="Times New Roman"/>
                <w:vertAlign w:val="superscript"/>
              </w:rPr>
              <w:t>#</w:t>
            </w:r>
          </w:p>
        </w:tc>
        <w:tc>
          <w:tcPr>
            <w:tcW w:w="6272" w:type="dxa"/>
            <w:vAlign w:val="center"/>
          </w:tcPr>
          <w:p>
            <w:pPr>
              <w:pStyle w:val="186"/>
              <w:ind w:left="-21" w:right="-21"/>
              <w:jc w:val="center"/>
              <w:rPr>
                <w:rFonts w:ascii="Times New Roman" w:hAnsi="Times New Roman"/>
              </w:rPr>
            </w:pPr>
            <w:r>
              <w:rPr>
                <w:rFonts w:ascii="Times New Roman" w:hAnsi="Times New Roman"/>
              </w:rPr>
              <w:t>码头上边界线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rPr>
            </w:pPr>
            <w:r>
              <w:rPr>
                <w:rFonts w:cs="Times New Roman"/>
              </w:rPr>
              <w:t>3</w:t>
            </w:r>
            <w:r>
              <w:rPr>
                <w:rFonts w:cs="Times New Roman"/>
                <w:vertAlign w:val="superscript"/>
              </w:rPr>
              <w:t>#</w:t>
            </w:r>
          </w:p>
        </w:tc>
        <w:tc>
          <w:tcPr>
            <w:tcW w:w="6272" w:type="dxa"/>
            <w:vAlign w:val="center"/>
          </w:tcPr>
          <w:p>
            <w:pPr>
              <w:pStyle w:val="186"/>
              <w:ind w:left="-21" w:right="-21"/>
              <w:jc w:val="center"/>
              <w:rPr>
                <w:rFonts w:ascii="Times New Roman" w:hAnsi="Times New Roman"/>
              </w:rPr>
            </w:pPr>
            <w:r>
              <w:rPr>
                <w:rFonts w:ascii="Times New Roman" w:hAnsi="Times New Roman"/>
              </w:rPr>
              <w:t>码头下边界线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rPr>
            </w:pPr>
            <w:r>
              <w:rPr>
                <w:rFonts w:cs="Times New Roman"/>
              </w:rPr>
              <w:t>4</w:t>
            </w:r>
            <w:r>
              <w:rPr>
                <w:rFonts w:cs="Times New Roman"/>
                <w:vertAlign w:val="superscript"/>
              </w:rPr>
              <w:t>#</w:t>
            </w:r>
          </w:p>
        </w:tc>
        <w:tc>
          <w:tcPr>
            <w:tcW w:w="6272" w:type="dxa"/>
            <w:vAlign w:val="center"/>
          </w:tcPr>
          <w:p>
            <w:pPr>
              <w:pStyle w:val="186"/>
              <w:ind w:left="-21" w:right="-21"/>
              <w:jc w:val="center"/>
              <w:rPr>
                <w:rFonts w:ascii="Times New Roman" w:hAnsi="Times New Roman"/>
              </w:rPr>
            </w:pPr>
            <w:r>
              <w:rPr>
                <w:rFonts w:ascii="Times New Roman" w:hAnsi="Times New Roman"/>
              </w:rPr>
              <w:t>码头下游1500m（白洋镇水厂取水口）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092" w:type="dxa"/>
            <w:vAlign w:val="center"/>
          </w:tcPr>
          <w:p>
            <w:pPr>
              <w:pStyle w:val="1240"/>
              <w:spacing w:line="240" w:lineRule="exact"/>
              <w:rPr>
                <w:rFonts w:cs="Times New Roman"/>
              </w:rPr>
            </w:pPr>
            <w:r>
              <w:rPr>
                <w:rFonts w:cs="Times New Roman"/>
              </w:rPr>
              <w:t>5</w:t>
            </w:r>
            <w:r>
              <w:rPr>
                <w:rFonts w:cs="Times New Roman"/>
                <w:vertAlign w:val="superscript"/>
              </w:rPr>
              <w:t>#</w:t>
            </w:r>
          </w:p>
        </w:tc>
        <w:tc>
          <w:tcPr>
            <w:tcW w:w="6272" w:type="dxa"/>
            <w:vAlign w:val="center"/>
          </w:tcPr>
          <w:p>
            <w:pPr>
              <w:pStyle w:val="186"/>
              <w:ind w:left="-21" w:right="-21"/>
              <w:jc w:val="center"/>
              <w:rPr>
                <w:rFonts w:ascii="Times New Roman" w:hAnsi="Times New Roman"/>
              </w:rPr>
            </w:pPr>
            <w:r>
              <w:rPr>
                <w:rFonts w:ascii="Times New Roman" w:hAnsi="Times New Roman"/>
              </w:rPr>
              <w:t>码头下游3800m（田家河水厂取水口）</w:t>
            </w:r>
          </w:p>
        </w:tc>
      </w:tr>
    </w:tbl>
    <w:p>
      <w:pPr>
        <w:spacing w:line="360" w:lineRule="auto"/>
        <w:ind w:firstLine="480" w:firstLineChars="200"/>
        <w:rPr>
          <w:sz w:val="24"/>
        </w:rPr>
      </w:pPr>
      <w:r>
        <w:rPr>
          <w:rFonts w:hint="eastAsia"/>
          <w:sz w:val="24"/>
        </w:rPr>
        <w:t>（2）监测项目及方法</w:t>
      </w:r>
    </w:p>
    <w:p>
      <w:pPr>
        <w:spacing w:line="360" w:lineRule="auto"/>
        <w:ind w:firstLine="480" w:firstLineChars="200"/>
        <w:rPr>
          <w:sz w:val="24"/>
        </w:rPr>
      </w:pPr>
      <w:r>
        <w:rPr>
          <w:sz w:val="24"/>
        </w:rPr>
        <w:t>监测项目</w:t>
      </w:r>
      <w:r>
        <w:rPr>
          <w:rFonts w:hint="eastAsia"/>
          <w:sz w:val="24"/>
        </w:rPr>
        <w:t>包括pH、水温、溶解氧、化学需氧量、高锰酸盐指数、五日生化需氧量、悬浮物、氨氮、石油类</w:t>
      </w:r>
      <w:r>
        <w:rPr>
          <w:sz w:val="24"/>
        </w:rPr>
        <w:t>共</w:t>
      </w:r>
      <w:r>
        <w:rPr>
          <w:rFonts w:hint="eastAsia"/>
          <w:sz w:val="24"/>
        </w:rPr>
        <w:t>9</w:t>
      </w:r>
      <w:r>
        <w:rPr>
          <w:sz w:val="24"/>
        </w:rPr>
        <w:t>项。水样的采集、保存、输送均按《水环境监测规范》（SL219-98）中的有关规定进行，样品分析方法参用国家标准分析方法。监测项目的分析方法见表</w:t>
      </w:r>
      <w:r>
        <w:rPr>
          <w:rFonts w:hint="eastAsia"/>
          <w:sz w:val="24"/>
        </w:rPr>
        <w:t>3.5</w:t>
      </w:r>
      <w:r>
        <w:rPr>
          <w:sz w:val="24"/>
        </w:rPr>
        <w:t>-2。</w:t>
      </w:r>
    </w:p>
    <w:p>
      <w:pPr>
        <w:jc w:val="center"/>
        <w:rPr>
          <w:b/>
          <w:szCs w:val="21"/>
        </w:rPr>
      </w:pPr>
      <w:r>
        <w:rPr>
          <w:b/>
          <w:szCs w:val="21"/>
        </w:rPr>
        <w:t>表</w:t>
      </w:r>
      <w:r>
        <w:rPr>
          <w:rFonts w:hint="eastAsia"/>
          <w:b/>
          <w:szCs w:val="21"/>
        </w:rPr>
        <w:t>3.5</w:t>
      </w:r>
      <w:r>
        <w:rPr>
          <w:b/>
          <w:szCs w:val="21"/>
        </w:rPr>
        <w:t>-2</w:t>
      </w:r>
      <w:r>
        <w:rPr>
          <w:rFonts w:hint="eastAsia"/>
          <w:b/>
          <w:szCs w:val="21"/>
        </w:rPr>
        <w:t xml:space="preserve">  </w:t>
      </w:r>
      <w:r>
        <w:rPr>
          <w:b/>
          <w:szCs w:val="21"/>
        </w:rPr>
        <w:t>水质监测项目与分析方法</w:t>
      </w:r>
    </w:p>
    <w:tbl>
      <w:tblPr>
        <w:tblStyle w:val="104"/>
        <w:tblW w:w="8513"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8"/>
        <w:gridCol w:w="2884"/>
        <w:gridCol w:w="1189"/>
        <w:gridCol w:w="2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监测项目</w:t>
            </w:r>
          </w:p>
        </w:tc>
        <w:tc>
          <w:tcPr>
            <w:tcW w:w="2884" w:type="dxa"/>
            <w:vAlign w:val="center"/>
          </w:tcPr>
          <w:p>
            <w:pPr>
              <w:spacing w:line="240" w:lineRule="exact"/>
              <w:jc w:val="center"/>
              <w:rPr>
                <w:szCs w:val="21"/>
              </w:rPr>
            </w:pPr>
            <w:r>
              <w:rPr>
                <w:szCs w:val="21"/>
              </w:rPr>
              <w:t>分析方法及依据</w:t>
            </w:r>
          </w:p>
        </w:tc>
        <w:tc>
          <w:tcPr>
            <w:tcW w:w="1189" w:type="dxa"/>
            <w:vAlign w:val="center"/>
          </w:tcPr>
          <w:p>
            <w:pPr>
              <w:spacing w:line="240" w:lineRule="exact"/>
              <w:jc w:val="center"/>
              <w:rPr>
                <w:szCs w:val="21"/>
              </w:rPr>
            </w:pPr>
            <w:r>
              <w:rPr>
                <w:szCs w:val="21"/>
              </w:rPr>
              <w:t>检出限</w:t>
            </w:r>
          </w:p>
        </w:tc>
        <w:tc>
          <w:tcPr>
            <w:tcW w:w="2842" w:type="dxa"/>
            <w:vAlign w:val="center"/>
          </w:tcPr>
          <w:p>
            <w:pPr>
              <w:spacing w:line="240" w:lineRule="exact"/>
              <w:jc w:val="center"/>
              <w:rPr>
                <w:szCs w:val="21"/>
              </w:rPr>
            </w:pPr>
            <w:r>
              <w:rPr>
                <w:szCs w:val="21"/>
              </w:rPr>
              <w:t>使用主要仪器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 xml:space="preserve">pH </w:t>
            </w:r>
          </w:p>
        </w:tc>
        <w:tc>
          <w:tcPr>
            <w:tcW w:w="2884" w:type="dxa"/>
            <w:vAlign w:val="center"/>
          </w:tcPr>
          <w:p>
            <w:pPr>
              <w:spacing w:line="240" w:lineRule="exact"/>
              <w:jc w:val="center"/>
              <w:rPr>
                <w:szCs w:val="21"/>
              </w:rPr>
            </w:pPr>
            <w:r>
              <w:rPr>
                <w:szCs w:val="21"/>
              </w:rPr>
              <w:t>便携式pH计法</w:t>
            </w:r>
          </w:p>
        </w:tc>
        <w:tc>
          <w:tcPr>
            <w:tcW w:w="1189" w:type="dxa"/>
            <w:vAlign w:val="center"/>
          </w:tcPr>
          <w:p>
            <w:pPr>
              <w:spacing w:line="240" w:lineRule="exact"/>
              <w:jc w:val="center"/>
              <w:rPr>
                <w:szCs w:val="21"/>
              </w:rPr>
            </w:pPr>
            <w:r>
              <w:rPr>
                <w:szCs w:val="21"/>
              </w:rPr>
              <w:t>0.1pH单位</w:t>
            </w:r>
          </w:p>
        </w:tc>
        <w:tc>
          <w:tcPr>
            <w:tcW w:w="2842" w:type="dxa"/>
            <w:vAlign w:val="center"/>
          </w:tcPr>
          <w:p>
            <w:pPr>
              <w:spacing w:line="240" w:lineRule="exact"/>
              <w:jc w:val="center"/>
              <w:rPr>
                <w:szCs w:val="21"/>
              </w:rPr>
            </w:pPr>
            <w:r>
              <w:rPr>
                <w:bCs/>
                <w:kern w:val="0"/>
                <w:szCs w:val="21"/>
                <w:u w:color="000000"/>
              </w:rPr>
              <w:t>pH计FE20型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水温</w:t>
            </w:r>
          </w:p>
        </w:tc>
        <w:tc>
          <w:tcPr>
            <w:tcW w:w="2884" w:type="dxa"/>
            <w:vAlign w:val="center"/>
          </w:tcPr>
          <w:p>
            <w:pPr>
              <w:spacing w:line="240" w:lineRule="exact"/>
              <w:jc w:val="center"/>
              <w:rPr>
                <w:szCs w:val="21"/>
              </w:rPr>
            </w:pPr>
            <w:r>
              <w:rPr>
                <w:szCs w:val="21"/>
              </w:rPr>
              <w:t>温度计法GB/T13195－1991</w:t>
            </w:r>
          </w:p>
        </w:tc>
        <w:tc>
          <w:tcPr>
            <w:tcW w:w="1189" w:type="dxa"/>
            <w:vAlign w:val="center"/>
          </w:tcPr>
          <w:p>
            <w:pPr>
              <w:spacing w:line="240" w:lineRule="exact"/>
              <w:jc w:val="center"/>
              <w:rPr>
                <w:szCs w:val="21"/>
              </w:rPr>
            </w:pPr>
            <w:r>
              <w:rPr>
                <w:szCs w:val="21"/>
              </w:rPr>
              <w:t>0.1</w:t>
            </w:r>
            <w:r>
              <w:rPr>
                <w:rFonts w:hint="eastAsia" w:ascii="宋体" w:hAnsi="宋体" w:cs="宋体"/>
                <w:szCs w:val="21"/>
              </w:rPr>
              <w:t>℃</w:t>
            </w:r>
          </w:p>
        </w:tc>
        <w:tc>
          <w:tcPr>
            <w:tcW w:w="2842" w:type="dxa"/>
            <w:vAlign w:val="center"/>
          </w:tcPr>
          <w:p>
            <w:pPr>
              <w:spacing w:line="240" w:lineRule="exact"/>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溶解氧</w:t>
            </w:r>
          </w:p>
        </w:tc>
        <w:tc>
          <w:tcPr>
            <w:tcW w:w="2884" w:type="dxa"/>
            <w:vAlign w:val="center"/>
          </w:tcPr>
          <w:p>
            <w:pPr>
              <w:spacing w:line="240" w:lineRule="exact"/>
              <w:jc w:val="center"/>
              <w:rPr>
                <w:szCs w:val="21"/>
              </w:rPr>
            </w:pPr>
            <w:r>
              <w:rPr>
                <w:szCs w:val="21"/>
              </w:rPr>
              <w:t>电化学探头法</w:t>
            </w:r>
          </w:p>
          <w:p>
            <w:pPr>
              <w:spacing w:line="240" w:lineRule="exact"/>
              <w:jc w:val="center"/>
              <w:rPr>
                <w:szCs w:val="21"/>
              </w:rPr>
            </w:pPr>
            <w:r>
              <w:rPr>
                <w:szCs w:val="21"/>
              </w:rPr>
              <w:t>HJ 506-2009</w:t>
            </w:r>
          </w:p>
        </w:tc>
        <w:tc>
          <w:tcPr>
            <w:tcW w:w="1189" w:type="dxa"/>
            <w:vAlign w:val="center"/>
          </w:tcPr>
          <w:p>
            <w:pPr>
              <w:spacing w:line="240" w:lineRule="exact"/>
              <w:jc w:val="center"/>
              <w:rPr>
                <w:szCs w:val="21"/>
              </w:rPr>
            </w:pPr>
            <w:r>
              <w:rPr>
                <w:szCs w:val="21"/>
              </w:rPr>
              <w:t>0.2</w:t>
            </w:r>
          </w:p>
        </w:tc>
        <w:tc>
          <w:tcPr>
            <w:tcW w:w="2842" w:type="dxa"/>
            <w:vAlign w:val="center"/>
          </w:tcPr>
          <w:p>
            <w:pPr>
              <w:spacing w:line="240" w:lineRule="exact"/>
              <w:jc w:val="center"/>
              <w:rPr>
                <w:szCs w:val="21"/>
              </w:rPr>
            </w:pPr>
            <w:r>
              <w:rPr>
                <w:bCs/>
                <w:kern w:val="0"/>
                <w:szCs w:val="21"/>
                <w:u w:color="000000"/>
              </w:rPr>
              <w:t>HQ30d溶解氧仪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石油类</w:t>
            </w:r>
          </w:p>
        </w:tc>
        <w:tc>
          <w:tcPr>
            <w:tcW w:w="2884" w:type="dxa"/>
            <w:vAlign w:val="center"/>
          </w:tcPr>
          <w:p>
            <w:pPr>
              <w:spacing w:line="240" w:lineRule="exact"/>
              <w:jc w:val="center"/>
              <w:rPr>
                <w:szCs w:val="21"/>
              </w:rPr>
            </w:pPr>
            <w:r>
              <w:rPr>
                <w:szCs w:val="21"/>
              </w:rPr>
              <w:t>红外分光光度法</w:t>
            </w:r>
          </w:p>
          <w:p>
            <w:pPr>
              <w:spacing w:line="240" w:lineRule="exact"/>
              <w:jc w:val="center"/>
              <w:rPr>
                <w:szCs w:val="21"/>
              </w:rPr>
            </w:pPr>
            <w:r>
              <w:rPr>
                <w:szCs w:val="21"/>
              </w:rPr>
              <w:t>HJ637-2012</w:t>
            </w:r>
          </w:p>
        </w:tc>
        <w:tc>
          <w:tcPr>
            <w:tcW w:w="1189" w:type="dxa"/>
            <w:vAlign w:val="center"/>
          </w:tcPr>
          <w:p>
            <w:pPr>
              <w:spacing w:line="240" w:lineRule="exact"/>
              <w:jc w:val="center"/>
              <w:rPr>
                <w:szCs w:val="21"/>
              </w:rPr>
            </w:pPr>
            <w:r>
              <w:rPr>
                <w:szCs w:val="21"/>
              </w:rPr>
              <w:t>0.01</w:t>
            </w:r>
          </w:p>
        </w:tc>
        <w:tc>
          <w:tcPr>
            <w:tcW w:w="2842" w:type="dxa"/>
            <w:vAlign w:val="center"/>
          </w:tcPr>
          <w:p>
            <w:pPr>
              <w:spacing w:line="240" w:lineRule="exact"/>
              <w:jc w:val="center"/>
              <w:rPr>
                <w:szCs w:val="21"/>
              </w:rPr>
            </w:pPr>
            <w:r>
              <w:rPr>
                <w:szCs w:val="21"/>
              </w:rPr>
              <w:t>红外光度测油仪F2000-IK型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悬浮物</w:t>
            </w:r>
          </w:p>
        </w:tc>
        <w:tc>
          <w:tcPr>
            <w:tcW w:w="2884" w:type="dxa"/>
            <w:vAlign w:val="center"/>
          </w:tcPr>
          <w:p>
            <w:pPr>
              <w:spacing w:line="240" w:lineRule="exact"/>
              <w:jc w:val="center"/>
              <w:rPr>
                <w:szCs w:val="21"/>
              </w:rPr>
            </w:pPr>
            <w:r>
              <w:rPr>
                <w:szCs w:val="21"/>
              </w:rPr>
              <w:t>重量法GB11901-89</w:t>
            </w:r>
          </w:p>
        </w:tc>
        <w:tc>
          <w:tcPr>
            <w:tcW w:w="1189" w:type="dxa"/>
            <w:vAlign w:val="center"/>
          </w:tcPr>
          <w:p>
            <w:pPr>
              <w:spacing w:line="240" w:lineRule="exact"/>
              <w:jc w:val="center"/>
              <w:rPr>
                <w:szCs w:val="21"/>
              </w:rPr>
            </w:pPr>
            <w:r>
              <w:rPr>
                <w:szCs w:val="21"/>
              </w:rPr>
              <w:t>－</w:t>
            </w:r>
          </w:p>
        </w:tc>
        <w:tc>
          <w:tcPr>
            <w:tcW w:w="2842" w:type="dxa"/>
            <w:vAlign w:val="center"/>
          </w:tcPr>
          <w:p>
            <w:pPr>
              <w:spacing w:line="240" w:lineRule="exact"/>
              <w:jc w:val="center"/>
              <w:rPr>
                <w:szCs w:val="21"/>
              </w:rPr>
            </w:pPr>
            <w:r>
              <w:rPr>
                <w:bCs/>
                <w:kern w:val="0"/>
                <w:szCs w:val="21"/>
                <w:u w:color="000000"/>
              </w:rPr>
              <w:t>全玻璃空滤膜过滤器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氨氮</w:t>
            </w:r>
          </w:p>
        </w:tc>
        <w:tc>
          <w:tcPr>
            <w:tcW w:w="2884" w:type="dxa"/>
            <w:vAlign w:val="center"/>
          </w:tcPr>
          <w:p>
            <w:pPr>
              <w:spacing w:line="240" w:lineRule="exact"/>
              <w:jc w:val="center"/>
              <w:rPr>
                <w:szCs w:val="21"/>
              </w:rPr>
            </w:pPr>
            <w:r>
              <w:rPr>
                <w:szCs w:val="21"/>
              </w:rPr>
              <w:t>纳氏试剂比色法</w:t>
            </w:r>
          </w:p>
          <w:p>
            <w:pPr>
              <w:spacing w:line="240" w:lineRule="exact"/>
              <w:jc w:val="center"/>
              <w:rPr>
                <w:szCs w:val="21"/>
              </w:rPr>
            </w:pPr>
            <w:r>
              <w:rPr>
                <w:szCs w:val="21"/>
              </w:rPr>
              <w:t>HJ535-2009</w:t>
            </w:r>
          </w:p>
        </w:tc>
        <w:tc>
          <w:tcPr>
            <w:tcW w:w="1189" w:type="dxa"/>
            <w:vAlign w:val="center"/>
          </w:tcPr>
          <w:p>
            <w:pPr>
              <w:spacing w:line="240" w:lineRule="exact"/>
              <w:jc w:val="center"/>
              <w:rPr>
                <w:szCs w:val="21"/>
              </w:rPr>
            </w:pPr>
            <w:r>
              <w:rPr>
                <w:szCs w:val="21"/>
              </w:rPr>
              <w:t>0.025</w:t>
            </w:r>
          </w:p>
        </w:tc>
        <w:tc>
          <w:tcPr>
            <w:tcW w:w="2842" w:type="dxa"/>
            <w:vAlign w:val="center"/>
          </w:tcPr>
          <w:p>
            <w:pPr>
              <w:spacing w:line="240" w:lineRule="exact"/>
              <w:jc w:val="center"/>
              <w:rPr>
                <w:szCs w:val="21"/>
              </w:rPr>
            </w:pPr>
            <w:r>
              <w:rPr>
                <w:szCs w:val="21"/>
              </w:rPr>
              <w:t>紫外可见分光光度（TU1900）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化学需氧量</w:t>
            </w:r>
          </w:p>
        </w:tc>
        <w:tc>
          <w:tcPr>
            <w:tcW w:w="2884" w:type="dxa"/>
            <w:vAlign w:val="center"/>
          </w:tcPr>
          <w:p>
            <w:pPr>
              <w:spacing w:line="240" w:lineRule="exact"/>
              <w:jc w:val="center"/>
              <w:rPr>
                <w:szCs w:val="21"/>
              </w:rPr>
            </w:pPr>
            <w:r>
              <w:rPr>
                <w:szCs w:val="21"/>
              </w:rPr>
              <w:t>重铬酸钾滴定法</w:t>
            </w:r>
          </w:p>
          <w:p>
            <w:pPr>
              <w:spacing w:line="240" w:lineRule="exact"/>
              <w:jc w:val="center"/>
              <w:rPr>
                <w:szCs w:val="21"/>
              </w:rPr>
            </w:pPr>
            <w:r>
              <w:rPr>
                <w:szCs w:val="21"/>
              </w:rPr>
              <w:t>GB/T11914－1989</w:t>
            </w:r>
          </w:p>
        </w:tc>
        <w:tc>
          <w:tcPr>
            <w:tcW w:w="1189" w:type="dxa"/>
            <w:vAlign w:val="center"/>
          </w:tcPr>
          <w:p>
            <w:pPr>
              <w:spacing w:line="240" w:lineRule="exact"/>
              <w:jc w:val="center"/>
              <w:rPr>
                <w:szCs w:val="21"/>
              </w:rPr>
            </w:pPr>
            <w:r>
              <w:rPr>
                <w:szCs w:val="21"/>
              </w:rPr>
              <w:t>5</w:t>
            </w:r>
          </w:p>
        </w:tc>
        <w:tc>
          <w:tcPr>
            <w:tcW w:w="2842" w:type="dxa"/>
            <w:vAlign w:val="center"/>
          </w:tcPr>
          <w:p>
            <w:pPr>
              <w:spacing w:line="240" w:lineRule="exact"/>
              <w:jc w:val="center"/>
              <w:rPr>
                <w:szCs w:val="21"/>
              </w:rPr>
            </w:pPr>
            <w:r>
              <w:rPr>
                <w:szCs w:val="21"/>
              </w:rPr>
              <w:t>滴定管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五日</w:t>
            </w:r>
          </w:p>
          <w:p>
            <w:pPr>
              <w:spacing w:line="240" w:lineRule="exact"/>
              <w:jc w:val="center"/>
              <w:rPr>
                <w:szCs w:val="21"/>
              </w:rPr>
            </w:pPr>
            <w:r>
              <w:rPr>
                <w:szCs w:val="21"/>
              </w:rPr>
              <w:t>生化需氧量</w:t>
            </w:r>
          </w:p>
        </w:tc>
        <w:tc>
          <w:tcPr>
            <w:tcW w:w="2884" w:type="dxa"/>
            <w:vAlign w:val="center"/>
          </w:tcPr>
          <w:p>
            <w:pPr>
              <w:spacing w:line="240" w:lineRule="exact"/>
              <w:jc w:val="center"/>
              <w:rPr>
                <w:szCs w:val="21"/>
              </w:rPr>
            </w:pPr>
            <w:r>
              <w:rPr>
                <w:szCs w:val="21"/>
              </w:rPr>
              <w:t>稀释与接种法HJ505-2009</w:t>
            </w:r>
          </w:p>
        </w:tc>
        <w:tc>
          <w:tcPr>
            <w:tcW w:w="1189" w:type="dxa"/>
            <w:vAlign w:val="center"/>
          </w:tcPr>
          <w:p>
            <w:pPr>
              <w:spacing w:line="240" w:lineRule="exact"/>
              <w:jc w:val="center"/>
              <w:rPr>
                <w:szCs w:val="21"/>
              </w:rPr>
            </w:pPr>
            <w:r>
              <w:rPr>
                <w:szCs w:val="21"/>
              </w:rPr>
              <w:t>0.5</w:t>
            </w:r>
          </w:p>
        </w:tc>
        <w:tc>
          <w:tcPr>
            <w:tcW w:w="2842" w:type="dxa"/>
            <w:vAlign w:val="center"/>
          </w:tcPr>
          <w:p>
            <w:pPr>
              <w:spacing w:line="240" w:lineRule="exact"/>
              <w:jc w:val="center"/>
              <w:rPr>
                <w:szCs w:val="21"/>
              </w:rPr>
            </w:pPr>
            <w:r>
              <w:rPr>
                <w:bCs/>
                <w:kern w:val="0"/>
                <w:szCs w:val="21"/>
                <w:u w:color="000000"/>
              </w:rPr>
              <w:t>HQ30d溶解氧仪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8" w:type="dxa"/>
            <w:vAlign w:val="center"/>
          </w:tcPr>
          <w:p>
            <w:pPr>
              <w:spacing w:line="240" w:lineRule="exact"/>
              <w:jc w:val="center"/>
              <w:rPr>
                <w:szCs w:val="21"/>
              </w:rPr>
            </w:pPr>
            <w:r>
              <w:rPr>
                <w:szCs w:val="21"/>
              </w:rPr>
              <w:t>高锰酸盐指数</w:t>
            </w:r>
          </w:p>
        </w:tc>
        <w:tc>
          <w:tcPr>
            <w:tcW w:w="2884" w:type="dxa"/>
            <w:vAlign w:val="center"/>
          </w:tcPr>
          <w:p>
            <w:pPr>
              <w:pStyle w:val="186"/>
              <w:spacing w:line="240" w:lineRule="exact"/>
              <w:ind w:left="0" w:leftChars="0" w:right="0" w:rightChars="0"/>
              <w:jc w:val="center"/>
              <w:rPr>
                <w:rFonts w:ascii="Times New Roman" w:hAnsi="Times New Roman"/>
              </w:rPr>
            </w:pPr>
            <w:r>
              <w:rPr>
                <w:rFonts w:ascii="Times New Roman" w:hAnsi="Times New Roman"/>
              </w:rPr>
              <w:t>滴定法</w:t>
            </w:r>
          </w:p>
          <w:p>
            <w:pPr>
              <w:spacing w:line="240" w:lineRule="exact"/>
              <w:jc w:val="center"/>
              <w:rPr>
                <w:szCs w:val="21"/>
              </w:rPr>
            </w:pPr>
            <w:r>
              <w:rPr>
                <w:szCs w:val="21"/>
              </w:rPr>
              <w:t>GB 11892-89</w:t>
            </w:r>
          </w:p>
        </w:tc>
        <w:tc>
          <w:tcPr>
            <w:tcW w:w="1189" w:type="dxa"/>
            <w:vAlign w:val="center"/>
          </w:tcPr>
          <w:p>
            <w:pPr>
              <w:spacing w:line="240" w:lineRule="exact"/>
              <w:jc w:val="center"/>
              <w:rPr>
                <w:szCs w:val="21"/>
              </w:rPr>
            </w:pPr>
            <w:r>
              <w:rPr>
                <w:bCs/>
                <w:kern w:val="0"/>
                <w:szCs w:val="21"/>
                <w:u w:color="000000"/>
              </w:rPr>
              <w:t>0.5 mg/L</w:t>
            </w:r>
          </w:p>
        </w:tc>
        <w:tc>
          <w:tcPr>
            <w:tcW w:w="2842" w:type="dxa"/>
            <w:vAlign w:val="center"/>
          </w:tcPr>
          <w:p>
            <w:pPr>
              <w:spacing w:line="240" w:lineRule="exact"/>
              <w:jc w:val="center"/>
              <w:rPr>
                <w:bCs/>
                <w:kern w:val="0"/>
                <w:szCs w:val="21"/>
                <w:u w:color="000000"/>
              </w:rPr>
            </w:pPr>
            <w:r>
              <w:rPr>
                <w:bCs/>
                <w:kern w:val="0"/>
                <w:szCs w:val="21"/>
                <w:u w:color="000000"/>
              </w:rPr>
              <w:t>滴定管</w:t>
            </w:r>
          </w:p>
        </w:tc>
      </w:tr>
    </w:tbl>
    <w:p>
      <w:pPr>
        <w:spacing w:line="360" w:lineRule="auto"/>
        <w:ind w:firstLine="480" w:firstLineChars="200"/>
        <w:rPr>
          <w:sz w:val="24"/>
        </w:rPr>
      </w:pPr>
      <w:r>
        <w:rPr>
          <w:rFonts w:hint="eastAsia"/>
          <w:sz w:val="24"/>
        </w:rPr>
        <w:t>（3）监测时间与频次</w:t>
      </w:r>
    </w:p>
    <w:p>
      <w:pPr>
        <w:spacing w:line="360" w:lineRule="auto"/>
        <w:ind w:firstLine="480" w:firstLineChars="200"/>
        <w:rPr>
          <w:sz w:val="24"/>
        </w:rPr>
      </w:pPr>
      <w:r>
        <w:rPr>
          <w:sz w:val="24"/>
        </w:rPr>
        <w:t>2015年11月18</w:t>
      </w:r>
      <w:r>
        <w:rPr>
          <w:rFonts w:hint="eastAsia"/>
          <w:sz w:val="24"/>
        </w:rPr>
        <w:t>~</w:t>
      </w:r>
      <w:r>
        <w:rPr>
          <w:sz w:val="24"/>
        </w:rPr>
        <w:t>11月19，一期监测</w:t>
      </w:r>
      <w:r>
        <w:rPr>
          <w:rFonts w:hint="eastAsia"/>
          <w:sz w:val="24"/>
        </w:rPr>
        <w:t>2</w:t>
      </w:r>
      <w:r>
        <w:rPr>
          <w:sz w:val="24"/>
        </w:rPr>
        <w:t>天，每天采样一次。</w:t>
      </w:r>
    </w:p>
    <w:p>
      <w:pPr>
        <w:pStyle w:val="5"/>
        <w:tabs>
          <w:tab w:val="left" w:pos="720"/>
        </w:tabs>
        <w:ind w:left="720"/>
        <w:rPr>
          <w:rFonts w:ascii="宋体" w:hAnsi="宋体" w:eastAsia="宋体"/>
          <w:b/>
          <w:sz w:val="28"/>
          <w:szCs w:val="28"/>
        </w:rPr>
      </w:pPr>
      <w:bookmarkStart w:id="124" w:name="_Toc442195703"/>
      <w:r>
        <w:rPr>
          <w:rFonts w:hint="eastAsia" w:ascii="宋体" w:hAnsi="宋体" w:eastAsia="宋体"/>
          <w:b/>
          <w:sz w:val="28"/>
          <w:szCs w:val="28"/>
        </w:rPr>
        <w:t>评价方法、监测结果及现状评价</w:t>
      </w:r>
      <w:bookmarkEnd w:id="124"/>
    </w:p>
    <w:p>
      <w:pPr>
        <w:spacing w:line="360" w:lineRule="auto"/>
        <w:rPr>
          <w:sz w:val="24"/>
        </w:rPr>
      </w:pPr>
      <w:r>
        <w:rPr>
          <w:rFonts w:hint="eastAsia"/>
          <w:sz w:val="24"/>
        </w:rPr>
        <w:t>（1）监测结果</w:t>
      </w:r>
    </w:p>
    <w:p>
      <w:pPr>
        <w:spacing w:line="360" w:lineRule="auto"/>
        <w:rPr>
          <w:sz w:val="24"/>
        </w:rPr>
      </w:pPr>
      <w:r>
        <w:rPr>
          <w:sz w:val="24"/>
        </w:rPr>
        <w:t>地表水水质现状监测结果参见表</w:t>
      </w:r>
      <w:r>
        <w:rPr>
          <w:rFonts w:hint="eastAsia"/>
          <w:sz w:val="24"/>
        </w:rPr>
        <w:t>3.5</w:t>
      </w:r>
      <w:r>
        <w:rPr>
          <w:sz w:val="24"/>
        </w:rPr>
        <w:t>-</w:t>
      </w:r>
      <w:r>
        <w:rPr>
          <w:rFonts w:hint="eastAsia"/>
          <w:sz w:val="24"/>
        </w:rPr>
        <w:t>3</w:t>
      </w:r>
      <w:r>
        <w:rPr>
          <w:sz w:val="24"/>
        </w:rPr>
        <w:t>。</w:t>
      </w:r>
    </w:p>
    <w:p>
      <w:pPr>
        <w:jc w:val="center"/>
        <w:rPr>
          <w:b/>
          <w:szCs w:val="21"/>
        </w:rPr>
      </w:pPr>
      <w:r>
        <w:rPr>
          <w:rFonts w:hint="eastAsia"/>
          <w:b/>
          <w:szCs w:val="21"/>
        </w:rPr>
        <w:t xml:space="preserve">             </w:t>
      </w:r>
      <w:r>
        <w:rPr>
          <w:b/>
          <w:szCs w:val="21"/>
        </w:rPr>
        <w:t>表</w:t>
      </w:r>
      <w:r>
        <w:rPr>
          <w:rFonts w:hint="eastAsia"/>
          <w:b/>
          <w:szCs w:val="21"/>
        </w:rPr>
        <w:t>3.5</w:t>
      </w:r>
      <w:r>
        <w:rPr>
          <w:b/>
          <w:szCs w:val="21"/>
        </w:rPr>
        <w:t>-</w:t>
      </w:r>
      <w:r>
        <w:rPr>
          <w:rFonts w:hint="eastAsia"/>
          <w:b/>
          <w:szCs w:val="21"/>
        </w:rPr>
        <w:t>3</w:t>
      </w:r>
      <w:r>
        <w:rPr>
          <w:b/>
          <w:szCs w:val="21"/>
        </w:rPr>
        <w:t xml:space="preserve">  水质监测结果</w:t>
      </w:r>
      <w:r>
        <w:rPr>
          <w:rFonts w:hint="eastAsia"/>
          <w:b/>
          <w:szCs w:val="21"/>
        </w:rPr>
        <w:t xml:space="preserve">                    </w:t>
      </w:r>
      <w:r>
        <w:rPr>
          <w:b/>
          <w:szCs w:val="21"/>
        </w:rPr>
        <w:t>单位：mg/L，pH无量纲</w:t>
      </w:r>
    </w:p>
    <w:tbl>
      <w:tblPr>
        <w:tblStyle w:val="104"/>
        <w:tblW w:w="904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526"/>
        <w:gridCol w:w="1416"/>
        <w:gridCol w:w="822"/>
        <w:gridCol w:w="456"/>
        <w:gridCol w:w="709"/>
        <w:gridCol w:w="870"/>
        <w:gridCol w:w="831"/>
        <w:gridCol w:w="849"/>
        <w:gridCol w:w="867"/>
        <w:gridCol w:w="7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2942" w:type="dxa"/>
            <w:gridSpan w:val="2"/>
            <w:vAlign w:val="center"/>
          </w:tcPr>
          <w:p>
            <w:pPr>
              <w:jc w:val="center"/>
              <w:rPr>
                <w:szCs w:val="21"/>
              </w:rPr>
            </w:pPr>
            <w:r>
              <w:rPr>
                <w:b/>
                <w:szCs w:val="21"/>
              </w:rPr>
              <w:t>项目</w:t>
            </w:r>
          </w:p>
        </w:tc>
        <w:tc>
          <w:tcPr>
            <w:tcW w:w="822" w:type="dxa"/>
            <w:vAlign w:val="center"/>
          </w:tcPr>
          <w:p>
            <w:pPr>
              <w:jc w:val="center"/>
              <w:rPr>
                <w:szCs w:val="21"/>
              </w:rPr>
            </w:pPr>
            <w:r>
              <w:rPr>
                <w:szCs w:val="21"/>
              </w:rPr>
              <w:t>pH值</w:t>
            </w:r>
          </w:p>
        </w:tc>
        <w:tc>
          <w:tcPr>
            <w:tcW w:w="456" w:type="dxa"/>
            <w:vAlign w:val="center"/>
          </w:tcPr>
          <w:p>
            <w:pPr>
              <w:jc w:val="center"/>
              <w:rPr>
                <w:szCs w:val="21"/>
              </w:rPr>
            </w:pPr>
            <w:r>
              <w:rPr>
                <w:szCs w:val="21"/>
              </w:rPr>
              <w:t>SS</w:t>
            </w:r>
          </w:p>
        </w:tc>
        <w:tc>
          <w:tcPr>
            <w:tcW w:w="709" w:type="dxa"/>
            <w:vAlign w:val="center"/>
          </w:tcPr>
          <w:p>
            <w:pPr>
              <w:jc w:val="center"/>
              <w:rPr>
                <w:szCs w:val="21"/>
              </w:rPr>
            </w:pPr>
            <w:r>
              <w:rPr>
                <w:szCs w:val="21"/>
              </w:rPr>
              <w:t>COD</w:t>
            </w:r>
          </w:p>
        </w:tc>
        <w:tc>
          <w:tcPr>
            <w:tcW w:w="870" w:type="dxa"/>
            <w:vAlign w:val="center"/>
          </w:tcPr>
          <w:p>
            <w:pPr>
              <w:jc w:val="center"/>
              <w:rPr>
                <w:szCs w:val="21"/>
              </w:rPr>
            </w:pPr>
            <w:r>
              <w:rPr>
                <w:szCs w:val="21"/>
              </w:rPr>
              <w:t>BOD</w:t>
            </w:r>
            <w:r>
              <w:rPr>
                <w:szCs w:val="21"/>
                <w:vertAlign w:val="subscript"/>
              </w:rPr>
              <w:t>5</w:t>
            </w:r>
          </w:p>
        </w:tc>
        <w:tc>
          <w:tcPr>
            <w:tcW w:w="831" w:type="dxa"/>
            <w:vAlign w:val="center"/>
          </w:tcPr>
          <w:p>
            <w:pPr>
              <w:jc w:val="center"/>
              <w:rPr>
                <w:szCs w:val="21"/>
              </w:rPr>
            </w:pPr>
            <w:r>
              <w:rPr>
                <w:szCs w:val="21"/>
              </w:rPr>
              <w:t>氨氮</w:t>
            </w:r>
          </w:p>
        </w:tc>
        <w:tc>
          <w:tcPr>
            <w:tcW w:w="849" w:type="dxa"/>
            <w:vAlign w:val="center"/>
          </w:tcPr>
          <w:p>
            <w:pPr>
              <w:jc w:val="center"/>
              <w:rPr>
                <w:szCs w:val="21"/>
              </w:rPr>
            </w:pPr>
            <w:r>
              <w:rPr>
                <w:szCs w:val="21"/>
              </w:rPr>
              <w:t>石油类</w:t>
            </w:r>
          </w:p>
        </w:tc>
        <w:tc>
          <w:tcPr>
            <w:tcW w:w="867" w:type="dxa"/>
            <w:vAlign w:val="center"/>
          </w:tcPr>
          <w:p>
            <w:pPr>
              <w:jc w:val="center"/>
              <w:rPr>
                <w:szCs w:val="21"/>
              </w:rPr>
            </w:pPr>
            <w:r>
              <w:rPr>
                <w:szCs w:val="21"/>
              </w:rPr>
              <w:t>高锰酸盐指数</w:t>
            </w:r>
          </w:p>
        </w:tc>
        <w:tc>
          <w:tcPr>
            <w:tcW w:w="702" w:type="dxa"/>
            <w:vAlign w:val="center"/>
          </w:tcPr>
          <w:p>
            <w:pPr>
              <w:jc w:val="center"/>
              <w:rPr>
                <w:szCs w:val="21"/>
              </w:rPr>
            </w:pPr>
            <w:r>
              <w:rPr>
                <w:szCs w:val="21"/>
              </w:rPr>
              <w:t>DO</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restart"/>
            <w:vAlign w:val="center"/>
          </w:tcPr>
          <w:p>
            <w:pPr>
              <w:spacing w:line="320" w:lineRule="exact"/>
              <w:jc w:val="center"/>
              <w:rPr>
                <w:bCs/>
                <w:szCs w:val="21"/>
              </w:rPr>
            </w:pPr>
            <w:r>
              <w:rPr>
                <w:szCs w:val="21"/>
              </w:rPr>
              <w:t>码头上游1800m</w:t>
            </w:r>
          </w:p>
        </w:tc>
        <w:tc>
          <w:tcPr>
            <w:tcW w:w="1416" w:type="dxa"/>
            <w:vAlign w:val="center"/>
          </w:tcPr>
          <w:p>
            <w:pPr>
              <w:jc w:val="center"/>
              <w:rPr>
                <w:szCs w:val="21"/>
              </w:rPr>
            </w:pPr>
            <w:r>
              <w:rPr>
                <w:szCs w:val="21"/>
              </w:rPr>
              <w:t>11月18日</w:t>
            </w:r>
          </w:p>
        </w:tc>
        <w:tc>
          <w:tcPr>
            <w:tcW w:w="822" w:type="dxa"/>
            <w:vAlign w:val="center"/>
          </w:tcPr>
          <w:p>
            <w:pPr>
              <w:widowControl/>
              <w:jc w:val="center"/>
              <w:textAlignment w:val="center"/>
              <w:rPr>
                <w:szCs w:val="21"/>
              </w:rPr>
            </w:pPr>
            <w:r>
              <w:rPr>
                <w:szCs w:val="21"/>
              </w:rPr>
              <w:t>7.04</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10</w:t>
            </w:r>
          </w:p>
        </w:tc>
        <w:tc>
          <w:tcPr>
            <w:tcW w:w="870" w:type="dxa"/>
            <w:vAlign w:val="center"/>
          </w:tcPr>
          <w:p>
            <w:pPr>
              <w:widowControl/>
              <w:jc w:val="center"/>
              <w:textAlignment w:val="center"/>
              <w:rPr>
                <w:szCs w:val="21"/>
              </w:rPr>
            </w:pPr>
            <w:r>
              <w:rPr>
                <w:szCs w:val="21"/>
              </w:rPr>
              <w:t>2.2</w:t>
            </w:r>
          </w:p>
        </w:tc>
        <w:tc>
          <w:tcPr>
            <w:tcW w:w="831" w:type="dxa"/>
            <w:vAlign w:val="center"/>
          </w:tcPr>
          <w:p>
            <w:pPr>
              <w:widowControl/>
              <w:jc w:val="center"/>
              <w:textAlignment w:val="center"/>
              <w:rPr>
                <w:szCs w:val="21"/>
              </w:rPr>
            </w:pPr>
            <w:r>
              <w:rPr>
                <w:szCs w:val="21"/>
              </w:rPr>
              <w:t>0.798</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3.0</w:t>
            </w:r>
          </w:p>
        </w:tc>
        <w:tc>
          <w:tcPr>
            <w:tcW w:w="702" w:type="dxa"/>
            <w:vAlign w:val="center"/>
          </w:tcPr>
          <w:p>
            <w:pPr>
              <w:widowControl/>
              <w:jc w:val="center"/>
              <w:textAlignment w:val="center"/>
              <w:rPr>
                <w:szCs w:val="21"/>
              </w:rPr>
            </w:pPr>
            <w:r>
              <w:rPr>
                <w:szCs w:val="21"/>
              </w:rPr>
              <w:t>8.13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continue"/>
            <w:vAlign w:val="center"/>
          </w:tcPr>
          <w:p>
            <w:pPr>
              <w:spacing w:line="320" w:lineRule="exact"/>
              <w:jc w:val="center"/>
              <w:rPr>
                <w:szCs w:val="21"/>
              </w:rPr>
            </w:pPr>
          </w:p>
        </w:tc>
        <w:tc>
          <w:tcPr>
            <w:tcW w:w="1416" w:type="dxa"/>
          </w:tcPr>
          <w:p>
            <w:pPr>
              <w:jc w:val="center"/>
              <w:rPr>
                <w:szCs w:val="21"/>
              </w:rPr>
            </w:pPr>
            <w:r>
              <w:rPr>
                <w:szCs w:val="21"/>
              </w:rPr>
              <w:t>11月19日</w:t>
            </w:r>
          </w:p>
        </w:tc>
        <w:tc>
          <w:tcPr>
            <w:tcW w:w="822" w:type="dxa"/>
            <w:vAlign w:val="center"/>
          </w:tcPr>
          <w:p>
            <w:pPr>
              <w:widowControl/>
              <w:jc w:val="center"/>
              <w:textAlignment w:val="center"/>
              <w:rPr>
                <w:szCs w:val="21"/>
              </w:rPr>
            </w:pPr>
            <w:r>
              <w:rPr>
                <w:szCs w:val="21"/>
              </w:rPr>
              <w:t>7.06</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10</w:t>
            </w:r>
          </w:p>
        </w:tc>
        <w:tc>
          <w:tcPr>
            <w:tcW w:w="870" w:type="dxa"/>
            <w:vAlign w:val="center"/>
          </w:tcPr>
          <w:p>
            <w:pPr>
              <w:widowControl/>
              <w:jc w:val="center"/>
              <w:textAlignment w:val="center"/>
              <w:rPr>
                <w:szCs w:val="21"/>
              </w:rPr>
            </w:pPr>
            <w:r>
              <w:rPr>
                <w:szCs w:val="21"/>
              </w:rPr>
              <w:t>2.3</w:t>
            </w:r>
          </w:p>
        </w:tc>
        <w:tc>
          <w:tcPr>
            <w:tcW w:w="831" w:type="dxa"/>
            <w:vAlign w:val="center"/>
          </w:tcPr>
          <w:p>
            <w:pPr>
              <w:widowControl/>
              <w:jc w:val="center"/>
              <w:textAlignment w:val="center"/>
              <w:rPr>
                <w:szCs w:val="21"/>
              </w:rPr>
            </w:pPr>
            <w:r>
              <w:rPr>
                <w:szCs w:val="21"/>
              </w:rPr>
              <w:t>0.786</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2.8</w:t>
            </w:r>
          </w:p>
        </w:tc>
        <w:tc>
          <w:tcPr>
            <w:tcW w:w="702" w:type="dxa"/>
            <w:vAlign w:val="center"/>
          </w:tcPr>
          <w:p>
            <w:pPr>
              <w:widowControl/>
              <w:jc w:val="center"/>
              <w:textAlignment w:val="center"/>
              <w:rPr>
                <w:szCs w:val="21"/>
              </w:rPr>
            </w:pPr>
            <w:r>
              <w:rPr>
                <w:szCs w:val="21"/>
              </w:rPr>
              <w:t>8.14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restart"/>
            <w:vAlign w:val="center"/>
          </w:tcPr>
          <w:p>
            <w:pPr>
              <w:adjustRightInd w:val="0"/>
              <w:snapToGrid w:val="0"/>
              <w:spacing w:line="320" w:lineRule="exact"/>
              <w:jc w:val="center"/>
              <w:rPr>
                <w:snapToGrid w:val="0"/>
                <w:kern w:val="0"/>
                <w:szCs w:val="21"/>
              </w:rPr>
            </w:pPr>
            <w:r>
              <w:rPr>
                <w:szCs w:val="21"/>
              </w:rPr>
              <w:t>码头上游边界线</w:t>
            </w:r>
          </w:p>
        </w:tc>
        <w:tc>
          <w:tcPr>
            <w:tcW w:w="1416" w:type="dxa"/>
            <w:vAlign w:val="center"/>
          </w:tcPr>
          <w:p>
            <w:pPr>
              <w:jc w:val="center"/>
              <w:rPr>
                <w:szCs w:val="21"/>
              </w:rPr>
            </w:pPr>
            <w:r>
              <w:rPr>
                <w:szCs w:val="21"/>
              </w:rPr>
              <w:t>11月18日</w:t>
            </w:r>
          </w:p>
        </w:tc>
        <w:tc>
          <w:tcPr>
            <w:tcW w:w="822" w:type="dxa"/>
            <w:vAlign w:val="center"/>
          </w:tcPr>
          <w:p>
            <w:pPr>
              <w:widowControl/>
              <w:jc w:val="center"/>
              <w:textAlignment w:val="center"/>
              <w:rPr>
                <w:szCs w:val="21"/>
              </w:rPr>
            </w:pPr>
            <w:r>
              <w:rPr>
                <w:szCs w:val="21"/>
              </w:rPr>
              <w:t>7.10</w:t>
            </w:r>
          </w:p>
        </w:tc>
        <w:tc>
          <w:tcPr>
            <w:tcW w:w="456" w:type="dxa"/>
            <w:vAlign w:val="center"/>
          </w:tcPr>
          <w:p>
            <w:pPr>
              <w:widowControl/>
              <w:jc w:val="center"/>
              <w:textAlignment w:val="center"/>
              <w:rPr>
                <w:szCs w:val="21"/>
              </w:rPr>
            </w:pPr>
            <w:r>
              <w:rPr>
                <w:szCs w:val="21"/>
              </w:rPr>
              <w:t>6</w:t>
            </w:r>
          </w:p>
        </w:tc>
        <w:tc>
          <w:tcPr>
            <w:tcW w:w="709" w:type="dxa"/>
            <w:vAlign w:val="center"/>
          </w:tcPr>
          <w:p>
            <w:pPr>
              <w:widowControl/>
              <w:jc w:val="center"/>
              <w:textAlignment w:val="center"/>
              <w:rPr>
                <w:szCs w:val="21"/>
              </w:rPr>
            </w:pPr>
            <w:r>
              <w:rPr>
                <w:szCs w:val="21"/>
              </w:rPr>
              <w:t>10</w:t>
            </w:r>
          </w:p>
        </w:tc>
        <w:tc>
          <w:tcPr>
            <w:tcW w:w="870" w:type="dxa"/>
            <w:vAlign w:val="center"/>
          </w:tcPr>
          <w:p>
            <w:pPr>
              <w:widowControl/>
              <w:jc w:val="center"/>
              <w:textAlignment w:val="center"/>
              <w:rPr>
                <w:szCs w:val="21"/>
              </w:rPr>
            </w:pPr>
            <w:r>
              <w:rPr>
                <w:szCs w:val="21"/>
              </w:rPr>
              <w:t xml:space="preserve">1.3 </w:t>
            </w:r>
          </w:p>
        </w:tc>
        <w:tc>
          <w:tcPr>
            <w:tcW w:w="831" w:type="dxa"/>
            <w:vAlign w:val="center"/>
          </w:tcPr>
          <w:p>
            <w:pPr>
              <w:widowControl/>
              <w:jc w:val="center"/>
              <w:textAlignment w:val="center"/>
              <w:rPr>
                <w:szCs w:val="21"/>
              </w:rPr>
            </w:pPr>
            <w:r>
              <w:rPr>
                <w:szCs w:val="21"/>
              </w:rPr>
              <w:t>0.706</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2.4</w:t>
            </w:r>
          </w:p>
        </w:tc>
        <w:tc>
          <w:tcPr>
            <w:tcW w:w="702" w:type="dxa"/>
            <w:vAlign w:val="center"/>
          </w:tcPr>
          <w:p>
            <w:pPr>
              <w:widowControl/>
              <w:jc w:val="center"/>
              <w:textAlignment w:val="center"/>
              <w:rPr>
                <w:szCs w:val="21"/>
              </w:rPr>
            </w:pPr>
            <w:r>
              <w:rPr>
                <w:szCs w:val="21"/>
              </w:rPr>
              <w:t>8.12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continue"/>
            <w:vAlign w:val="center"/>
          </w:tcPr>
          <w:p>
            <w:pPr>
              <w:spacing w:line="320" w:lineRule="exact"/>
              <w:jc w:val="center"/>
              <w:rPr>
                <w:szCs w:val="21"/>
              </w:rPr>
            </w:pPr>
          </w:p>
        </w:tc>
        <w:tc>
          <w:tcPr>
            <w:tcW w:w="1416" w:type="dxa"/>
          </w:tcPr>
          <w:p>
            <w:pPr>
              <w:jc w:val="center"/>
              <w:rPr>
                <w:szCs w:val="21"/>
              </w:rPr>
            </w:pPr>
            <w:r>
              <w:rPr>
                <w:szCs w:val="21"/>
              </w:rPr>
              <w:t>11月19日</w:t>
            </w:r>
          </w:p>
        </w:tc>
        <w:tc>
          <w:tcPr>
            <w:tcW w:w="822" w:type="dxa"/>
            <w:vAlign w:val="center"/>
          </w:tcPr>
          <w:p>
            <w:pPr>
              <w:widowControl/>
              <w:jc w:val="center"/>
              <w:textAlignment w:val="center"/>
              <w:rPr>
                <w:szCs w:val="21"/>
              </w:rPr>
            </w:pPr>
            <w:r>
              <w:rPr>
                <w:szCs w:val="21"/>
              </w:rPr>
              <w:t>7.15</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12</w:t>
            </w:r>
          </w:p>
        </w:tc>
        <w:tc>
          <w:tcPr>
            <w:tcW w:w="870" w:type="dxa"/>
            <w:vAlign w:val="center"/>
          </w:tcPr>
          <w:p>
            <w:pPr>
              <w:widowControl/>
              <w:jc w:val="center"/>
              <w:textAlignment w:val="center"/>
              <w:rPr>
                <w:szCs w:val="21"/>
              </w:rPr>
            </w:pPr>
            <w:r>
              <w:rPr>
                <w:szCs w:val="21"/>
              </w:rPr>
              <w:t>1.4</w:t>
            </w:r>
          </w:p>
        </w:tc>
        <w:tc>
          <w:tcPr>
            <w:tcW w:w="831" w:type="dxa"/>
            <w:vAlign w:val="center"/>
          </w:tcPr>
          <w:p>
            <w:pPr>
              <w:widowControl/>
              <w:jc w:val="center"/>
              <w:textAlignment w:val="center"/>
              <w:rPr>
                <w:szCs w:val="21"/>
              </w:rPr>
            </w:pPr>
            <w:r>
              <w:rPr>
                <w:szCs w:val="21"/>
              </w:rPr>
              <w:t>0.616</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1.8</w:t>
            </w:r>
          </w:p>
        </w:tc>
        <w:tc>
          <w:tcPr>
            <w:tcW w:w="702" w:type="dxa"/>
            <w:vAlign w:val="center"/>
          </w:tcPr>
          <w:p>
            <w:pPr>
              <w:widowControl/>
              <w:jc w:val="center"/>
              <w:textAlignment w:val="center"/>
              <w:rPr>
                <w:szCs w:val="21"/>
              </w:rPr>
            </w:pPr>
            <w:r>
              <w:rPr>
                <w:szCs w:val="21"/>
              </w:rPr>
              <w:t>8.14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restart"/>
            <w:vAlign w:val="center"/>
          </w:tcPr>
          <w:p>
            <w:pPr>
              <w:adjustRightInd w:val="0"/>
              <w:snapToGrid w:val="0"/>
              <w:spacing w:line="320" w:lineRule="exact"/>
              <w:jc w:val="center"/>
              <w:rPr>
                <w:snapToGrid w:val="0"/>
                <w:kern w:val="0"/>
                <w:szCs w:val="21"/>
              </w:rPr>
            </w:pPr>
            <w:r>
              <w:rPr>
                <w:szCs w:val="21"/>
              </w:rPr>
              <w:t>码头下游边界线</w:t>
            </w:r>
          </w:p>
        </w:tc>
        <w:tc>
          <w:tcPr>
            <w:tcW w:w="1416" w:type="dxa"/>
            <w:vAlign w:val="center"/>
          </w:tcPr>
          <w:p>
            <w:pPr>
              <w:jc w:val="center"/>
              <w:rPr>
                <w:szCs w:val="21"/>
              </w:rPr>
            </w:pPr>
            <w:r>
              <w:rPr>
                <w:szCs w:val="21"/>
              </w:rPr>
              <w:t>11月18日</w:t>
            </w:r>
          </w:p>
        </w:tc>
        <w:tc>
          <w:tcPr>
            <w:tcW w:w="822" w:type="dxa"/>
            <w:vAlign w:val="center"/>
          </w:tcPr>
          <w:p>
            <w:pPr>
              <w:widowControl/>
              <w:jc w:val="center"/>
              <w:textAlignment w:val="center"/>
              <w:rPr>
                <w:szCs w:val="21"/>
              </w:rPr>
            </w:pPr>
            <w:r>
              <w:rPr>
                <w:szCs w:val="21"/>
              </w:rPr>
              <w:t>7.08</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10</w:t>
            </w:r>
          </w:p>
        </w:tc>
        <w:tc>
          <w:tcPr>
            <w:tcW w:w="870" w:type="dxa"/>
            <w:vAlign w:val="center"/>
          </w:tcPr>
          <w:p>
            <w:pPr>
              <w:widowControl/>
              <w:jc w:val="center"/>
              <w:textAlignment w:val="center"/>
              <w:rPr>
                <w:szCs w:val="21"/>
              </w:rPr>
            </w:pPr>
            <w:r>
              <w:rPr>
                <w:szCs w:val="21"/>
              </w:rPr>
              <w:t>1.6</w:t>
            </w:r>
          </w:p>
        </w:tc>
        <w:tc>
          <w:tcPr>
            <w:tcW w:w="831" w:type="dxa"/>
            <w:vAlign w:val="center"/>
          </w:tcPr>
          <w:p>
            <w:pPr>
              <w:widowControl/>
              <w:jc w:val="center"/>
              <w:textAlignment w:val="center"/>
              <w:rPr>
                <w:szCs w:val="21"/>
              </w:rPr>
            </w:pPr>
            <w:r>
              <w:rPr>
                <w:szCs w:val="21"/>
              </w:rPr>
              <w:t>0.724</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2.7</w:t>
            </w:r>
          </w:p>
        </w:tc>
        <w:tc>
          <w:tcPr>
            <w:tcW w:w="702" w:type="dxa"/>
            <w:vAlign w:val="center"/>
          </w:tcPr>
          <w:p>
            <w:pPr>
              <w:widowControl/>
              <w:jc w:val="center"/>
              <w:textAlignment w:val="center"/>
              <w:rPr>
                <w:szCs w:val="21"/>
              </w:rPr>
            </w:pPr>
            <w:r>
              <w:rPr>
                <w:szCs w:val="21"/>
              </w:rPr>
              <w:t>8.36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continue"/>
            <w:vAlign w:val="center"/>
          </w:tcPr>
          <w:p>
            <w:pPr>
              <w:spacing w:line="320" w:lineRule="exact"/>
              <w:jc w:val="center"/>
              <w:rPr>
                <w:szCs w:val="21"/>
              </w:rPr>
            </w:pPr>
          </w:p>
        </w:tc>
        <w:tc>
          <w:tcPr>
            <w:tcW w:w="1416" w:type="dxa"/>
          </w:tcPr>
          <w:p>
            <w:pPr>
              <w:jc w:val="center"/>
              <w:rPr>
                <w:szCs w:val="21"/>
              </w:rPr>
            </w:pPr>
            <w:r>
              <w:rPr>
                <w:szCs w:val="21"/>
              </w:rPr>
              <w:t>11月19日</w:t>
            </w:r>
          </w:p>
        </w:tc>
        <w:tc>
          <w:tcPr>
            <w:tcW w:w="822" w:type="dxa"/>
            <w:vAlign w:val="center"/>
          </w:tcPr>
          <w:p>
            <w:pPr>
              <w:widowControl/>
              <w:jc w:val="center"/>
              <w:textAlignment w:val="center"/>
              <w:rPr>
                <w:szCs w:val="21"/>
              </w:rPr>
            </w:pPr>
            <w:r>
              <w:rPr>
                <w:szCs w:val="21"/>
              </w:rPr>
              <w:t>7.03</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11</w:t>
            </w:r>
          </w:p>
        </w:tc>
        <w:tc>
          <w:tcPr>
            <w:tcW w:w="870" w:type="dxa"/>
            <w:vAlign w:val="center"/>
          </w:tcPr>
          <w:p>
            <w:pPr>
              <w:widowControl/>
              <w:jc w:val="center"/>
              <w:textAlignment w:val="center"/>
              <w:rPr>
                <w:szCs w:val="21"/>
              </w:rPr>
            </w:pPr>
            <w:r>
              <w:rPr>
                <w:szCs w:val="21"/>
              </w:rPr>
              <w:t>1.9</w:t>
            </w:r>
          </w:p>
        </w:tc>
        <w:tc>
          <w:tcPr>
            <w:tcW w:w="831" w:type="dxa"/>
            <w:vAlign w:val="center"/>
          </w:tcPr>
          <w:p>
            <w:pPr>
              <w:widowControl/>
              <w:jc w:val="center"/>
              <w:textAlignment w:val="center"/>
              <w:rPr>
                <w:szCs w:val="21"/>
              </w:rPr>
            </w:pPr>
            <w:r>
              <w:rPr>
                <w:szCs w:val="21"/>
              </w:rPr>
              <w:t>0.536</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2.2</w:t>
            </w:r>
          </w:p>
        </w:tc>
        <w:tc>
          <w:tcPr>
            <w:tcW w:w="702" w:type="dxa"/>
            <w:vAlign w:val="center"/>
          </w:tcPr>
          <w:p>
            <w:pPr>
              <w:widowControl/>
              <w:jc w:val="center"/>
              <w:textAlignment w:val="center"/>
              <w:rPr>
                <w:szCs w:val="21"/>
              </w:rPr>
            </w:pPr>
            <w:r>
              <w:rPr>
                <w:szCs w:val="21"/>
              </w:rPr>
              <w:t>8.38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restart"/>
            <w:vAlign w:val="center"/>
          </w:tcPr>
          <w:p>
            <w:pPr>
              <w:spacing w:line="320" w:lineRule="exact"/>
              <w:jc w:val="center"/>
              <w:rPr>
                <w:szCs w:val="21"/>
              </w:rPr>
            </w:pPr>
            <w:r>
              <w:rPr>
                <w:szCs w:val="21"/>
              </w:rPr>
              <w:t>码头下游1500m</w:t>
            </w:r>
          </w:p>
        </w:tc>
        <w:tc>
          <w:tcPr>
            <w:tcW w:w="1416" w:type="dxa"/>
            <w:vAlign w:val="center"/>
          </w:tcPr>
          <w:p>
            <w:pPr>
              <w:jc w:val="center"/>
              <w:rPr>
                <w:szCs w:val="21"/>
              </w:rPr>
            </w:pPr>
            <w:r>
              <w:rPr>
                <w:szCs w:val="21"/>
              </w:rPr>
              <w:t>11月18日</w:t>
            </w:r>
          </w:p>
        </w:tc>
        <w:tc>
          <w:tcPr>
            <w:tcW w:w="822" w:type="dxa"/>
            <w:vAlign w:val="center"/>
          </w:tcPr>
          <w:p>
            <w:pPr>
              <w:widowControl/>
              <w:jc w:val="center"/>
              <w:textAlignment w:val="center"/>
              <w:rPr>
                <w:szCs w:val="21"/>
              </w:rPr>
            </w:pPr>
            <w:r>
              <w:rPr>
                <w:szCs w:val="21"/>
              </w:rPr>
              <w:t>7.21</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10</w:t>
            </w:r>
          </w:p>
        </w:tc>
        <w:tc>
          <w:tcPr>
            <w:tcW w:w="870" w:type="dxa"/>
            <w:vAlign w:val="center"/>
          </w:tcPr>
          <w:p>
            <w:pPr>
              <w:widowControl/>
              <w:jc w:val="center"/>
              <w:textAlignment w:val="center"/>
              <w:rPr>
                <w:szCs w:val="21"/>
              </w:rPr>
            </w:pPr>
            <w:r>
              <w:rPr>
                <w:szCs w:val="21"/>
              </w:rPr>
              <w:t>2.0</w:t>
            </w:r>
          </w:p>
        </w:tc>
        <w:tc>
          <w:tcPr>
            <w:tcW w:w="831" w:type="dxa"/>
            <w:vAlign w:val="center"/>
          </w:tcPr>
          <w:p>
            <w:pPr>
              <w:widowControl/>
              <w:jc w:val="center"/>
              <w:textAlignment w:val="center"/>
              <w:rPr>
                <w:szCs w:val="21"/>
              </w:rPr>
            </w:pPr>
            <w:r>
              <w:rPr>
                <w:szCs w:val="21"/>
              </w:rPr>
              <w:t>0.394</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2.2</w:t>
            </w:r>
          </w:p>
        </w:tc>
        <w:tc>
          <w:tcPr>
            <w:tcW w:w="702" w:type="dxa"/>
            <w:vAlign w:val="center"/>
          </w:tcPr>
          <w:p>
            <w:pPr>
              <w:widowControl/>
              <w:jc w:val="center"/>
              <w:textAlignment w:val="center"/>
              <w:rPr>
                <w:szCs w:val="21"/>
              </w:rPr>
            </w:pPr>
            <w:r>
              <w:rPr>
                <w:szCs w:val="21"/>
              </w:rPr>
              <w:t>8.61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continue"/>
            <w:vAlign w:val="center"/>
          </w:tcPr>
          <w:p>
            <w:pPr>
              <w:spacing w:line="320" w:lineRule="exact"/>
              <w:jc w:val="center"/>
              <w:rPr>
                <w:szCs w:val="21"/>
              </w:rPr>
            </w:pPr>
          </w:p>
        </w:tc>
        <w:tc>
          <w:tcPr>
            <w:tcW w:w="1416" w:type="dxa"/>
          </w:tcPr>
          <w:p>
            <w:pPr>
              <w:jc w:val="center"/>
              <w:rPr>
                <w:szCs w:val="21"/>
              </w:rPr>
            </w:pPr>
            <w:r>
              <w:rPr>
                <w:szCs w:val="21"/>
              </w:rPr>
              <w:t>11月19日</w:t>
            </w:r>
          </w:p>
        </w:tc>
        <w:tc>
          <w:tcPr>
            <w:tcW w:w="822" w:type="dxa"/>
            <w:vAlign w:val="center"/>
          </w:tcPr>
          <w:p>
            <w:pPr>
              <w:widowControl/>
              <w:jc w:val="center"/>
              <w:textAlignment w:val="center"/>
              <w:rPr>
                <w:szCs w:val="21"/>
              </w:rPr>
            </w:pPr>
            <w:r>
              <w:rPr>
                <w:szCs w:val="21"/>
              </w:rPr>
              <w:t>7.28</w:t>
            </w:r>
          </w:p>
        </w:tc>
        <w:tc>
          <w:tcPr>
            <w:tcW w:w="456" w:type="dxa"/>
            <w:vAlign w:val="center"/>
          </w:tcPr>
          <w:p>
            <w:pPr>
              <w:widowControl/>
              <w:jc w:val="center"/>
              <w:textAlignment w:val="center"/>
              <w:rPr>
                <w:szCs w:val="21"/>
              </w:rPr>
            </w:pPr>
            <w:r>
              <w:rPr>
                <w:szCs w:val="21"/>
              </w:rPr>
              <w:t>5</w:t>
            </w:r>
          </w:p>
        </w:tc>
        <w:tc>
          <w:tcPr>
            <w:tcW w:w="709" w:type="dxa"/>
            <w:vAlign w:val="center"/>
          </w:tcPr>
          <w:p>
            <w:pPr>
              <w:widowControl/>
              <w:jc w:val="center"/>
              <w:textAlignment w:val="center"/>
              <w:rPr>
                <w:szCs w:val="21"/>
              </w:rPr>
            </w:pPr>
            <w:r>
              <w:rPr>
                <w:szCs w:val="21"/>
              </w:rPr>
              <w:t>9</w:t>
            </w:r>
          </w:p>
        </w:tc>
        <w:tc>
          <w:tcPr>
            <w:tcW w:w="870" w:type="dxa"/>
            <w:vAlign w:val="center"/>
          </w:tcPr>
          <w:p>
            <w:pPr>
              <w:widowControl/>
              <w:jc w:val="center"/>
              <w:textAlignment w:val="center"/>
              <w:rPr>
                <w:szCs w:val="21"/>
              </w:rPr>
            </w:pPr>
            <w:r>
              <w:rPr>
                <w:szCs w:val="21"/>
              </w:rPr>
              <w:t>1.2</w:t>
            </w:r>
          </w:p>
        </w:tc>
        <w:tc>
          <w:tcPr>
            <w:tcW w:w="831" w:type="dxa"/>
            <w:vAlign w:val="center"/>
          </w:tcPr>
          <w:p>
            <w:pPr>
              <w:widowControl/>
              <w:jc w:val="center"/>
              <w:textAlignment w:val="center"/>
              <w:rPr>
                <w:szCs w:val="21"/>
              </w:rPr>
            </w:pPr>
            <w:r>
              <w:rPr>
                <w:szCs w:val="21"/>
              </w:rPr>
              <w:t>0.430</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2.0</w:t>
            </w:r>
          </w:p>
        </w:tc>
        <w:tc>
          <w:tcPr>
            <w:tcW w:w="702" w:type="dxa"/>
            <w:vAlign w:val="center"/>
          </w:tcPr>
          <w:p>
            <w:pPr>
              <w:widowControl/>
              <w:jc w:val="center"/>
              <w:textAlignment w:val="center"/>
              <w:rPr>
                <w:szCs w:val="21"/>
              </w:rPr>
            </w:pPr>
            <w:r>
              <w:rPr>
                <w:szCs w:val="21"/>
              </w:rPr>
              <w:t>8.65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restart"/>
            <w:vAlign w:val="center"/>
          </w:tcPr>
          <w:p>
            <w:pPr>
              <w:spacing w:line="320" w:lineRule="exact"/>
              <w:jc w:val="center"/>
              <w:rPr>
                <w:szCs w:val="21"/>
              </w:rPr>
            </w:pPr>
            <w:r>
              <w:rPr>
                <w:szCs w:val="21"/>
              </w:rPr>
              <w:t>码头下游3800m</w:t>
            </w:r>
          </w:p>
        </w:tc>
        <w:tc>
          <w:tcPr>
            <w:tcW w:w="1416" w:type="dxa"/>
            <w:vAlign w:val="center"/>
          </w:tcPr>
          <w:p>
            <w:pPr>
              <w:jc w:val="center"/>
              <w:rPr>
                <w:szCs w:val="21"/>
              </w:rPr>
            </w:pPr>
            <w:r>
              <w:rPr>
                <w:szCs w:val="21"/>
              </w:rPr>
              <w:t>11月18日</w:t>
            </w:r>
          </w:p>
        </w:tc>
        <w:tc>
          <w:tcPr>
            <w:tcW w:w="822" w:type="dxa"/>
            <w:vAlign w:val="center"/>
          </w:tcPr>
          <w:p>
            <w:pPr>
              <w:widowControl/>
              <w:jc w:val="center"/>
              <w:textAlignment w:val="center"/>
              <w:rPr>
                <w:szCs w:val="21"/>
              </w:rPr>
            </w:pPr>
            <w:r>
              <w:rPr>
                <w:szCs w:val="21"/>
              </w:rPr>
              <w:t>7.17</w:t>
            </w:r>
          </w:p>
        </w:tc>
        <w:tc>
          <w:tcPr>
            <w:tcW w:w="456" w:type="dxa"/>
            <w:vAlign w:val="center"/>
          </w:tcPr>
          <w:p>
            <w:pPr>
              <w:widowControl/>
              <w:jc w:val="center"/>
              <w:textAlignment w:val="center"/>
              <w:rPr>
                <w:szCs w:val="21"/>
              </w:rPr>
            </w:pPr>
            <w:r>
              <w:rPr>
                <w:szCs w:val="21"/>
              </w:rPr>
              <w:t>6</w:t>
            </w:r>
          </w:p>
        </w:tc>
        <w:tc>
          <w:tcPr>
            <w:tcW w:w="709" w:type="dxa"/>
            <w:vAlign w:val="center"/>
          </w:tcPr>
          <w:p>
            <w:pPr>
              <w:widowControl/>
              <w:jc w:val="center"/>
              <w:textAlignment w:val="center"/>
              <w:rPr>
                <w:szCs w:val="21"/>
              </w:rPr>
            </w:pPr>
            <w:r>
              <w:rPr>
                <w:szCs w:val="21"/>
              </w:rPr>
              <w:t>7</w:t>
            </w:r>
          </w:p>
        </w:tc>
        <w:tc>
          <w:tcPr>
            <w:tcW w:w="870" w:type="dxa"/>
            <w:vAlign w:val="center"/>
          </w:tcPr>
          <w:p>
            <w:pPr>
              <w:widowControl/>
              <w:jc w:val="center"/>
              <w:textAlignment w:val="center"/>
              <w:rPr>
                <w:szCs w:val="21"/>
              </w:rPr>
            </w:pPr>
            <w:r>
              <w:rPr>
                <w:szCs w:val="21"/>
              </w:rPr>
              <w:t>2.6</w:t>
            </w:r>
          </w:p>
        </w:tc>
        <w:tc>
          <w:tcPr>
            <w:tcW w:w="831" w:type="dxa"/>
            <w:vAlign w:val="center"/>
          </w:tcPr>
          <w:p>
            <w:pPr>
              <w:widowControl/>
              <w:jc w:val="center"/>
              <w:textAlignment w:val="center"/>
              <w:rPr>
                <w:szCs w:val="21"/>
              </w:rPr>
            </w:pPr>
            <w:r>
              <w:rPr>
                <w:szCs w:val="21"/>
              </w:rPr>
              <w:t>0.210</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2.2</w:t>
            </w:r>
          </w:p>
        </w:tc>
        <w:tc>
          <w:tcPr>
            <w:tcW w:w="702" w:type="dxa"/>
            <w:vAlign w:val="center"/>
          </w:tcPr>
          <w:p>
            <w:pPr>
              <w:widowControl/>
              <w:jc w:val="center"/>
              <w:textAlignment w:val="center"/>
              <w:rPr>
                <w:szCs w:val="21"/>
              </w:rPr>
            </w:pPr>
            <w:r>
              <w:rPr>
                <w:szCs w:val="21"/>
              </w:rPr>
              <w:t>8.46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c>
          <w:tcPr>
            <w:tcW w:w="1526" w:type="dxa"/>
            <w:vMerge w:val="continue"/>
            <w:vAlign w:val="center"/>
          </w:tcPr>
          <w:p>
            <w:pPr>
              <w:spacing w:line="320" w:lineRule="exact"/>
              <w:jc w:val="center"/>
              <w:rPr>
                <w:szCs w:val="21"/>
              </w:rPr>
            </w:pPr>
          </w:p>
        </w:tc>
        <w:tc>
          <w:tcPr>
            <w:tcW w:w="1416" w:type="dxa"/>
          </w:tcPr>
          <w:p>
            <w:pPr>
              <w:jc w:val="center"/>
              <w:rPr>
                <w:szCs w:val="21"/>
              </w:rPr>
            </w:pPr>
            <w:r>
              <w:rPr>
                <w:szCs w:val="21"/>
              </w:rPr>
              <w:t>11月19日</w:t>
            </w:r>
          </w:p>
        </w:tc>
        <w:tc>
          <w:tcPr>
            <w:tcW w:w="822" w:type="dxa"/>
            <w:vAlign w:val="center"/>
          </w:tcPr>
          <w:p>
            <w:pPr>
              <w:widowControl/>
              <w:jc w:val="center"/>
              <w:textAlignment w:val="center"/>
              <w:rPr>
                <w:szCs w:val="21"/>
              </w:rPr>
            </w:pPr>
            <w:r>
              <w:rPr>
                <w:szCs w:val="21"/>
              </w:rPr>
              <w:t>7.14</w:t>
            </w:r>
          </w:p>
        </w:tc>
        <w:tc>
          <w:tcPr>
            <w:tcW w:w="456" w:type="dxa"/>
            <w:vAlign w:val="center"/>
          </w:tcPr>
          <w:p>
            <w:pPr>
              <w:widowControl/>
              <w:jc w:val="center"/>
              <w:textAlignment w:val="center"/>
              <w:rPr>
                <w:szCs w:val="21"/>
              </w:rPr>
            </w:pPr>
            <w:r>
              <w:rPr>
                <w:szCs w:val="21"/>
              </w:rPr>
              <w:t>6</w:t>
            </w:r>
          </w:p>
        </w:tc>
        <w:tc>
          <w:tcPr>
            <w:tcW w:w="709" w:type="dxa"/>
            <w:vAlign w:val="center"/>
          </w:tcPr>
          <w:p>
            <w:pPr>
              <w:widowControl/>
              <w:jc w:val="center"/>
              <w:textAlignment w:val="center"/>
              <w:rPr>
                <w:szCs w:val="21"/>
              </w:rPr>
            </w:pPr>
            <w:r>
              <w:rPr>
                <w:szCs w:val="21"/>
              </w:rPr>
              <w:t>11</w:t>
            </w:r>
          </w:p>
        </w:tc>
        <w:tc>
          <w:tcPr>
            <w:tcW w:w="870" w:type="dxa"/>
            <w:vAlign w:val="center"/>
          </w:tcPr>
          <w:p>
            <w:pPr>
              <w:widowControl/>
              <w:jc w:val="center"/>
              <w:textAlignment w:val="center"/>
              <w:rPr>
                <w:szCs w:val="21"/>
              </w:rPr>
            </w:pPr>
            <w:r>
              <w:rPr>
                <w:szCs w:val="21"/>
              </w:rPr>
              <w:t>2.6</w:t>
            </w:r>
          </w:p>
        </w:tc>
        <w:tc>
          <w:tcPr>
            <w:tcW w:w="831" w:type="dxa"/>
            <w:vAlign w:val="center"/>
          </w:tcPr>
          <w:p>
            <w:pPr>
              <w:widowControl/>
              <w:jc w:val="center"/>
              <w:textAlignment w:val="center"/>
              <w:rPr>
                <w:szCs w:val="21"/>
              </w:rPr>
            </w:pPr>
            <w:r>
              <w:rPr>
                <w:szCs w:val="21"/>
              </w:rPr>
              <w:t>0.272</w:t>
            </w:r>
          </w:p>
        </w:tc>
        <w:tc>
          <w:tcPr>
            <w:tcW w:w="849" w:type="dxa"/>
            <w:vAlign w:val="center"/>
          </w:tcPr>
          <w:p>
            <w:pPr>
              <w:widowControl/>
              <w:jc w:val="center"/>
              <w:textAlignment w:val="center"/>
              <w:rPr>
                <w:szCs w:val="21"/>
              </w:rPr>
            </w:pPr>
            <w:r>
              <w:rPr>
                <w:szCs w:val="21"/>
              </w:rPr>
              <w:t>ND</w:t>
            </w:r>
          </w:p>
        </w:tc>
        <w:tc>
          <w:tcPr>
            <w:tcW w:w="867" w:type="dxa"/>
            <w:vAlign w:val="center"/>
          </w:tcPr>
          <w:p>
            <w:pPr>
              <w:widowControl/>
              <w:jc w:val="center"/>
              <w:textAlignment w:val="center"/>
              <w:rPr>
                <w:szCs w:val="21"/>
              </w:rPr>
            </w:pPr>
            <w:r>
              <w:rPr>
                <w:szCs w:val="21"/>
              </w:rPr>
              <w:t>2.2</w:t>
            </w:r>
          </w:p>
        </w:tc>
        <w:tc>
          <w:tcPr>
            <w:tcW w:w="702" w:type="dxa"/>
            <w:vAlign w:val="center"/>
          </w:tcPr>
          <w:p>
            <w:pPr>
              <w:widowControl/>
              <w:jc w:val="center"/>
              <w:textAlignment w:val="center"/>
              <w:rPr>
                <w:szCs w:val="21"/>
              </w:rPr>
            </w:pPr>
            <w:r>
              <w:rPr>
                <w:szCs w:val="21"/>
              </w:rPr>
              <w:t>8.49</w:t>
            </w:r>
          </w:p>
        </w:tc>
      </w:tr>
    </w:tbl>
    <w:p>
      <w:pPr/>
      <w:r>
        <w:rPr>
          <w:rFonts w:hint="eastAsia"/>
          <w:b/>
          <w:sz w:val="18"/>
          <w:szCs w:val="18"/>
        </w:rPr>
        <w:t>说明：表中“</w:t>
      </w:r>
      <w:r>
        <w:rPr>
          <w:b/>
          <w:sz w:val="18"/>
          <w:szCs w:val="18"/>
        </w:rPr>
        <w:t>ND</w:t>
      </w:r>
      <w:r>
        <w:rPr>
          <w:rFonts w:hint="eastAsia"/>
          <w:b/>
          <w:sz w:val="18"/>
          <w:szCs w:val="18"/>
        </w:rPr>
        <w:t>”表示未检出</w:t>
      </w:r>
      <w:r>
        <w:rPr>
          <w:rFonts w:hint="eastAsia"/>
        </w:rPr>
        <w:t>。</w:t>
      </w:r>
    </w:p>
    <w:p>
      <w:pPr>
        <w:spacing w:line="360" w:lineRule="auto"/>
        <w:ind w:firstLine="480" w:firstLineChars="200"/>
        <w:rPr>
          <w:sz w:val="24"/>
        </w:rPr>
      </w:pPr>
      <w:r>
        <w:rPr>
          <w:rFonts w:hint="eastAsia"/>
          <w:sz w:val="24"/>
        </w:rPr>
        <w:t>（2）评价方法</w:t>
      </w:r>
    </w:p>
    <w:p>
      <w:pPr>
        <w:spacing w:line="360" w:lineRule="auto"/>
        <w:ind w:firstLine="480" w:firstLineChars="200"/>
        <w:rPr>
          <w:sz w:val="24"/>
        </w:rPr>
      </w:pPr>
      <w:r>
        <w:rPr>
          <w:sz w:val="24"/>
        </w:rPr>
        <w:t>根据水质监测的项目及结果，采用单因子污染指数法进行现状评价。由</w:t>
      </w:r>
      <w:r>
        <w:rPr>
          <w:i/>
          <w:sz w:val="24"/>
        </w:rPr>
        <w:t>P</w:t>
      </w:r>
      <w:r>
        <w:rPr>
          <w:i/>
          <w:sz w:val="24"/>
          <w:vertAlign w:val="subscript"/>
        </w:rPr>
        <w:t>i</w:t>
      </w:r>
      <w:r>
        <w:rPr>
          <w:sz w:val="24"/>
        </w:rPr>
        <w:t>值的大小，评价监测项目的水环境质量现状。选择断面平均值进行评价。计算公式如下：</w:t>
      </w:r>
    </w:p>
    <w:p>
      <w:pPr>
        <w:spacing w:line="360" w:lineRule="auto"/>
        <w:ind w:firstLine="480" w:firstLineChars="200"/>
        <w:rPr>
          <w:sz w:val="24"/>
        </w:rPr>
      </w:pPr>
      <w:r>
        <w:rPr>
          <w:i/>
          <w:iCs/>
          <w:sz w:val="24"/>
        </w:rPr>
        <w:t>P</w:t>
      </w:r>
      <w:r>
        <w:rPr>
          <w:i/>
          <w:iCs/>
          <w:sz w:val="24"/>
          <w:vertAlign w:val="subscript"/>
        </w:rPr>
        <w:t>i</w:t>
      </w:r>
      <w:r>
        <w:rPr>
          <w:sz w:val="24"/>
        </w:rPr>
        <w:t>＝</w:t>
      </w:r>
      <w:r>
        <w:rPr>
          <w:i/>
          <w:iCs/>
          <w:sz w:val="24"/>
        </w:rPr>
        <w:t>C</w:t>
      </w:r>
      <w:r>
        <w:rPr>
          <w:i/>
          <w:iCs/>
          <w:sz w:val="24"/>
          <w:vertAlign w:val="subscript"/>
        </w:rPr>
        <w:t>i</w:t>
      </w:r>
      <w:r>
        <w:rPr>
          <w:sz w:val="24"/>
        </w:rPr>
        <w:t>／</w:t>
      </w:r>
      <w:r>
        <w:rPr>
          <w:i/>
          <w:iCs/>
          <w:sz w:val="24"/>
        </w:rPr>
        <w:t>B</w:t>
      </w:r>
      <w:r>
        <w:rPr>
          <w:i/>
          <w:iCs/>
          <w:sz w:val="24"/>
          <w:vertAlign w:val="subscript"/>
        </w:rPr>
        <w:t>i</w:t>
      </w:r>
    </w:p>
    <w:p>
      <w:pPr>
        <w:spacing w:line="360" w:lineRule="auto"/>
        <w:rPr>
          <w:sz w:val="24"/>
        </w:rPr>
      </w:pPr>
      <w:r>
        <w:rPr>
          <w:sz w:val="24"/>
        </w:rPr>
        <w:t>式中：</w:t>
      </w:r>
    </w:p>
    <w:p>
      <w:pPr>
        <w:spacing w:line="360" w:lineRule="auto"/>
        <w:ind w:firstLine="480" w:firstLineChars="200"/>
        <w:rPr>
          <w:sz w:val="24"/>
        </w:rPr>
      </w:pPr>
      <w:r>
        <w:rPr>
          <w:i/>
          <w:iCs/>
          <w:sz w:val="24"/>
        </w:rPr>
        <w:t>P</w:t>
      </w:r>
      <w:r>
        <w:rPr>
          <w:i/>
          <w:iCs/>
          <w:sz w:val="24"/>
          <w:vertAlign w:val="subscript"/>
        </w:rPr>
        <w:t>i</w:t>
      </w:r>
      <w:r>
        <w:rPr>
          <w:sz w:val="24"/>
        </w:rPr>
        <w:t>——</w:t>
      </w:r>
      <w:r>
        <w:rPr>
          <w:i/>
          <w:iCs/>
          <w:sz w:val="24"/>
        </w:rPr>
        <w:t>i</w:t>
      </w:r>
      <w:r>
        <w:rPr>
          <w:sz w:val="24"/>
        </w:rPr>
        <w:t>因子的环境质量指数；</w:t>
      </w:r>
    </w:p>
    <w:p>
      <w:pPr>
        <w:spacing w:line="360" w:lineRule="auto"/>
        <w:ind w:firstLine="480" w:firstLineChars="200"/>
        <w:rPr>
          <w:sz w:val="24"/>
        </w:rPr>
      </w:pPr>
      <w:r>
        <w:rPr>
          <w:i/>
          <w:iCs/>
          <w:sz w:val="24"/>
        </w:rPr>
        <w:t>C</w:t>
      </w:r>
      <w:r>
        <w:rPr>
          <w:i/>
          <w:iCs/>
          <w:sz w:val="24"/>
          <w:vertAlign w:val="subscript"/>
        </w:rPr>
        <w:t>i</w:t>
      </w:r>
      <w:r>
        <w:rPr>
          <w:sz w:val="24"/>
        </w:rPr>
        <w:t>——</w:t>
      </w:r>
      <w:r>
        <w:rPr>
          <w:i/>
          <w:iCs/>
          <w:sz w:val="24"/>
        </w:rPr>
        <w:t>i</w:t>
      </w:r>
      <w:r>
        <w:rPr>
          <w:sz w:val="24"/>
        </w:rPr>
        <w:t>因子的现状监测结果，mg/L；</w:t>
      </w:r>
    </w:p>
    <w:p>
      <w:pPr>
        <w:spacing w:line="360" w:lineRule="auto"/>
        <w:ind w:firstLine="480" w:firstLineChars="200"/>
        <w:rPr>
          <w:sz w:val="24"/>
        </w:rPr>
      </w:pPr>
      <w:r>
        <w:rPr>
          <w:i/>
          <w:iCs/>
          <w:sz w:val="24"/>
        </w:rPr>
        <w:t>B</w:t>
      </w:r>
      <w:r>
        <w:rPr>
          <w:i/>
          <w:iCs/>
          <w:sz w:val="24"/>
          <w:vertAlign w:val="subscript"/>
        </w:rPr>
        <w:t>i</w:t>
      </w:r>
      <w:r>
        <w:rPr>
          <w:sz w:val="24"/>
        </w:rPr>
        <w:t>——</w:t>
      </w:r>
      <w:r>
        <w:rPr>
          <w:i/>
          <w:iCs/>
          <w:sz w:val="24"/>
        </w:rPr>
        <w:t>i</w:t>
      </w:r>
      <w:r>
        <w:rPr>
          <w:sz w:val="24"/>
        </w:rPr>
        <w:t>因子的评价标准，mg/L。</w:t>
      </w:r>
    </w:p>
    <w:p>
      <w:pPr>
        <w:spacing w:line="360" w:lineRule="auto"/>
        <w:ind w:firstLine="480" w:firstLineChars="200"/>
        <w:rPr>
          <w:sz w:val="24"/>
        </w:rPr>
      </w:pPr>
      <w:r>
        <w:rPr>
          <w:sz w:val="24"/>
        </w:rPr>
        <w:t>pH值的评价公式：</w:t>
      </w:r>
    </w:p>
    <w:p>
      <w:pPr>
        <w:spacing w:line="360" w:lineRule="auto"/>
        <w:ind w:firstLine="1193" w:firstLineChars="497"/>
        <w:rPr>
          <w:sz w:val="24"/>
        </w:rPr>
      </w:pPr>
      <w:r>
        <w:rPr>
          <w:i/>
          <w:iCs/>
          <w:sz w:val="24"/>
        </w:rPr>
        <w:t>P</w:t>
      </w:r>
      <w:r>
        <w:rPr>
          <w:i/>
          <w:iCs/>
          <w:sz w:val="24"/>
          <w:vertAlign w:val="subscript"/>
        </w:rPr>
        <w:t>i</w:t>
      </w:r>
      <w:r>
        <w:rPr>
          <w:sz w:val="24"/>
        </w:rPr>
        <w:t>=（7.0－</w:t>
      </w:r>
      <w:r>
        <w:rPr>
          <w:i/>
          <w:iCs/>
          <w:sz w:val="24"/>
        </w:rPr>
        <w:t>C</w:t>
      </w:r>
      <w:r>
        <w:rPr>
          <w:i/>
          <w:iCs/>
          <w:sz w:val="24"/>
          <w:vertAlign w:val="subscript"/>
        </w:rPr>
        <w:t>i</w:t>
      </w:r>
      <w:r>
        <w:rPr>
          <w:sz w:val="24"/>
        </w:rPr>
        <w:t>）／（7.0－</w:t>
      </w:r>
      <w:r>
        <w:rPr>
          <w:i/>
          <w:iCs/>
          <w:sz w:val="24"/>
        </w:rPr>
        <w:t>C</w:t>
      </w:r>
      <w:r>
        <w:rPr>
          <w:i/>
          <w:iCs/>
          <w:sz w:val="24"/>
          <w:vertAlign w:val="subscript"/>
        </w:rPr>
        <w:t>sd</w:t>
      </w:r>
      <w:r>
        <w:rPr>
          <w:sz w:val="24"/>
        </w:rPr>
        <w:t>）（</w:t>
      </w:r>
      <w:r>
        <w:rPr>
          <w:i/>
          <w:iCs/>
          <w:sz w:val="24"/>
        </w:rPr>
        <w:t>C</w:t>
      </w:r>
      <w:r>
        <w:rPr>
          <w:i/>
          <w:iCs/>
          <w:sz w:val="24"/>
          <w:vertAlign w:val="subscript"/>
        </w:rPr>
        <w:t>i</w:t>
      </w:r>
      <w:r>
        <w:rPr>
          <w:sz w:val="24"/>
        </w:rPr>
        <w:t>≤7.0）</w:t>
      </w:r>
    </w:p>
    <w:p>
      <w:pPr>
        <w:spacing w:line="360" w:lineRule="auto"/>
        <w:ind w:firstLine="1193" w:firstLineChars="497"/>
        <w:rPr>
          <w:sz w:val="24"/>
        </w:rPr>
      </w:pPr>
      <w:r>
        <w:rPr>
          <w:i/>
          <w:iCs/>
          <w:sz w:val="24"/>
        </w:rPr>
        <w:t>P</w:t>
      </w:r>
      <w:r>
        <w:rPr>
          <w:i/>
          <w:iCs/>
          <w:sz w:val="24"/>
          <w:vertAlign w:val="subscript"/>
        </w:rPr>
        <w:t>i</w:t>
      </w:r>
      <w:r>
        <w:rPr>
          <w:sz w:val="24"/>
        </w:rPr>
        <w:t>=（</w:t>
      </w:r>
      <w:r>
        <w:rPr>
          <w:i/>
          <w:iCs/>
          <w:sz w:val="24"/>
        </w:rPr>
        <w:t>C</w:t>
      </w:r>
      <w:r>
        <w:rPr>
          <w:i/>
          <w:iCs/>
          <w:sz w:val="24"/>
          <w:vertAlign w:val="subscript"/>
        </w:rPr>
        <w:t>i</w:t>
      </w:r>
      <w:r>
        <w:rPr>
          <w:sz w:val="24"/>
          <w:vertAlign w:val="subscript"/>
        </w:rPr>
        <w:t xml:space="preserve"> </w:t>
      </w:r>
      <w:r>
        <w:rPr>
          <w:sz w:val="24"/>
        </w:rPr>
        <w:t>－7.0）／（</w:t>
      </w:r>
      <w:r>
        <w:rPr>
          <w:i/>
          <w:iCs/>
          <w:sz w:val="24"/>
        </w:rPr>
        <w:t>C</w:t>
      </w:r>
      <w:r>
        <w:rPr>
          <w:i/>
          <w:iCs/>
          <w:sz w:val="24"/>
          <w:vertAlign w:val="subscript"/>
        </w:rPr>
        <w:t>su</w:t>
      </w:r>
      <w:r>
        <w:rPr>
          <w:sz w:val="24"/>
        </w:rPr>
        <w:t>－7.0）（</w:t>
      </w:r>
      <w:r>
        <w:rPr>
          <w:i/>
          <w:iCs/>
          <w:sz w:val="24"/>
        </w:rPr>
        <w:t>C</w:t>
      </w:r>
      <w:r>
        <w:rPr>
          <w:i/>
          <w:iCs/>
          <w:sz w:val="24"/>
          <w:vertAlign w:val="subscript"/>
        </w:rPr>
        <w:t>i</w:t>
      </w:r>
      <w:r>
        <w:rPr>
          <w:sz w:val="24"/>
        </w:rPr>
        <w:t>≥7.0）</w:t>
      </w:r>
    </w:p>
    <w:p>
      <w:pPr>
        <w:spacing w:line="360" w:lineRule="auto"/>
        <w:rPr>
          <w:sz w:val="24"/>
        </w:rPr>
      </w:pPr>
      <w:r>
        <w:rPr>
          <w:sz w:val="24"/>
        </w:rPr>
        <w:t>式中：</w:t>
      </w:r>
      <w:r>
        <w:rPr>
          <w:i/>
          <w:iCs/>
          <w:sz w:val="24"/>
        </w:rPr>
        <w:t>C</w:t>
      </w:r>
      <w:r>
        <w:rPr>
          <w:i/>
          <w:iCs/>
          <w:sz w:val="24"/>
          <w:vertAlign w:val="subscript"/>
        </w:rPr>
        <w:t>sd</w:t>
      </w:r>
      <w:r>
        <w:rPr>
          <w:sz w:val="24"/>
        </w:rPr>
        <w:t>——评价标准规定的下限值；</w:t>
      </w:r>
    </w:p>
    <w:p>
      <w:pPr>
        <w:spacing w:line="360" w:lineRule="auto"/>
        <w:ind w:firstLine="720" w:firstLineChars="300"/>
        <w:rPr>
          <w:sz w:val="24"/>
        </w:rPr>
      </w:pPr>
      <w:bookmarkStart w:id="125" w:name="_Toc232338140"/>
      <w:bookmarkStart w:id="126" w:name="_Toc232154474"/>
      <w:bookmarkStart w:id="127" w:name="_Toc232337878"/>
      <w:bookmarkStart w:id="128" w:name="_Toc232336646"/>
      <w:r>
        <w:rPr>
          <w:i/>
          <w:iCs/>
          <w:sz w:val="24"/>
        </w:rPr>
        <w:t>C</w:t>
      </w:r>
      <w:r>
        <w:rPr>
          <w:i/>
          <w:iCs/>
          <w:sz w:val="24"/>
          <w:vertAlign w:val="subscript"/>
        </w:rPr>
        <w:t>su</w:t>
      </w:r>
      <w:r>
        <w:rPr>
          <w:sz w:val="24"/>
        </w:rPr>
        <w:t>——评价标准规定的上限值；</w:t>
      </w:r>
      <w:bookmarkEnd w:id="125"/>
      <w:bookmarkEnd w:id="126"/>
      <w:bookmarkEnd w:id="127"/>
      <w:bookmarkEnd w:id="128"/>
    </w:p>
    <w:p>
      <w:pPr>
        <w:spacing w:line="360" w:lineRule="auto"/>
        <w:ind w:firstLine="480" w:firstLineChars="200"/>
        <w:rPr>
          <w:sz w:val="24"/>
        </w:rPr>
      </w:pPr>
      <w:r>
        <w:rPr>
          <w:sz w:val="24"/>
        </w:rPr>
        <w:t>其余符号同前。</w:t>
      </w:r>
    </w:p>
    <w:p>
      <w:pPr>
        <w:spacing w:line="360" w:lineRule="auto"/>
        <w:rPr>
          <w:sz w:val="24"/>
        </w:rPr>
      </w:pPr>
      <w:r>
        <w:rPr>
          <w:sz w:val="24"/>
        </w:rPr>
        <w:t>对于DO的标准指数为：</w:t>
      </w:r>
    </w:p>
    <w:p>
      <w:pPr>
        <w:spacing w:line="360" w:lineRule="auto"/>
        <w:rPr>
          <w:sz w:val="24"/>
        </w:rPr>
      </w:pPr>
      <w:r>
        <w:rPr>
          <w:sz w:val="24"/>
        </w:rPr>
        <w:t xml:space="preserve">   </w:t>
      </w:r>
      <w:r>
        <w:rPr>
          <w:sz w:val="24"/>
        </w:rPr>
        <w:drawing>
          <wp:inline distT="0" distB="0" distL="0" distR="0">
            <wp:extent cx="2820670" cy="1026795"/>
            <wp:effectExtent l="0" t="0" r="0" b="1905"/>
            <wp:docPr id="255" name="图片 255" descr="说明: C:\Documents and Settings\Administrator\桌面\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说明: C:\Documents and Settings\Administrator\桌面\1.jpg"/>
                    <pic:cNvPicPr>
                      <a:picLocks noChangeAspect="1" noChangeArrowheads="1"/>
                    </pic:cNvPicPr>
                  </pic:nvPicPr>
                  <pic:blipFill>
                    <a:blip r:embed="rId31" cstate="email">
                      <a:extLst>
                        <a:ext uri="{28A0092B-C50C-407E-A947-70E740481C1C}">
                          <a14:useLocalDpi xmlns:a14="http://schemas.microsoft.com/office/drawing/2010/main" val="0"/>
                        </a:ext>
                      </a:extLst>
                    </a:blip>
                    <a:srcRect/>
                    <a:stretch>
                      <a:fillRect/>
                    </a:stretch>
                  </pic:blipFill>
                  <pic:spPr>
                    <a:xfrm>
                      <a:off x="0" y="0"/>
                      <a:ext cx="2820670" cy="1026795"/>
                    </a:xfrm>
                    <a:prstGeom prst="rect">
                      <a:avLst/>
                    </a:prstGeom>
                    <a:noFill/>
                    <a:ln>
                      <a:noFill/>
                    </a:ln>
                  </pic:spPr>
                </pic:pic>
              </a:graphicData>
            </a:graphic>
          </wp:inline>
        </w:drawing>
      </w:r>
    </w:p>
    <w:p>
      <w:pPr>
        <w:spacing w:line="360" w:lineRule="auto"/>
        <w:rPr>
          <w:sz w:val="24"/>
        </w:rPr>
      </w:pPr>
      <w:r>
        <w:rPr>
          <w:sz w:val="24"/>
        </w:rPr>
        <w:t>式中，S</w:t>
      </w:r>
      <w:r>
        <w:rPr>
          <w:sz w:val="24"/>
          <w:vertAlign w:val="subscript"/>
        </w:rPr>
        <w:t>DO.j</w:t>
      </w:r>
      <w:r>
        <w:rPr>
          <w:sz w:val="24"/>
        </w:rPr>
        <w:t>——单项水质参数DO在第j点的标准指数；</w:t>
      </w:r>
    </w:p>
    <w:p>
      <w:pPr>
        <w:spacing w:line="360" w:lineRule="auto"/>
        <w:ind w:firstLine="706" w:firstLineChars="294"/>
        <w:rPr>
          <w:sz w:val="24"/>
        </w:rPr>
      </w:pPr>
      <w:r>
        <w:rPr>
          <w:sz w:val="24"/>
        </w:rPr>
        <w:t>水温为T</w:t>
      </w:r>
      <w:r>
        <w:rPr>
          <w:rFonts w:hint="eastAsia" w:ascii="宋体" w:hAnsi="宋体" w:cs="宋体"/>
          <w:sz w:val="24"/>
        </w:rPr>
        <w:t>℃</w:t>
      </w:r>
      <w:r>
        <w:rPr>
          <w:sz w:val="24"/>
        </w:rPr>
        <w:t>的饱和溶解氧  DO</w:t>
      </w:r>
      <w:r>
        <w:rPr>
          <w:sz w:val="24"/>
          <w:vertAlign w:val="subscript"/>
        </w:rPr>
        <w:t>f</w:t>
      </w:r>
      <w:r>
        <w:rPr>
          <w:sz w:val="24"/>
        </w:rPr>
        <w:t>＝468/（31.6+T）</w:t>
      </w:r>
    </w:p>
    <w:p>
      <w:pPr>
        <w:spacing w:line="360" w:lineRule="auto"/>
        <w:rPr>
          <w:sz w:val="24"/>
        </w:rPr>
      </w:pPr>
      <w:r>
        <w:rPr>
          <w:sz w:val="24"/>
        </w:rPr>
        <w:t xml:space="preserve">      DOs——溶解氧的标准值，mg/L；</w:t>
      </w:r>
    </w:p>
    <w:p>
      <w:pPr>
        <w:spacing w:line="360" w:lineRule="auto"/>
        <w:rPr>
          <w:sz w:val="24"/>
        </w:rPr>
      </w:pPr>
      <w:r>
        <w:rPr>
          <w:sz w:val="24"/>
        </w:rPr>
        <w:t xml:space="preserve">      DOj——溶解氧的监测值，mg/L。</w:t>
      </w:r>
    </w:p>
    <w:p>
      <w:pPr>
        <w:spacing w:line="360" w:lineRule="auto"/>
        <w:ind w:firstLine="480" w:firstLineChars="200"/>
        <w:rPr>
          <w:sz w:val="24"/>
        </w:rPr>
      </w:pPr>
      <w:r>
        <w:rPr>
          <w:rFonts w:hint="eastAsia"/>
          <w:sz w:val="24"/>
        </w:rPr>
        <w:t>（3）评价结果</w:t>
      </w:r>
    </w:p>
    <w:p>
      <w:pPr>
        <w:spacing w:line="360" w:lineRule="auto"/>
        <w:ind w:firstLine="480" w:firstLineChars="200"/>
        <w:rPr>
          <w:sz w:val="24"/>
        </w:rPr>
      </w:pPr>
      <w:r>
        <w:rPr>
          <w:rFonts w:hint="eastAsia"/>
          <w:sz w:val="24"/>
        </w:rPr>
        <w:t>评价结果见表3.5</w:t>
      </w:r>
      <w:r>
        <w:rPr>
          <w:sz w:val="24"/>
        </w:rPr>
        <w:t>-</w:t>
      </w:r>
      <w:r>
        <w:rPr>
          <w:rFonts w:hint="eastAsia"/>
          <w:sz w:val="24"/>
        </w:rPr>
        <w:t>4。</w:t>
      </w:r>
    </w:p>
    <w:p>
      <w:pPr>
        <w:jc w:val="center"/>
        <w:rPr>
          <w:szCs w:val="21"/>
          <w:u w:val="single"/>
        </w:rPr>
      </w:pPr>
      <w:r>
        <w:rPr>
          <w:b/>
          <w:szCs w:val="21"/>
        </w:rPr>
        <w:t>表</w:t>
      </w:r>
      <w:r>
        <w:rPr>
          <w:rFonts w:hint="eastAsia"/>
          <w:b/>
          <w:szCs w:val="21"/>
        </w:rPr>
        <w:t>3.5</w:t>
      </w:r>
      <w:r>
        <w:rPr>
          <w:b/>
          <w:szCs w:val="21"/>
        </w:rPr>
        <w:t>-</w:t>
      </w:r>
      <w:r>
        <w:rPr>
          <w:rFonts w:hint="eastAsia"/>
          <w:b/>
          <w:szCs w:val="21"/>
        </w:rPr>
        <w:t>4</w:t>
      </w:r>
      <w:r>
        <w:rPr>
          <w:b/>
          <w:szCs w:val="21"/>
        </w:rPr>
        <w:t xml:space="preserve">  地表水监测断面水质现状评价结果</w:t>
      </w:r>
    </w:p>
    <w:tbl>
      <w:tblPr>
        <w:tblStyle w:val="104"/>
        <w:tblW w:w="93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366"/>
        <w:gridCol w:w="857"/>
        <w:gridCol w:w="568"/>
        <w:gridCol w:w="994"/>
        <w:gridCol w:w="965"/>
        <w:gridCol w:w="1079"/>
        <w:gridCol w:w="1231"/>
        <w:gridCol w:w="865"/>
        <w:gridCol w:w="1276"/>
        <w:gridCol w:w="1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tblHeader/>
          <w:jc w:val="center"/>
        </w:trPr>
        <w:tc>
          <w:tcPr>
            <w:tcW w:w="366" w:type="dxa"/>
            <w:tcMar>
              <w:left w:w="28" w:type="dxa"/>
              <w:right w:w="28" w:type="dxa"/>
            </w:tcMar>
            <w:vAlign w:val="center"/>
          </w:tcPr>
          <w:p>
            <w:pPr>
              <w:adjustRightInd w:val="0"/>
              <w:snapToGrid w:val="0"/>
              <w:spacing w:line="240" w:lineRule="exact"/>
              <w:jc w:val="center"/>
              <w:rPr>
                <w:sz w:val="18"/>
                <w:szCs w:val="18"/>
              </w:rPr>
            </w:pPr>
            <w:r>
              <w:rPr>
                <w:sz w:val="18"/>
                <w:szCs w:val="18"/>
              </w:rPr>
              <w:t>断</w:t>
            </w:r>
          </w:p>
          <w:p>
            <w:pPr>
              <w:adjustRightInd w:val="0"/>
              <w:snapToGrid w:val="0"/>
              <w:spacing w:line="240" w:lineRule="exact"/>
              <w:jc w:val="center"/>
              <w:rPr>
                <w:sz w:val="18"/>
                <w:szCs w:val="18"/>
              </w:rPr>
            </w:pPr>
            <w:r>
              <w:rPr>
                <w:sz w:val="18"/>
                <w:szCs w:val="18"/>
              </w:rPr>
              <w:t>面</w:t>
            </w: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项目</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pH值</w:t>
            </w:r>
          </w:p>
        </w:tc>
        <w:tc>
          <w:tcPr>
            <w:tcW w:w="994" w:type="dxa"/>
            <w:vAlign w:val="center"/>
          </w:tcPr>
          <w:p>
            <w:pPr>
              <w:adjustRightInd w:val="0"/>
              <w:snapToGrid w:val="0"/>
              <w:spacing w:line="240" w:lineRule="exact"/>
              <w:jc w:val="center"/>
              <w:rPr>
                <w:sz w:val="18"/>
                <w:szCs w:val="18"/>
              </w:rPr>
            </w:pPr>
            <w:r>
              <w:rPr>
                <w:sz w:val="18"/>
                <w:szCs w:val="18"/>
              </w:rPr>
              <w:t>SS</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COD</w:t>
            </w:r>
          </w:p>
        </w:tc>
        <w:tc>
          <w:tcPr>
            <w:tcW w:w="1079" w:type="dxa"/>
            <w:vAlign w:val="center"/>
          </w:tcPr>
          <w:p>
            <w:pPr>
              <w:adjustRightInd w:val="0"/>
              <w:snapToGrid w:val="0"/>
              <w:spacing w:line="240" w:lineRule="exact"/>
              <w:jc w:val="center"/>
              <w:rPr>
                <w:sz w:val="18"/>
                <w:szCs w:val="18"/>
              </w:rPr>
            </w:pPr>
            <w:r>
              <w:rPr>
                <w:sz w:val="18"/>
                <w:szCs w:val="18"/>
              </w:rPr>
              <w:t>BOD</w:t>
            </w:r>
            <w:r>
              <w:rPr>
                <w:sz w:val="18"/>
                <w:szCs w:val="18"/>
                <w:vertAlign w:val="subscript"/>
              </w:rPr>
              <w:t>5</w:t>
            </w:r>
          </w:p>
        </w:tc>
        <w:tc>
          <w:tcPr>
            <w:tcW w:w="1231" w:type="dxa"/>
            <w:vAlign w:val="center"/>
          </w:tcPr>
          <w:p>
            <w:pPr>
              <w:adjustRightInd w:val="0"/>
              <w:snapToGrid w:val="0"/>
              <w:spacing w:line="240" w:lineRule="exact"/>
              <w:jc w:val="center"/>
              <w:rPr>
                <w:sz w:val="18"/>
                <w:szCs w:val="18"/>
              </w:rPr>
            </w:pPr>
            <w:r>
              <w:rPr>
                <w:sz w:val="18"/>
                <w:szCs w:val="18"/>
              </w:rPr>
              <w:t>NH</w:t>
            </w:r>
            <w:r>
              <w:rPr>
                <w:sz w:val="18"/>
                <w:szCs w:val="18"/>
                <w:vertAlign w:val="subscript"/>
              </w:rPr>
              <w:t>3</w:t>
            </w:r>
            <w:r>
              <w:rPr>
                <w:sz w:val="18"/>
                <w:szCs w:val="18"/>
              </w:rPr>
              <w:t>-N</w:t>
            </w:r>
          </w:p>
        </w:tc>
        <w:tc>
          <w:tcPr>
            <w:tcW w:w="865" w:type="dxa"/>
            <w:vAlign w:val="center"/>
          </w:tcPr>
          <w:p>
            <w:pPr>
              <w:adjustRightInd w:val="0"/>
              <w:snapToGrid w:val="0"/>
              <w:spacing w:line="240" w:lineRule="exact"/>
              <w:jc w:val="center"/>
              <w:rPr>
                <w:sz w:val="18"/>
                <w:szCs w:val="18"/>
              </w:rPr>
            </w:pPr>
            <w:r>
              <w:rPr>
                <w:sz w:val="18"/>
                <w:szCs w:val="18"/>
              </w:rPr>
              <w:t>石油类</w:t>
            </w:r>
          </w:p>
        </w:tc>
        <w:tc>
          <w:tcPr>
            <w:tcW w:w="1276" w:type="dxa"/>
            <w:vAlign w:val="center"/>
          </w:tcPr>
          <w:p>
            <w:pPr>
              <w:adjustRightInd w:val="0"/>
              <w:snapToGrid w:val="0"/>
              <w:spacing w:line="240" w:lineRule="exact"/>
              <w:jc w:val="center"/>
              <w:rPr>
                <w:sz w:val="18"/>
                <w:szCs w:val="18"/>
              </w:rPr>
            </w:pPr>
            <w:r>
              <w:rPr>
                <w:sz w:val="18"/>
                <w:szCs w:val="18"/>
              </w:rPr>
              <w:t>高锰酸盐指数</w:t>
            </w:r>
          </w:p>
        </w:tc>
        <w:tc>
          <w:tcPr>
            <w:tcW w:w="1099" w:type="dxa"/>
            <w:vAlign w:val="center"/>
          </w:tcPr>
          <w:p>
            <w:pPr>
              <w:adjustRightInd w:val="0"/>
              <w:snapToGrid w:val="0"/>
              <w:spacing w:line="240" w:lineRule="exact"/>
              <w:ind w:left="-21" w:leftChars="-10"/>
              <w:jc w:val="center"/>
              <w:rPr>
                <w:sz w:val="18"/>
                <w:szCs w:val="18"/>
              </w:rPr>
            </w:pPr>
            <w:r>
              <w:rPr>
                <w:sz w:val="18"/>
                <w:szCs w:val="18"/>
              </w:rPr>
              <w:t>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restart"/>
            <w:tcMar>
              <w:left w:w="28" w:type="dxa"/>
              <w:right w:w="28" w:type="dxa"/>
            </w:tcMar>
            <w:vAlign w:val="center"/>
          </w:tcPr>
          <w:p>
            <w:pPr>
              <w:adjustRightInd w:val="0"/>
              <w:snapToGrid w:val="0"/>
              <w:spacing w:line="240" w:lineRule="exact"/>
              <w:jc w:val="center"/>
              <w:rPr>
                <w:sz w:val="18"/>
                <w:szCs w:val="18"/>
              </w:rPr>
            </w:pPr>
            <w:r>
              <w:rPr>
                <w:rFonts w:hint="eastAsia"/>
                <w:sz w:val="18"/>
                <w:szCs w:val="18"/>
              </w:rPr>
              <w:t>1#</w:t>
            </w:r>
          </w:p>
        </w:tc>
        <w:tc>
          <w:tcPr>
            <w:tcW w:w="857" w:type="dxa"/>
            <w:tcMar>
              <w:left w:w="28" w:type="dxa"/>
              <w:right w:w="28" w:type="dxa"/>
            </w:tcMar>
            <w:vAlign w:val="center"/>
          </w:tcPr>
          <w:p>
            <w:pPr>
              <w:pStyle w:val="58"/>
              <w:pBdr>
                <w:bottom w:val="none" w:color="auto" w:sz="0" w:space="0"/>
              </w:pBdr>
              <w:tabs>
                <w:tab w:val="clear" w:pos="4153"/>
                <w:tab w:val="clear" w:pos="8306"/>
              </w:tabs>
              <w:adjustRightInd w:val="0"/>
              <w:spacing w:line="240" w:lineRule="exact"/>
            </w:pPr>
            <w:r>
              <w:t>监测结果</w:t>
            </w:r>
          </w:p>
        </w:tc>
        <w:tc>
          <w:tcPr>
            <w:tcW w:w="568" w:type="dxa"/>
            <w:tcMar>
              <w:left w:w="28" w:type="dxa"/>
              <w:right w:w="28" w:type="dxa"/>
            </w:tcMar>
            <w:vAlign w:val="center"/>
          </w:tcPr>
          <w:p>
            <w:pPr>
              <w:spacing w:line="240" w:lineRule="exact"/>
              <w:jc w:val="center"/>
              <w:rPr>
                <w:sz w:val="18"/>
                <w:szCs w:val="18"/>
              </w:rPr>
            </w:pPr>
            <w:r>
              <w:rPr>
                <w:sz w:val="18"/>
                <w:szCs w:val="18"/>
              </w:rPr>
              <w:t>7.</w:t>
            </w:r>
            <w:r>
              <w:rPr>
                <w:rFonts w:hint="eastAsia"/>
                <w:sz w:val="18"/>
                <w:szCs w:val="18"/>
              </w:rPr>
              <w:t>04</w:t>
            </w:r>
            <w:r>
              <w:rPr>
                <w:sz w:val="18"/>
                <w:szCs w:val="18"/>
              </w:rPr>
              <w:t>～7.</w:t>
            </w:r>
            <w:r>
              <w:rPr>
                <w:rFonts w:hint="eastAsia"/>
                <w:sz w:val="18"/>
                <w:szCs w:val="18"/>
              </w:rPr>
              <w:t>06</w:t>
            </w:r>
          </w:p>
        </w:tc>
        <w:tc>
          <w:tcPr>
            <w:tcW w:w="994" w:type="dxa"/>
            <w:vAlign w:val="center"/>
          </w:tcPr>
          <w:p>
            <w:pPr>
              <w:spacing w:line="240" w:lineRule="exact"/>
              <w:jc w:val="center"/>
              <w:rPr>
                <w:sz w:val="18"/>
                <w:szCs w:val="18"/>
              </w:rPr>
            </w:pPr>
            <w:r>
              <w:rPr>
                <w:rFonts w:hint="eastAsia"/>
                <w:sz w:val="18"/>
                <w:szCs w:val="18"/>
              </w:rPr>
              <w:t>5</w:t>
            </w:r>
          </w:p>
        </w:tc>
        <w:tc>
          <w:tcPr>
            <w:tcW w:w="965" w:type="dxa"/>
            <w:vAlign w:val="center"/>
          </w:tcPr>
          <w:p>
            <w:pPr>
              <w:spacing w:line="240" w:lineRule="exact"/>
              <w:jc w:val="center"/>
              <w:rPr>
                <w:sz w:val="18"/>
                <w:szCs w:val="18"/>
              </w:rPr>
            </w:pPr>
            <w:r>
              <w:rPr>
                <w:rFonts w:hint="eastAsia"/>
                <w:sz w:val="18"/>
                <w:szCs w:val="18"/>
              </w:rPr>
              <w:t>10</w:t>
            </w:r>
          </w:p>
        </w:tc>
        <w:tc>
          <w:tcPr>
            <w:tcW w:w="1079" w:type="dxa"/>
            <w:vAlign w:val="center"/>
          </w:tcPr>
          <w:p>
            <w:pPr>
              <w:spacing w:line="240" w:lineRule="exact"/>
              <w:jc w:val="center"/>
              <w:rPr>
                <w:sz w:val="18"/>
                <w:szCs w:val="18"/>
              </w:rPr>
            </w:pPr>
            <w:r>
              <w:rPr>
                <w:rFonts w:hint="eastAsia"/>
                <w:sz w:val="18"/>
                <w:szCs w:val="18"/>
              </w:rPr>
              <w:t>2.2</w:t>
            </w:r>
            <w:r>
              <w:rPr>
                <w:sz w:val="18"/>
                <w:szCs w:val="18"/>
              </w:rPr>
              <w:t>～</w:t>
            </w:r>
            <w:r>
              <w:rPr>
                <w:rFonts w:hint="eastAsia"/>
                <w:sz w:val="18"/>
                <w:szCs w:val="18"/>
              </w:rPr>
              <w:t>2.3</w:t>
            </w:r>
          </w:p>
        </w:tc>
        <w:tc>
          <w:tcPr>
            <w:tcW w:w="1231" w:type="dxa"/>
            <w:vAlign w:val="center"/>
          </w:tcPr>
          <w:p>
            <w:pPr>
              <w:spacing w:line="240" w:lineRule="exact"/>
              <w:jc w:val="center"/>
              <w:rPr>
                <w:sz w:val="18"/>
                <w:szCs w:val="18"/>
              </w:rPr>
            </w:pPr>
            <w:r>
              <w:rPr>
                <w:sz w:val="18"/>
                <w:szCs w:val="18"/>
              </w:rPr>
              <w:t>0.</w:t>
            </w:r>
            <w:r>
              <w:rPr>
                <w:rFonts w:hint="eastAsia"/>
                <w:sz w:val="18"/>
                <w:szCs w:val="18"/>
              </w:rPr>
              <w:t>798</w:t>
            </w:r>
            <w:r>
              <w:rPr>
                <w:sz w:val="18"/>
                <w:szCs w:val="18"/>
              </w:rPr>
              <w:t>～0.</w:t>
            </w:r>
            <w:r>
              <w:rPr>
                <w:rFonts w:hint="eastAsia"/>
                <w:sz w:val="18"/>
                <w:szCs w:val="18"/>
              </w:rPr>
              <w:t>786</w:t>
            </w:r>
          </w:p>
        </w:tc>
        <w:tc>
          <w:tcPr>
            <w:tcW w:w="865" w:type="dxa"/>
            <w:vAlign w:val="center"/>
          </w:tcPr>
          <w:p>
            <w:pPr>
              <w:spacing w:line="240" w:lineRule="exact"/>
              <w:jc w:val="center"/>
              <w:rPr>
                <w:sz w:val="18"/>
                <w:szCs w:val="18"/>
              </w:rPr>
            </w:pPr>
            <w:r>
              <w:rPr>
                <w:rFonts w:hint="eastAsia"/>
                <w:sz w:val="18"/>
                <w:szCs w:val="18"/>
              </w:rPr>
              <w:t>未检出</w:t>
            </w:r>
          </w:p>
        </w:tc>
        <w:tc>
          <w:tcPr>
            <w:tcW w:w="1276" w:type="dxa"/>
            <w:vAlign w:val="center"/>
          </w:tcPr>
          <w:p>
            <w:pPr>
              <w:spacing w:line="240" w:lineRule="exact"/>
              <w:jc w:val="center"/>
              <w:rPr>
                <w:sz w:val="18"/>
                <w:szCs w:val="18"/>
              </w:rPr>
            </w:pPr>
            <w:r>
              <w:rPr>
                <w:rFonts w:hint="eastAsia"/>
                <w:sz w:val="18"/>
                <w:szCs w:val="18"/>
              </w:rPr>
              <w:t>2.8</w:t>
            </w:r>
            <w:r>
              <w:rPr>
                <w:sz w:val="18"/>
                <w:szCs w:val="18"/>
              </w:rPr>
              <w:t>～</w:t>
            </w:r>
            <w:r>
              <w:rPr>
                <w:rFonts w:hint="eastAsia"/>
                <w:sz w:val="18"/>
                <w:szCs w:val="18"/>
              </w:rPr>
              <w:t>3.0</w:t>
            </w:r>
          </w:p>
        </w:tc>
        <w:tc>
          <w:tcPr>
            <w:tcW w:w="1099" w:type="dxa"/>
            <w:vAlign w:val="center"/>
          </w:tcPr>
          <w:p>
            <w:pPr>
              <w:spacing w:line="240" w:lineRule="exact"/>
              <w:jc w:val="center"/>
              <w:rPr>
                <w:sz w:val="18"/>
                <w:szCs w:val="18"/>
              </w:rPr>
            </w:pPr>
            <w:r>
              <w:rPr>
                <w:rFonts w:hint="eastAsia"/>
                <w:sz w:val="18"/>
                <w:szCs w:val="18"/>
              </w:rPr>
              <w:t>8.13</w:t>
            </w:r>
            <w:r>
              <w:rPr>
                <w:sz w:val="18"/>
                <w:szCs w:val="18"/>
              </w:rPr>
              <w:t>～</w:t>
            </w:r>
            <w:r>
              <w:rPr>
                <w:rFonts w:hint="eastAsia"/>
                <w:sz w:val="18"/>
                <w:szCs w:val="18"/>
              </w:rPr>
              <w:t>8.14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pStyle w:val="58"/>
              <w:pBdr>
                <w:bottom w:val="none" w:color="auto" w:sz="0" w:space="0"/>
              </w:pBdr>
              <w:tabs>
                <w:tab w:val="clear" w:pos="4153"/>
                <w:tab w:val="clear" w:pos="8306"/>
              </w:tabs>
              <w:adjustRightInd w:val="0"/>
              <w:spacing w:line="240" w:lineRule="exact"/>
            </w:pPr>
            <w:r>
              <w:t>评价标准</w:t>
            </w:r>
          </w:p>
          <w:p>
            <w:pPr>
              <w:pStyle w:val="58"/>
              <w:pBdr>
                <w:bottom w:val="none" w:color="auto" w:sz="0" w:space="0"/>
              </w:pBdr>
              <w:tabs>
                <w:tab w:val="clear" w:pos="4153"/>
                <w:tab w:val="clear" w:pos="8306"/>
              </w:tabs>
              <w:adjustRightInd w:val="0"/>
              <w:spacing w:line="240" w:lineRule="exact"/>
            </w:pPr>
            <w:r>
              <w:t>（</w:t>
            </w:r>
            <w:r>
              <w:rPr>
                <w:rFonts w:hint="eastAsia" w:ascii="宋体" w:hAnsi="宋体" w:cs="宋体"/>
              </w:rPr>
              <w:t>Ⅲ</w:t>
            </w:r>
            <w:r>
              <w:t>类）</w:t>
            </w:r>
          </w:p>
        </w:tc>
        <w:tc>
          <w:tcPr>
            <w:tcW w:w="568" w:type="dxa"/>
            <w:tcMar>
              <w:left w:w="28" w:type="dxa"/>
              <w:right w:w="28" w:type="dxa"/>
            </w:tcMar>
            <w:vAlign w:val="center"/>
          </w:tcPr>
          <w:p>
            <w:pPr>
              <w:adjustRightInd w:val="0"/>
              <w:snapToGrid w:val="0"/>
              <w:spacing w:line="240" w:lineRule="exact"/>
              <w:jc w:val="center"/>
              <w:rPr>
                <w:sz w:val="18"/>
                <w:szCs w:val="18"/>
              </w:rPr>
            </w:pPr>
            <w:r>
              <w:rPr>
                <w:snapToGrid w:val="0"/>
                <w:sz w:val="18"/>
                <w:szCs w:val="18"/>
              </w:rPr>
              <w:t>6～9</w:t>
            </w:r>
          </w:p>
        </w:tc>
        <w:tc>
          <w:tcPr>
            <w:tcW w:w="994" w:type="dxa"/>
            <w:vAlign w:val="center"/>
          </w:tcPr>
          <w:p>
            <w:pPr>
              <w:adjustRightInd w:val="0"/>
              <w:snapToGrid w:val="0"/>
              <w:spacing w:line="240" w:lineRule="exact"/>
              <w:jc w:val="center"/>
              <w:rPr>
                <w:sz w:val="18"/>
                <w:szCs w:val="18"/>
              </w:rPr>
            </w:pPr>
            <w:r>
              <w:rPr>
                <w:sz w:val="18"/>
                <w:szCs w:val="18"/>
              </w:rPr>
              <w:t>30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≤20</w:t>
            </w:r>
          </w:p>
        </w:tc>
        <w:tc>
          <w:tcPr>
            <w:tcW w:w="1079" w:type="dxa"/>
            <w:vAlign w:val="center"/>
          </w:tcPr>
          <w:p>
            <w:pPr>
              <w:adjustRightInd w:val="0"/>
              <w:snapToGrid w:val="0"/>
              <w:spacing w:line="240" w:lineRule="exact"/>
              <w:jc w:val="center"/>
              <w:rPr>
                <w:sz w:val="18"/>
                <w:szCs w:val="18"/>
              </w:rPr>
            </w:pPr>
            <w:r>
              <w:rPr>
                <w:sz w:val="18"/>
                <w:szCs w:val="18"/>
              </w:rPr>
              <w:t>≤4</w:t>
            </w:r>
          </w:p>
        </w:tc>
        <w:tc>
          <w:tcPr>
            <w:tcW w:w="1231" w:type="dxa"/>
            <w:vAlign w:val="center"/>
          </w:tcPr>
          <w:p>
            <w:pPr>
              <w:adjustRightInd w:val="0"/>
              <w:snapToGrid w:val="0"/>
              <w:spacing w:line="240" w:lineRule="exact"/>
              <w:jc w:val="center"/>
              <w:rPr>
                <w:sz w:val="18"/>
                <w:szCs w:val="18"/>
              </w:rPr>
            </w:pPr>
            <w:r>
              <w:rPr>
                <w:sz w:val="18"/>
                <w:szCs w:val="18"/>
              </w:rPr>
              <w:t>≤1.0</w:t>
            </w:r>
          </w:p>
        </w:tc>
        <w:tc>
          <w:tcPr>
            <w:tcW w:w="865" w:type="dxa"/>
            <w:vAlign w:val="center"/>
          </w:tcPr>
          <w:p>
            <w:pPr>
              <w:adjustRightInd w:val="0"/>
              <w:snapToGrid w:val="0"/>
              <w:spacing w:line="240" w:lineRule="exact"/>
              <w:jc w:val="center"/>
              <w:rPr>
                <w:sz w:val="18"/>
                <w:szCs w:val="18"/>
              </w:rPr>
            </w:pPr>
            <w:r>
              <w:rPr>
                <w:sz w:val="18"/>
                <w:szCs w:val="18"/>
              </w:rPr>
              <w:t>≤0.05</w:t>
            </w:r>
          </w:p>
        </w:tc>
        <w:tc>
          <w:tcPr>
            <w:tcW w:w="1276" w:type="dxa"/>
            <w:vAlign w:val="center"/>
          </w:tcPr>
          <w:p>
            <w:pPr>
              <w:adjustRightInd w:val="0"/>
              <w:snapToGrid w:val="0"/>
              <w:spacing w:line="240" w:lineRule="exact"/>
              <w:jc w:val="center"/>
              <w:rPr>
                <w:sz w:val="18"/>
                <w:szCs w:val="18"/>
              </w:rPr>
            </w:pPr>
            <w:r>
              <w:rPr>
                <w:sz w:val="18"/>
                <w:szCs w:val="18"/>
              </w:rPr>
              <w:t>≤6</w:t>
            </w:r>
          </w:p>
        </w:tc>
        <w:tc>
          <w:tcPr>
            <w:tcW w:w="1099" w:type="dxa"/>
            <w:vAlign w:val="center"/>
          </w:tcPr>
          <w:p>
            <w:pPr>
              <w:adjustRightInd w:val="0"/>
              <w:snapToGrid w:val="0"/>
              <w:spacing w:line="240" w:lineRule="exact"/>
              <w:ind w:left="-21" w:leftChars="-10"/>
              <w:jc w:val="center"/>
              <w:rPr>
                <w:sz w:val="18"/>
                <w:szCs w:val="18"/>
              </w:rPr>
            </w:pPr>
            <w:r>
              <w:rPr>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napToGrid w:val="0"/>
                <w:sz w:val="18"/>
                <w:szCs w:val="18"/>
              </w:rPr>
              <w:t>P</w:t>
            </w:r>
            <w:r>
              <w:rPr>
                <w:snapToGrid w:val="0"/>
                <w:sz w:val="18"/>
                <w:szCs w:val="18"/>
                <w:vertAlign w:val="subscript"/>
              </w:rPr>
              <w:t>i</w:t>
            </w:r>
          </w:p>
        </w:tc>
        <w:tc>
          <w:tcPr>
            <w:tcW w:w="568" w:type="dxa"/>
            <w:tcMar>
              <w:left w:w="28" w:type="dxa"/>
              <w:right w:w="28" w:type="dxa"/>
            </w:tcMar>
            <w:vAlign w:val="center"/>
          </w:tcPr>
          <w:p>
            <w:pPr>
              <w:spacing w:line="240" w:lineRule="exact"/>
              <w:jc w:val="center"/>
              <w:rPr>
                <w:sz w:val="18"/>
                <w:szCs w:val="18"/>
              </w:rPr>
            </w:pPr>
            <w:r>
              <w:rPr>
                <w:sz w:val="18"/>
                <w:szCs w:val="18"/>
              </w:rPr>
              <w:t>0.</w:t>
            </w:r>
            <w:r>
              <w:rPr>
                <w:rFonts w:hint="eastAsia"/>
                <w:sz w:val="18"/>
                <w:szCs w:val="18"/>
              </w:rPr>
              <w:t>02</w:t>
            </w:r>
            <w:r>
              <w:rPr>
                <w:sz w:val="18"/>
                <w:szCs w:val="18"/>
              </w:rPr>
              <w:t>～0.</w:t>
            </w:r>
            <w:r>
              <w:rPr>
                <w:rFonts w:hint="eastAsia"/>
                <w:sz w:val="18"/>
                <w:szCs w:val="18"/>
              </w:rPr>
              <w:t>03</w:t>
            </w:r>
          </w:p>
        </w:tc>
        <w:tc>
          <w:tcPr>
            <w:tcW w:w="994" w:type="dxa"/>
            <w:vAlign w:val="center"/>
          </w:tcPr>
          <w:p>
            <w:pPr>
              <w:spacing w:line="240" w:lineRule="exact"/>
              <w:jc w:val="center"/>
              <w:rPr>
                <w:sz w:val="18"/>
                <w:szCs w:val="18"/>
              </w:rPr>
            </w:pPr>
            <w:r>
              <w:rPr>
                <w:rFonts w:hint="eastAsia"/>
                <w:sz w:val="18"/>
                <w:szCs w:val="18"/>
              </w:rPr>
              <w:t>0.17</w:t>
            </w:r>
          </w:p>
        </w:tc>
        <w:tc>
          <w:tcPr>
            <w:tcW w:w="965" w:type="dxa"/>
            <w:vAlign w:val="center"/>
          </w:tcPr>
          <w:p>
            <w:pPr>
              <w:spacing w:line="240" w:lineRule="exact"/>
              <w:jc w:val="center"/>
              <w:rPr>
                <w:sz w:val="18"/>
                <w:szCs w:val="18"/>
              </w:rPr>
            </w:pPr>
            <w:r>
              <w:rPr>
                <w:rFonts w:hint="eastAsia"/>
                <w:sz w:val="18"/>
                <w:szCs w:val="18"/>
              </w:rPr>
              <w:t>0.50</w:t>
            </w:r>
          </w:p>
        </w:tc>
        <w:tc>
          <w:tcPr>
            <w:tcW w:w="1079" w:type="dxa"/>
            <w:vAlign w:val="center"/>
          </w:tcPr>
          <w:p>
            <w:pPr>
              <w:spacing w:line="240" w:lineRule="exact"/>
              <w:jc w:val="center"/>
              <w:rPr>
                <w:sz w:val="18"/>
                <w:szCs w:val="18"/>
              </w:rPr>
            </w:pPr>
            <w:r>
              <w:rPr>
                <w:sz w:val="18"/>
                <w:szCs w:val="18"/>
              </w:rPr>
              <w:t>0.</w:t>
            </w:r>
            <w:r>
              <w:rPr>
                <w:rFonts w:hint="eastAsia"/>
                <w:sz w:val="18"/>
                <w:szCs w:val="18"/>
              </w:rPr>
              <w:t>55</w:t>
            </w:r>
            <w:r>
              <w:rPr>
                <w:sz w:val="18"/>
                <w:szCs w:val="18"/>
              </w:rPr>
              <w:t>～0.</w:t>
            </w:r>
            <w:r>
              <w:rPr>
                <w:rFonts w:hint="eastAsia"/>
                <w:sz w:val="18"/>
                <w:szCs w:val="18"/>
              </w:rPr>
              <w:t>58</w:t>
            </w:r>
          </w:p>
        </w:tc>
        <w:tc>
          <w:tcPr>
            <w:tcW w:w="1231" w:type="dxa"/>
            <w:vAlign w:val="center"/>
          </w:tcPr>
          <w:p>
            <w:pPr>
              <w:spacing w:line="240" w:lineRule="exact"/>
              <w:jc w:val="center"/>
              <w:rPr>
                <w:sz w:val="18"/>
                <w:szCs w:val="18"/>
              </w:rPr>
            </w:pPr>
            <w:r>
              <w:rPr>
                <w:sz w:val="18"/>
                <w:szCs w:val="18"/>
              </w:rPr>
              <w:t>0.</w:t>
            </w:r>
            <w:r>
              <w:rPr>
                <w:rFonts w:hint="eastAsia"/>
                <w:sz w:val="18"/>
                <w:szCs w:val="18"/>
              </w:rPr>
              <w:t>798</w:t>
            </w:r>
            <w:r>
              <w:rPr>
                <w:sz w:val="18"/>
                <w:szCs w:val="18"/>
              </w:rPr>
              <w:t>～0.</w:t>
            </w:r>
            <w:r>
              <w:rPr>
                <w:rFonts w:hint="eastAsia"/>
                <w:sz w:val="18"/>
                <w:szCs w:val="18"/>
              </w:rPr>
              <w:t>786</w:t>
            </w:r>
          </w:p>
        </w:tc>
        <w:tc>
          <w:tcPr>
            <w:tcW w:w="865" w:type="dxa"/>
            <w:vAlign w:val="center"/>
          </w:tcPr>
          <w:p>
            <w:pPr>
              <w:spacing w:line="240" w:lineRule="exact"/>
              <w:jc w:val="center"/>
              <w:rPr>
                <w:sz w:val="18"/>
                <w:szCs w:val="18"/>
              </w:rPr>
            </w:pPr>
            <w:r>
              <w:rPr>
                <w:rFonts w:hint="eastAsia"/>
                <w:sz w:val="18"/>
                <w:szCs w:val="18"/>
              </w:rPr>
              <w:t>0</w:t>
            </w:r>
          </w:p>
        </w:tc>
        <w:tc>
          <w:tcPr>
            <w:tcW w:w="1276" w:type="dxa"/>
            <w:vAlign w:val="center"/>
          </w:tcPr>
          <w:p>
            <w:pPr>
              <w:spacing w:line="240" w:lineRule="exact"/>
              <w:jc w:val="center"/>
              <w:rPr>
                <w:sz w:val="18"/>
                <w:szCs w:val="18"/>
              </w:rPr>
            </w:pPr>
            <w:r>
              <w:rPr>
                <w:sz w:val="18"/>
                <w:szCs w:val="18"/>
              </w:rPr>
              <w:t>0.</w:t>
            </w:r>
            <w:r>
              <w:rPr>
                <w:rFonts w:hint="eastAsia"/>
                <w:sz w:val="18"/>
                <w:szCs w:val="18"/>
              </w:rPr>
              <w:t>47</w:t>
            </w:r>
            <w:r>
              <w:rPr>
                <w:sz w:val="18"/>
                <w:szCs w:val="18"/>
              </w:rPr>
              <w:t>～0.</w:t>
            </w:r>
            <w:r>
              <w:rPr>
                <w:rFonts w:hint="eastAsia"/>
                <w:sz w:val="18"/>
                <w:szCs w:val="18"/>
              </w:rPr>
              <w:t>50</w:t>
            </w:r>
          </w:p>
        </w:tc>
        <w:tc>
          <w:tcPr>
            <w:tcW w:w="1099" w:type="dxa"/>
            <w:vAlign w:val="center"/>
          </w:tcPr>
          <w:p>
            <w:pPr>
              <w:spacing w:line="240" w:lineRule="exact"/>
              <w:jc w:val="center"/>
              <w:rPr>
                <w:sz w:val="18"/>
                <w:szCs w:val="18"/>
              </w:rPr>
            </w:pPr>
            <w:r>
              <w:rPr>
                <w:sz w:val="18"/>
                <w:szCs w:val="18"/>
              </w:rPr>
              <w:t>0.</w:t>
            </w:r>
            <w:r>
              <w:rPr>
                <w:rFonts w:hint="eastAsia"/>
                <w:sz w:val="18"/>
                <w:szCs w:val="18"/>
              </w:rPr>
              <w:t>292</w:t>
            </w:r>
            <w:r>
              <w:rPr>
                <w:sz w:val="18"/>
                <w:szCs w:val="18"/>
              </w:rPr>
              <w:t>～0.</w:t>
            </w:r>
            <w:r>
              <w:rPr>
                <w:rFonts w:hint="eastAsia"/>
                <w:sz w:val="18"/>
                <w:szCs w:val="18"/>
              </w:rPr>
              <w:t>294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最大超标</w:t>
            </w:r>
          </w:p>
          <w:p>
            <w:pPr>
              <w:adjustRightInd w:val="0"/>
              <w:snapToGrid w:val="0"/>
              <w:spacing w:line="240" w:lineRule="exact"/>
              <w:jc w:val="center"/>
              <w:rPr>
                <w:sz w:val="18"/>
                <w:szCs w:val="18"/>
              </w:rPr>
            </w:pPr>
            <w:r>
              <w:rPr>
                <w:sz w:val="18"/>
                <w:szCs w:val="18"/>
              </w:rPr>
              <w:t>倍数</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w:t>
            </w:r>
          </w:p>
        </w:tc>
        <w:tc>
          <w:tcPr>
            <w:tcW w:w="994" w:type="dxa"/>
            <w:vAlign w:val="center"/>
          </w:tcPr>
          <w:p>
            <w:pPr>
              <w:adjustRightInd w:val="0"/>
              <w:snapToGrid w:val="0"/>
              <w:spacing w:line="240" w:lineRule="exact"/>
              <w:jc w:val="center"/>
              <w:rPr>
                <w:sz w:val="18"/>
                <w:szCs w:val="18"/>
              </w:rPr>
            </w:pPr>
            <w:r>
              <w:rPr>
                <w:sz w:val="18"/>
                <w:szCs w:val="18"/>
              </w:rPr>
              <w:t>—</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w:t>
            </w:r>
          </w:p>
        </w:tc>
        <w:tc>
          <w:tcPr>
            <w:tcW w:w="1079" w:type="dxa"/>
            <w:vAlign w:val="center"/>
          </w:tcPr>
          <w:p>
            <w:pPr>
              <w:adjustRightInd w:val="0"/>
              <w:snapToGrid w:val="0"/>
              <w:spacing w:line="240" w:lineRule="exact"/>
              <w:jc w:val="center"/>
              <w:rPr>
                <w:sz w:val="18"/>
                <w:szCs w:val="18"/>
              </w:rPr>
            </w:pPr>
            <w:r>
              <w:rPr>
                <w:sz w:val="18"/>
                <w:szCs w:val="18"/>
              </w:rPr>
              <w:t>—</w:t>
            </w:r>
          </w:p>
        </w:tc>
        <w:tc>
          <w:tcPr>
            <w:tcW w:w="1231" w:type="dxa"/>
            <w:vAlign w:val="center"/>
          </w:tcPr>
          <w:p>
            <w:pPr>
              <w:adjustRightInd w:val="0"/>
              <w:snapToGrid w:val="0"/>
              <w:spacing w:line="240" w:lineRule="exact"/>
              <w:jc w:val="center"/>
              <w:rPr>
                <w:sz w:val="18"/>
                <w:szCs w:val="18"/>
              </w:rPr>
            </w:pPr>
            <w:r>
              <w:rPr>
                <w:sz w:val="18"/>
                <w:szCs w:val="18"/>
              </w:rPr>
              <w:t>—</w:t>
            </w:r>
          </w:p>
        </w:tc>
        <w:tc>
          <w:tcPr>
            <w:tcW w:w="865" w:type="dxa"/>
            <w:vAlign w:val="center"/>
          </w:tcPr>
          <w:p>
            <w:pPr>
              <w:adjustRightInd w:val="0"/>
              <w:snapToGrid w:val="0"/>
              <w:spacing w:line="240" w:lineRule="exact"/>
              <w:jc w:val="center"/>
              <w:rPr>
                <w:sz w:val="18"/>
                <w:szCs w:val="18"/>
              </w:rPr>
            </w:pPr>
            <w:r>
              <w:rPr>
                <w:sz w:val="18"/>
                <w:szCs w:val="18"/>
              </w:rPr>
              <w:t>—</w:t>
            </w:r>
          </w:p>
        </w:tc>
        <w:tc>
          <w:tcPr>
            <w:tcW w:w="1276" w:type="dxa"/>
            <w:vAlign w:val="center"/>
          </w:tcPr>
          <w:p>
            <w:pPr>
              <w:adjustRightInd w:val="0"/>
              <w:snapToGrid w:val="0"/>
              <w:spacing w:line="240" w:lineRule="exact"/>
              <w:jc w:val="center"/>
              <w:rPr>
                <w:sz w:val="18"/>
                <w:szCs w:val="18"/>
              </w:rPr>
            </w:pPr>
            <w:r>
              <w:rPr>
                <w:sz w:val="18"/>
                <w:szCs w:val="18"/>
              </w:rPr>
              <w:t>—</w:t>
            </w:r>
          </w:p>
        </w:tc>
        <w:tc>
          <w:tcPr>
            <w:tcW w:w="1099" w:type="dxa"/>
            <w:vAlign w:val="center"/>
          </w:tcPr>
          <w:p>
            <w:pPr>
              <w:adjustRightInd w:val="0"/>
              <w:snapToGrid w:val="0"/>
              <w:spacing w:line="240" w:lineRule="exact"/>
              <w:ind w:left="-21" w:leftChars="-10"/>
              <w:jc w:val="center"/>
              <w:rPr>
                <w:sz w:val="18"/>
                <w:szCs w:val="18"/>
              </w:rPr>
            </w:pPr>
            <w:r>
              <w:rPr>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超标率</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0</w:t>
            </w:r>
          </w:p>
        </w:tc>
        <w:tc>
          <w:tcPr>
            <w:tcW w:w="994" w:type="dxa"/>
            <w:vAlign w:val="center"/>
          </w:tcPr>
          <w:p>
            <w:pPr>
              <w:adjustRightInd w:val="0"/>
              <w:snapToGrid w:val="0"/>
              <w:spacing w:line="240" w:lineRule="exact"/>
              <w:jc w:val="center"/>
              <w:rPr>
                <w:sz w:val="18"/>
                <w:szCs w:val="18"/>
              </w:rPr>
            </w:pPr>
            <w:r>
              <w:rPr>
                <w:sz w:val="18"/>
                <w:szCs w:val="18"/>
              </w:rPr>
              <w:t>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0</w:t>
            </w:r>
          </w:p>
        </w:tc>
        <w:tc>
          <w:tcPr>
            <w:tcW w:w="1079" w:type="dxa"/>
            <w:vAlign w:val="center"/>
          </w:tcPr>
          <w:p>
            <w:pPr>
              <w:adjustRightInd w:val="0"/>
              <w:snapToGrid w:val="0"/>
              <w:spacing w:line="240" w:lineRule="exact"/>
              <w:jc w:val="center"/>
              <w:rPr>
                <w:sz w:val="18"/>
                <w:szCs w:val="18"/>
              </w:rPr>
            </w:pPr>
            <w:r>
              <w:rPr>
                <w:sz w:val="18"/>
                <w:szCs w:val="18"/>
              </w:rPr>
              <w:t>0</w:t>
            </w:r>
          </w:p>
        </w:tc>
        <w:tc>
          <w:tcPr>
            <w:tcW w:w="1231" w:type="dxa"/>
            <w:vAlign w:val="center"/>
          </w:tcPr>
          <w:p>
            <w:pPr>
              <w:adjustRightInd w:val="0"/>
              <w:snapToGrid w:val="0"/>
              <w:spacing w:line="240" w:lineRule="exact"/>
              <w:jc w:val="center"/>
              <w:rPr>
                <w:sz w:val="18"/>
                <w:szCs w:val="18"/>
              </w:rPr>
            </w:pPr>
            <w:r>
              <w:rPr>
                <w:sz w:val="18"/>
                <w:szCs w:val="18"/>
              </w:rPr>
              <w:t>0</w:t>
            </w:r>
          </w:p>
        </w:tc>
        <w:tc>
          <w:tcPr>
            <w:tcW w:w="865" w:type="dxa"/>
            <w:vAlign w:val="center"/>
          </w:tcPr>
          <w:p>
            <w:pPr>
              <w:adjustRightInd w:val="0"/>
              <w:snapToGrid w:val="0"/>
              <w:spacing w:line="240" w:lineRule="exact"/>
              <w:jc w:val="center"/>
              <w:rPr>
                <w:sz w:val="18"/>
                <w:szCs w:val="18"/>
              </w:rPr>
            </w:pPr>
            <w:r>
              <w:rPr>
                <w:sz w:val="18"/>
                <w:szCs w:val="18"/>
              </w:rPr>
              <w:t>0</w:t>
            </w:r>
          </w:p>
        </w:tc>
        <w:tc>
          <w:tcPr>
            <w:tcW w:w="1276" w:type="dxa"/>
            <w:vAlign w:val="center"/>
          </w:tcPr>
          <w:p>
            <w:pPr>
              <w:adjustRightInd w:val="0"/>
              <w:snapToGrid w:val="0"/>
              <w:spacing w:line="240" w:lineRule="exact"/>
              <w:jc w:val="center"/>
              <w:rPr>
                <w:sz w:val="18"/>
                <w:szCs w:val="18"/>
              </w:rPr>
            </w:pPr>
            <w:r>
              <w:rPr>
                <w:sz w:val="18"/>
                <w:szCs w:val="18"/>
              </w:rPr>
              <w:t>0</w:t>
            </w:r>
          </w:p>
        </w:tc>
        <w:tc>
          <w:tcPr>
            <w:tcW w:w="1099" w:type="dxa"/>
            <w:vAlign w:val="center"/>
          </w:tcPr>
          <w:p>
            <w:pPr>
              <w:adjustRightInd w:val="0"/>
              <w:snapToGrid w:val="0"/>
              <w:spacing w:line="240" w:lineRule="exact"/>
              <w:ind w:left="-21" w:leftChars="-10"/>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restart"/>
            <w:tcMar>
              <w:left w:w="28" w:type="dxa"/>
              <w:right w:w="28" w:type="dxa"/>
            </w:tcMar>
            <w:vAlign w:val="center"/>
          </w:tcPr>
          <w:p>
            <w:pPr>
              <w:adjustRightInd w:val="0"/>
              <w:snapToGrid w:val="0"/>
              <w:spacing w:line="240" w:lineRule="exact"/>
              <w:jc w:val="center"/>
              <w:rPr>
                <w:sz w:val="18"/>
                <w:szCs w:val="18"/>
              </w:rPr>
            </w:pPr>
            <w:r>
              <w:rPr>
                <w:rFonts w:hint="eastAsia"/>
                <w:sz w:val="18"/>
                <w:szCs w:val="18"/>
              </w:rPr>
              <w:t>2#</w:t>
            </w: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监测结果</w:t>
            </w:r>
          </w:p>
        </w:tc>
        <w:tc>
          <w:tcPr>
            <w:tcW w:w="568" w:type="dxa"/>
            <w:tcMar>
              <w:left w:w="28" w:type="dxa"/>
              <w:right w:w="28" w:type="dxa"/>
            </w:tcMar>
            <w:vAlign w:val="center"/>
          </w:tcPr>
          <w:p>
            <w:pPr>
              <w:spacing w:line="240" w:lineRule="exact"/>
              <w:jc w:val="center"/>
              <w:rPr>
                <w:sz w:val="18"/>
                <w:szCs w:val="18"/>
              </w:rPr>
            </w:pPr>
            <w:r>
              <w:rPr>
                <w:sz w:val="18"/>
                <w:szCs w:val="18"/>
              </w:rPr>
              <w:t>7.</w:t>
            </w:r>
            <w:r>
              <w:rPr>
                <w:rFonts w:hint="eastAsia"/>
                <w:sz w:val="18"/>
                <w:szCs w:val="18"/>
              </w:rPr>
              <w:t>10</w:t>
            </w:r>
            <w:r>
              <w:rPr>
                <w:sz w:val="18"/>
                <w:szCs w:val="18"/>
              </w:rPr>
              <w:t>～7.</w:t>
            </w:r>
            <w:r>
              <w:rPr>
                <w:rFonts w:hint="eastAsia"/>
                <w:sz w:val="18"/>
                <w:szCs w:val="18"/>
              </w:rPr>
              <w:t>15</w:t>
            </w:r>
          </w:p>
        </w:tc>
        <w:tc>
          <w:tcPr>
            <w:tcW w:w="994" w:type="dxa"/>
            <w:vAlign w:val="center"/>
          </w:tcPr>
          <w:p>
            <w:pPr>
              <w:spacing w:line="240" w:lineRule="exact"/>
              <w:jc w:val="center"/>
              <w:rPr>
                <w:sz w:val="18"/>
                <w:szCs w:val="18"/>
              </w:rPr>
            </w:pPr>
            <w:r>
              <w:rPr>
                <w:rFonts w:hint="eastAsia"/>
                <w:sz w:val="18"/>
                <w:szCs w:val="18"/>
              </w:rPr>
              <w:t>5</w:t>
            </w:r>
            <w:r>
              <w:rPr>
                <w:sz w:val="18"/>
                <w:szCs w:val="18"/>
              </w:rPr>
              <w:t>～</w:t>
            </w:r>
            <w:r>
              <w:rPr>
                <w:rFonts w:hint="eastAsia"/>
                <w:sz w:val="18"/>
                <w:szCs w:val="18"/>
              </w:rPr>
              <w:t>6</w:t>
            </w:r>
          </w:p>
        </w:tc>
        <w:tc>
          <w:tcPr>
            <w:tcW w:w="965" w:type="dxa"/>
            <w:vAlign w:val="center"/>
          </w:tcPr>
          <w:p>
            <w:pPr>
              <w:spacing w:line="240" w:lineRule="exact"/>
              <w:jc w:val="center"/>
              <w:rPr>
                <w:sz w:val="18"/>
                <w:szCs w:val="18"/>
              </w:rPr>
            </w:pPr>
            <w:r>
              <w:rPr>
                <w:rFonts w:hint="eastAsia"/>
                <w:sz w:val="18"/>
                <w:szCs w:val="18"/>
              </w:rPr>
              <w:t>10</w:t>
            </w:r>
            <w:r>
              <w:rPr>
                <w:sz w:val="18"/>
                <w:szCs w:val="18"/>
              </w:rPr>
              <w:t>～</w:t>
            </w:r>
            <w:r>
              <w:rPr>
                <w:rFonts w:hint="eastAsia"/>
                <w:sz w:val="18"/>
                <w:szCs w:val="18"/>
              </w:rPr>
              <w:t>12</w:t>
            </w:r>
          </w:p>
        </w:tc>
        <w:tc>
          <w:tcPr>
            <w:tcW w:w="1079" w:type="dxa"/>
            <w:vAlign w:val="center"/>
          </w:tcPr>
          <w:p>
            <w:pPr>
              <w:spacing w:line="240" w:lineRule="exact"/>
              <w:jc w:val="center"/>
              <w:rPr>
                <w:sz w:val="18"/>
                <w:szCs w:val="18"/>
              </w:rPr>
            </w:pPr>
            <w:r>
              <w:rPr>
                <w:sz w:val="18"/>
                <w:szCs w:val="18"/>
              </w:rPr>
              <w:t>1.</w:t>
            </w:r>
            <w:r>
              <w:rPr>
                <w:rFonts w:hint="eastAsia"/>
                <w:sz w:val="18"/>
                <w:szCs w:val="18"/>
              </w:rPr>
              <w:t>3</w:t>
            </w:r>
            <w:r>
              <w:rPr>
                <w:sz w:val="18"/>
                <w:szCs w:val="18"/>
              </w:rPr>
              <w:t>～1.4</w:t>
            </w:r>
          </w:p>
        </w:tc>
        <w:tc>
          <w:tcPr>
            <w:tcW w:w="1231" w:type="dxa"/>
            <w:vAlign w:val="center"/>
          </w:tcPr>
          <w:p>
            <w:pPr>
              <w:spacing w:line="240" w:lineRule="exact"/>
              <w:jc w:val="center"/>
              <w:rPr>
                <w:sz w:val="18"/>
                <w:szCs w:val="18"/>
              </w:rPr>
            </w:pPr>
            <w:r>
              <w:rPr>
                <w:sz w:val="18"/>
                <w:szCs w:val="18"/>
              </w:rPr>
              <w:t>0.</w:t>
            </w:r>
            <w:r>
              <w:rPr>
                <w:rFonts w:hint="eastAsia"/>
                <w:sz w:val="18"/>
                <w:szCs w:val="18"/>
              </w:rPr>
              <w:t>706</w:t>
            </w:r>
            <w:r>
              <w:rPr>
                <w:sz w:val="18"/>
                <w:szCs w:val="18"/>
              </w:rPr>
              <w:t>～0.</w:t>
            </w:r>
            <w:r>
              <w:rPr>
                <w:rFonts w:hint="eastAsia"/>
                <w:sz w:val="18"/>
                <w:szCs w:val="18"/>
              </w:rPr>
              <w:t>616</w:t>
            </w:r>
          </w:p>
        </w:tc>
        <w:tc>
          <w:tcPr>
            <w:tcW w:w="865" w:type="dxa"/>
            <w:vAlign w:val="center"/>
          </w:tcPr>
          <w:p>
            <w:pPr>
              <w:spacing w:line="240" w:lineRule="exact"/>
              <w:jc w:val="center"/>
              <w:rPr>
                <w:sz w:val="18"/>
                <w:szCs w:val="18"/>
              </w:rPr>
            </w:pPr>
            <w:r>
              <w:rPr>
                <w:rFonts w:hint="eastAsia"/>
                <w:sz w:val="18"/>
                <w:szCs w:val="18"/>
              </w:rPr>
              <w:t>未检出</w:t>
            </w:r>
          </w:p>
        </w:tc>
        <w:tc>
          <w:tcPr>
            <w:tcW w:w="1276" w:type="dxa"/>
            <w:vAlign w:val="center"/>
          </w:tcPr>
          <w:p>
            <w:pPr>
              <w:spacing w:line="240" w:lineRule="exact"/>
              <w:jc w:val="center"/>
              <w:rPr>
                <w:sz w:val="18"/>
                <w:szCs w:val="18"/>
              </w:rPr>
            </w:pPr>
            <w:r>
              <w:rPr>
                <w:rFonts w:hint="eastAsia"/>
                <w:sz w:val="18"/>
                <w:szCs w:val="18"/>
              </w:rPr>
              <w:t>1.8</w:t>
            </w:r>
            <w:r>
              <w:rPr>
                <w:sz w:val="18"/>
                <w:szCs w:val="18"/>
              </w:rPr>
              <w:t>～</w:t>
            </w:r>
            <w:r>
              <w:rPr>
                <w:rFonts w:hint="eastAsia"/>
                <w:sz w:val="18"/>
                <w:szCs w:val="18"/>
              </w:rPr>
              <w:t>2.4</w:t>
            </w:r>
          </w:p>
        </w:tc>
        <w:tc>
          <w:tcPr>
            <w:tcW w:w="1099" w:type="dxa"/>
            <w:vAlign w:val="center"/>
          </w:tcPr>
          <w:p>
            <w:pPr>
              <w:spacing w:line="240" w:lineRule="exact"/>
              <w:jc w:val="center"/>
              <w:rPr>
                <w:sz w:val="18"/>
                <w:szCs w:val="18"/>
              </w:rPr>
            </w:pPr>
            <w:r>
              <w:rPr>
                <w:rFonts w:hint="eastAsia"/>
                <w:sz w:val="18"/>
                <w:szCs w:val="18"/>
              </w:rPr>
              <w:t>8.12</w:t>
            </w:r>
            <w:r>
              <w:rPr>
                <w:sz w:val="18"/>
                <w:szCs w:val="18"/>
              </w:rPr>
              <w:t>～</w:t>
            </w:r>
            <w:r>
              <w:rPr>
                <w:rFonts w:hint="eastAsia"/>
                <w:sz w:val="18"/>
                <w:szCs w:val="18"/>
              </w:rPr>
              <w:t>8.14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评价标准</w:t>
            </w:r>
          </w:p>
          <w:p>
            <w:pPr>
              <w:adjustRightInd w:val="0"/>
              <w:snapToGrid w:val="0"/>
              <w:spacing w:line="240" w:lineRule="exact"/>
              <w:jc w:val="center"/>
              <w:rPr>
                <w:sz w:val="18"/>
                <w:szCs w:val="18"/>
              </w:rPr>
            </w:pPr>
            <w:r>
              <w:rPr>
                <w:sz w:val="18"/>
                <w:szCs w:val="18"/>
              </w:rPr>
              <w:t>（</w:t>
            </w:r>
            <w:r>
              <w:rPr>
                <w:rFonts w:hint="eastAsia" w:ascii="宋体" w:hAnsi="宋体" w:cs="宋体"/>
                <w:sz w:val="18"/>
                <w:szCs w:val="18"/>
              </w:rPr>
              <w:t>Ⅲ</w:t>
            </w:r>
            <w:r>
              <w:rPr>
                <w:sz w:val="18"/>
                <w:szCs w:val="18"/>
              </w:rPr>
              <w:t>类）</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6～9</w:t>
            </w:r>
          </w:p>
        </w:tc>
        <w:tc>
          <w:tcPr>
            <w:tcW w:w="994" w:type="dxa"/>
            <w:vAlign w:val="center"/>
          </w:tcPr>
          <w:p>
            <w:pPr>
              <w:adjustRightInd w:val="0"/>
              <w:snapToGrid w:val="0"/>
              <w:spacing w:line="240" w:lineRule="exact"/>
              <w:jc w:val="center"/>
              <w:rPr>
                <w:sz w:val="18"/>
                <w:szCs w:val="18"/>
              </w:rPr>
            </w:pPr>
            <w:r>
              <w:rPr>
                <w:sz w:val="18"/>
                <w:szCs w:val="18"/>
              </w:rPr>
              <w:t>30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≤20</w:t>
            </w:r>
          </w:p>
        </w:tc>
        <w:tc>
          <w:tcPr>
            <w:tcW w:w="1079" w:type="dxa"/>
            <w:vAlign w:val="center"/>
          </w:tcPr>
          <w:p>
            <w:pPr>
              <w:adjustRightInd w:val="0"/>
              <w:snapToGrid w:val="0"/>
              <w:spacing w:line="240" w:lineRule="exact"/>
              <w:jc w:val="center"/>
              <w:rPr>
                <w:sz w:val="18"/>
                <w:szCs w:val="18"/>
              </w:rPr>
            </w:pPr>
            <w:r>
              <w:rPr>
                <w:sz w:val="18"/>
                <w:szCs w:val="18"/>
              </w:rPr>
              <w:t>≤4</w:t>
            </w:r>
          </w:p>
        </w:tc>
        <w:tc>
          <w:tcPr>
            <w:tcW w:w="1231" w:type="dxa"/>
            <w:vAlign w:val="center"/>
          </w:tcPr>
          <w:p>
            <w:pPr>
              <w:adjustRightInd w:val="0"/>
              <w:snapToGrid w:val="0"/>
              <w:spacing w:line="240" w:lineRule="exact"/>
              <w:jc w:val="center"/>
              <w:rPr>
                <w:sz w:val="18"/>
                <w:szCs w:val="18"/>
              </w:rPr>
            </w:pPr>
            <w:r>
              <w:rPr>
                <w:sz w:val="18"/>
                <w:szCs w:val="18"/>
              </w:rPr>
              <w:t>≤1.0</w:t>
            </w:r>
          </w:p>
        </w:tc>
        <w:tc>
          <w:tcPr>
            <w:tcW w:w="865" w:type="dxa"/>
            <w:vAlign w:val="center"/>
          </w:tcPr>
          <w:p>
            <w:pPr>
              <w:adjustRightInd w:val="0"/>
              <w:snapToGrid w:val="0"/>
              <w:spacing w:line="240" w:lineRule="exact"/>
              <w:jc w:val="center"/>
              <w:rPr>
                <w:sz w:val="18"/>
                <w:szCs w:val="18"/>
              </w:rPr>
            </w:pPr>
            <w:r>
              <w:rPr>
                <w:sz w:val="18"/>
                <w:szCs w:val="18"/>
              </w:rPr>
              <w:t>≤0.05</w:t>
            </w:r>
          </w:p>
        </w:tc>
        <w:tc>
          <w:tcPr>
            <w:tcW w:w="1276" w:type="dxa"/>
            <w:vAlign w:val="center"/>
          </w:tcPr>
          <w:p>
            <w:pPr>
              <w:adjustRightInd w:val="0"/>
              <w:snapToGrid w:val="0"/>
              <w:spacing w:line="240" w:lineRule="exact"/>
              <w:jc w:val="center"/>
              <w:rPr>
                <w:sz w:val="18"/>
                <w:szCs w:val="18"/>
              </w:rPr>
            </w:pPr>
            <w:r>
              <w:rPr>
                <w:sz w:val="18"/>
                <w:szCs w:val="18"/>
              </w:rPr>
              <w:t>≤6</w:t>
            </w:r>
          </w:p>
        </w:tc>
        <w:tc>
          <w:tcPr>
            <w:tcW w:w="1099" w:type="dxa"/>
            <w:vAlign w:val="center"/>
          </w:tcPr>
          <w:p>
            <w:pPr>
              <w:adjustRightInd w:val="0"/>
              <w:snapToGrid w:val="0"/>
              <w:spacing w:line="240" w:lineRule="exact"/>
              <w:ind w:left="-21" w:leftChars="-10"/>
              <w:jc w:val="center"/>
              <w:rPr>
                <w:sz w:val="18"/>
                <w:szCs w:val="18"/>
              </w:rPr>
            </w:pPr>
            <w:r>
              <w:rPr>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napToGrid w:val="0"/>
                <w:sz w:val="18"/>
                <w:szCs w:val="18"/>
              </w:rPr>
              <w:t>P</w:t>
            </w:r>
            <w:r>
              <w:rPr>
                <w:snapToGrid w:val="0"/>
                <w:sz w:val="18"/>
                <w:szCs w:val="18"/>
                <w:vertAlign w:val="subscript"/>
              </w:rPr>
              <w:t>i</w:t>
            </w:r>
          </w:p>
        </w:tc>
        <w:tc>
          <w:tcPr>
            <w:tcW w:w="568" w:type="dxa"/>
            <w:tcMar>
              <w:left w:w="28" w:type="dxa"/>
              <w:right w:w="28" w:type="dxa"/>
            </w:tcMar>
            <w:vAlign w:val="center"/>
          </w:tcPr>
          <w:p>
            <w:pPr>
              <w:spacing w:line="240" w:lineRule="exact"/>
              <w:jc w:val="center"/>
              <w:rPr>
                <w:sz w:val="18"/>
                <w:szCs w:val="18"/>
              </w:rPr>
            </w:pPr>
            <w:r>
              <w:rPr>
                <w:sz w:val="18"/>
                <w:szCs w:val="18"/>
              </w:rPr>
              <w:t>0.</w:t>
            </w:r>
            <w:r>
              <w:rPr>
                <w:rFonts w:hint="eastAsia"/>
                <w:sz w:val="18"/>
                <w:szCs w:val="18"/>
              </w:rPr>
              <w:t>05</w:t>
            </w:r>
            <w:r>
              <w:rPr>
                <w:sz w:val="18"/>
                <w:szCs w:val="18"/>
              </w:rPr>
              <w:t>～0.</w:t>
            </w:r>
            <w:r>
              <w:rPr>
                <w:rFonts w:hint="eastAsia"/>
                <w:sz w:val="18"/>
                <w:szCs w:val="18"/>
              </w:rPr>
              <w:t>08</w:t>
            </w:r>
          </w:p>
        </w:tc>
        <w:tc>
          <w:tcPr>
            <w:tcW w:w="994" w:type="dxa"/>
            <w:vAlign w:val="center"/>
          </w:tcPr>
          <w:p>
            <w:pPr>
              <w:spacing w:line="240" w:lineRule="exact"/>
              <w:jc w:val="center"/>
              <w:rPr>
                <w:sz w:val="18"/>
                <w:szCs w:val="18"/>
              </w:rPr>
            </w:pPr>
            <w:r>
              <w:rPr>
                <w:rFonts w:hint="eastAsia"/>
                <w:sz w:val="18"/>
                <w:szCs w:val="18"/>
              </w:rPr>
              <w:t>017</w:t>
            </w:r>
            <w:r>
              <w:rPr>
                <w:sz w:val="18"/>
                <w:szCs w:val="18"/>
              </w:rPr>
              <w:t>～0.</w:t>
            </w:r>
            <w:r>
              <w:rPr>
                <w:rFonts w:hint="eastAsia"/>
                <w:sz w:val="18"/>
                <w:szCs w:val="18"/>
              </w:rPr>
              <w:t>20</w:t>
            </w:r>
          </w:p>
        </w:tc>
        <w:tc>
          <w:tcPr>
            <w:tcW w:w="965" w:type="dxa"/>
            <w:vAlign w:val="center"/>
          </w:tcPr>
          <w:p>
            <w:pPr>
              <w:spacing w:line="240" w:lineRule="exact"/>
              <w:jc w:val="center"/>
              <w:rPr>
                <w:sz w:val="18"/>
                <w:szCs w:val="18"/>
              </w:rPr>
            </w:pPr>
            <w:r>
              <w:rPr>
                <w:sz w:val="18"/>
                <w:szCs w:val="18"/>
              </w:rPr>
              <w:t>0.</w:t>
            </w:r>
            <w:r>
              <w:rPr>
                <w:rFonts w:hint="eastAsia"/>
                <w:sz w:val="18"/>
                <w:szCs w:val="18"/>
              </w:rPr>
              <w:t>50</w:t>
            </w:r>
            <w:r>
              <w:rPr>
                <w:sz w:val="18"/>
                <w:szCs w:val="18"/>
              </w:rPr>
              <w:t>～0.</w:t>
            </w:r>
            <w:r>
              <w:rPr>
                <w:rFonts w:hint="eastAsia"/>
                <w:sz w:val="18"/>
                <w:szCs w:val="18"/>
              </w:rPr>
              <w:t>60</w:t>
            </w:r>
          </w:p>
        </w:tc>
        <w:tc>
          <w:tcPr>
            <w:tcW w:w="1079" w:type="dxa"/>
            <w:vAlign w:val="center"/>
          </w:tcPr>
          <w:p>
            <w:pPr>
              <w:spacing w:line="240" w:lineRule="exact"/>
              <w:jc w:val="center"/>
              <w:rPr>
                <w:sz w:val="18"/>
                <w:szCs w:val="18"/>
              </w:rPr>
            </w:pPr>
            <w:r>
              <w:rPr>
                <w:sz w:val="18"/>
                <w:szCs w:val="18"/>
              </w:rPr>
              <w:t>0.3</w:t>
            </w:r>
            <w:r>
              <w:rPr>
                <w:rFonts w:hint="eastAsia"/>
                <w:sz w:val="18"/>
                <w:szCs w:val="18"/>
              </w:rPr>
              <w:t>3</w:t>
            </w:r>
            <w:r>
              <w:rPr>
                <w:sz w:val="18"/>
                <w:szCs w:val="18"/>
              </w:rPr>
              <w:t>～0.35</w:t>
            </w:r>
          </w:p>
        </w:tc>
        <w:tc>
          <w:tcPr>
            <w:tcW w:w="1231" w:type="dxa"/>
            <w:vAlign w:val="center"/>
          </w:tcPr>
          <w:p>
            <w:pPr>
              <w:spacing w:line="240" w:lineRule="exact"/>
              <w:jc w:val="center"/>
              <w:rPr>
                <w:sz w:val="18"/>
                <w:szCs w:val="18"/>
              </w:rPr>
            </w:pPr>
            <w:r>
              <w:rPr>
                <w:sz w:val="18"/>
                <w:szCs w:val="18"/>
              </w:rPr>
              <w:t>0.</w:t>
            </w:r>
            <w:r>
              <w:rPr>
                <w:rFonts w:hint="eastAsia"/>
                <w:sz w:val="18"/>
                <w:szCs w:val="18"/>
              </w:rPr>
              <w:t>706</w:t>
            </w:r>
            <w:r>
              <w:rPr>
                <w:sz w:val="18"/>
                <w:szCs w:val="18"/>
              </w:rPr>
              <w:t>～0.</w:t>
            </w:r>
            <w:r>
              <w:rPr>
                <w:rFonts w:hint="eastAsia"/>
                <w:sz w:val="18"/>
                <w:szCs w:val="18"/>
              </w:rPr>
              <w:t>616</w:t>
            </w:r>
          </w:p>
        </w:tc>
        <w:tc>
          <w:tcPr>
            <w:tcW w:w="865" w:type="dxa"/>
            <w:vAlign w:val="center"/>
          </w:tcPr>
          <w:p>
            <w:pPr>
              <w:spacing w:line="240" w:lineRule="exact"/>
              <w:jc w:val="center"/>
              <w:rPr>
                <w:sz w:val="18"/>
                <w:szCs w:val="18"/>
              </w:rPr>
            </w:pPr>
            <w:r>
              <w:rPr>
                <w:sz w:val="18"/>
                <w:szCs w:val="18"/>
              </w:rPr>
              <w:t>0.2</w:t>
            </w:r>
          </w:p>
        </w:tc>
        <w:tc>
          <w:tcPr>
            <w:tcW w:w="1276" w:type="dxa"/>
            <w:vAlign w:val="center"/>
          </w:tcPr>
          <w:p>
            <w:pPr>
              <w:spacing w:line="240" w:lineRule="exact"/>
              <w:jc w:val="center"/>
              <w:rPr>
                <w:sz w:val="18"/>
                <w:szCs w:val="18"/>
              </w:rPr>
            </w:pPr>
            <w:r>
              <w:rPr>
                <w:sz w:val="18"/>
                <w:szCs w:val="18"/>
              </w:rPr>
              <w:t>0.</w:t>
            </w:r>
            <w:r>
              <w:rPr>
                <w:rFonts w:hint="eastAsia"/>
                <w:sz w:val="18"/>
                <w:szCs w:val="18"/>
              </w:rPr>
              <w:t>30</w:t>
            </w:r>
            <w:r>
              <w:rPr>
                <w:sz w:val="18"/>
                <w:szCs w:val="18"/>
              </w:rPr>
              <w:t>～0.</w:t>
            </w:r>
            <w:r>
              <w:rPr>
                <w:rFonts w:hint="eastAsia"/>
                <w:sz w:val="18"/>
                <w:szCs w:val="18"/>
              </w:rPr>
              <w:t>40</w:t>
            </w:r>
          </w:p>
        </w:tc>
        <w:tc>
          <w:tcPr>
            <w:tcW w:w="1099" w:type="dxa"/>
            <w:vAlign w:val="center"/>
          </w:tcPr>
          <w:p>
            <w:pPr>
              <w:spacing w:line="240" w:lineRule="exact"/>
              <w:jc w:val="center"/>
              <w:rPr>
                <w:sz w:val="18"/>
                <w:szCs w:val="18"/>
              </w:rPr>
            </w:pPr>
            <w:r>
              <w:rPr>
                <w:sz w:val="18"/>
                <w:szCs w:val="18"/>
              </w:rPr>
              <w:t>0.</w:t>
            </w:r>
            <w:r>
              <w:rPr>
                <w:rFonts w:hint="eastAsia"/>
                <w:sz w:val="18"/>
                <w:szCs w:val="18"/>
              </w:rPr>
              <w:t>292</w:t>
            </w:r>
            <w:r>
              <w:rPr>
                <w:sz w:val="18"/>
                <w:szCs w:val="18"/>
              </w:rPr>
              <w:t>～0.</w:t>
            </w:r>
            <w:r>
              <w:rPr>
                <w:rFonts w:hint="eastAsia"/>
                <w:sz w:val="18"/>
                <w:szCs w:val="18"/>
              </w:rPr>
              <w:t>297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最大超标</w:t>
            </w:r>
          </w:p>
          <w:p>
            <w:pPr>
              <w:adjustRightInd w:val="0"/>
              <w:snapToGrid w:val="0"/>
              <w:spacing w:line="240" w:lineRule="exact"/>
              <w:jc w:val="center"/>
              <w:rPr>
                <w:sz w:val="18"/>
                <w:szCs w:val="18"/>
              </w:rPr>
            </w:pPr>
            <w:r>
              <w:rPr>
                <w:sz w:val="18"/>
                <w:szCs w:val="18"/>
              </w:rPr>
              <w:t>倍数</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w:t>
            </w:r>
          </w:p>
        </w:tc>
        <w:tc>
          <w:tcPr>
            <w:tcW w:w="994" w:type="dxa"/>
            <w:vAlign w:val="center"/>
          </w:tcPr>
          <w:p>
            <w:pPr>
              <w:adjustRightInd w:val="0"/>
              <w:snapToGrid w:val="0"/>
              <w:spacing w:line="240" w:lineRule="exact"/>
              <w:jc w:val="center"/>
              <w:rPr>
                <w:sz w:val="18"/>
                <w:szCs w:val="18"/>
              </w:rPr>
            </w:pPr>
            <w:r>
              <w:rPr>
                <w:sz w:val="18"/>
                <w:szCs w:val="18"/>
              </w:rPr>
              <w:t>—</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w:t>
            </w:r>
          </w:p>
        </w:tc>
        <w:tc>
          <w:tcPr>
            <w:tcW w:w="1079" w:type="dxa"/>
            <w:vAlign w:val="center"/>
          </w:tcPr>
          <w:p>
            <w:pPr>
              <w:adjustRightInd w:val="0"/>
              <w:snapToGrid w:val="0"/>
              <w:spacing w:line="240" w:lineRule="exact"/>
              <w:jc w:val="center"/>
              <w:rPr>
                <w:sz w:val="18"/>
                <w:szCs w:val="18"/>
              </w:rPr>
            </w:pPr>
            <w:r>
              <w:rPr>
                <w:sz w:val="18"/>
                <w:szCs w:val="18"/>
              </w:rPr>
              <w:t>—</w:t>
            </w:r>
          </w:p>
        </w:tc>
        <w:tc>
          <w:tcPr>
            <w:tcW w:w="1231" w:type="dxa"/>
            <w:vAlign w:val="center"/>
          </w:tcPr>
          <w:p>
            <w:pPr>
              <w:adjustRightInd w:val="0"/>
              <w:snapToGrid w:val="0"/>
              <w:spacing w:line="240" w:lineRule="exact"/>
              <w:jc w:val="center"/>
              <w:rPr>
                <w:sz w:val="18"/>
                <w:szCs w:val="18"/>
              </w:rPr>
            </w:pPr>
            <w:r>
              <w:rPr>
                <w:sz w:val="18"/>
                <w:szCs w:val="18"/>
              </w:rPr>
              <w:t>—</w:t>
            </w:r>
          </w:p>
        </w:tc>
        <w:tc>
          <w:tcPr>
            <w:tcW w:w="865" w:type="dxa"/>
            <w:vAlign w:val="center"/>
          </w:tcPr>
          <w:p>
            <w:pPr>
              <w:adjustRightInd w:val="0"/>
              <w:snapToGrid w:val="0"/>
              <w:spacing w:line="240" w:lineRule="exact"/>
              <w:jc w:val="center"/>
              <w:rPr>
                <w:sz w:val="18"/>
                <w:szCs w:val="18"/>
              </w:rPr>
            </w:pPr>
            <w:r>
              <w:rPr>
                <w:sz w:val="18"/>
                <w:szCs w:val="18"/>
              </w:rPr>
              <w:t>—</w:t>
            </w:r>
          </w:p>
        </w:tc>
        <w:tc>
          <w:tcPr>
            <w:tcW w:w="1276" w:type="dxa"/>
            <w:vAlign w:val="center"/>
          </w:tcPr>
          <w:p>
            <w:pPr>
              <w:adjustRightInd w:val="0"/>
              <w:snapToGrid w:val="0"/>
              <w:spacing w:line="240" w:lineRule="exact"/>
              <w:jc w:val="center"/>
              <w:rPr>
                <w:sz w:val="18"/>
                <w:szCs w:val="18"/>
              </w:rPr>
            </w:pPr>
            <w:r>
              <w:rPr>
                <w:sz w:val="18"/>
                <w:szCs w:val="18"/>
              </w:rPr>
              <w:t>—</w:t>
            </w:r>
          </w:p>
        </w:tc>
        <w:tc>
          <w:tcPr>
            <w:tcW w:w="1099" w:type="dxa"/>
            <w:vAlign w:val="center"/>
          </w:tcPr>
          <w:p>
            <w:pPr>
              <w:adjustRightInd w:val="0"/>
              <w:snapToGrid w:val="0"/>
              <w:spacing w:line="240" w:lineRule="exact"/>
              <w:ind w:left="-21" w:leftChars="-10"/>
              <w:jc w:val="center"/>
              <w:rPr>
                <w:sz w:val="18"/>
                <w:szCs w:val="18"/>
              </w:rPr>
            </w:pPr>
            <w:r>
              <w:rPr>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超标率</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0</w:t>
            </w:r>
          </w:p>
        </w:tc>
        <w:tc>
          <w:tcPr>
            <w:tcW w:w="994" w:type="dxa"/>
            <w:vAlign w:val="center"/>
          </w:tcPr>
          <w:p>
            <w:pPr>
              <w:adjustRightInd w:val="0"/>
              <w:snapToGrid w:val="0"/>
              <w:spacing w:line="240" w:lineRule="exact"/>
              <w:jc w:val="center"/>
              <w:rPr>
                <w:sz w:val="18"/>
                <w:szCs w:val="18"/>
              </w:rPr>
            </w:pPr>
            <w:r>
              <w:rPr>
                <w:sz w:val="18"/>
                <w:szCs w:val="18"/>
              </w:rPr>
              <w:t>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0</w:t>
            </w:r>
          </w:p>
        </w:tc>
        <w:tc>
          <w:tcPr>
            <w:tcW w:w="1079" w:type="dxa"/>
            <w:vAlign w:val="center"/>
          </w:tcPr>
          <w:p>
            <w:pPr>
              <w:adjustRightInd w:val="0"/>
              <w:snapToGrid w:val="0"/>
              <w:spacing w:line="240" w:lineRule="exact"/>
              <w:jc w:val="center"/>
              <w:rPr>
                <w:sz w:val="18"/>
                <w:szCs w:val="18"/>
              </w:rPr>
            </w:pPr>
            <w:r>
              <w:rPr>
                <w:sz w:val="18"/>
                <w:szCs w:val="18"/>
              </w:rPr>
              <w:t>0</w:t>
            </w:r>
          </w:p>
        </w:tc>
        <w:tc>
          <w:tcPr>
            <w:tcW w:w="1231" w:type="dxa"/>
            <w:vAlign w:val="center"/>
          </w:tcPr>
          <w:p>
            <w:pPr>
              <w:adjustRightInd w:val="0"/>
              <w:snapToGrid w:val="0"/>
              <w:spacing w:line="240" w:lineRule="exact"/>
              <w:jc w:val="center"/>
              <w:rPr>
                <w:sz w:val="18"/>
                <w:szCs w:val="18"/>
              </w:rPr>
            </w:pPr>
            <w:r>
              <w:rPr>
                <w:sz w:val="18"/>
                <w:szCs w:val="18"/>
              </w:rPr>
              <w:t>0</w:t>
            </w:r>
          </w:p>
        </w:tc>
        <w:tc>
          <w:tcPr>
            <w:tcW w:w="865" w:type="dxa"/>
            <w:vAlign w:val="center"/>
          </w:tcPr>
          <w:p>
            <w:pPr>
              <w:adjustRightInd w:val="0"/>
              <w:snapToGrid w:val="0"/>
              <w:spacing w:line="240" w:lineRule="exact"/>
              <w:jc w:val="center"/>
              <w:rPr>
                <w:sz w:val="18"/>
                <w:szCs w:val="18"/>
              </w:rPr>
            </w:pPr>
            <w:r>
              <w:rPr>
                <w:sz w:val="18"/>
                <w:szCs w:val="18"/>
              </w:rPr>
              <w:t>0</w:t>
            </w:r>
          </w:p>
        </w:tc>
        <w:tc>
          <w:tcPr>
            <w:tcW w:w="1276" w:type="dxa"/>
            <w:vAlign w:val="center"/>
          </w:tcPr>
          <w:p>
            <w:pPr>
              <w:adjustRightInd w:val="0"/>
              <w:snapToGrid w:val="0"/>
              <w:spacing w:line="240" w:lineRule="exact"/>
              <w:jc w:val="center"/>
              <w:rPr>
                <w:sz w:val="18"/>
                <w:szCs w:val="18"/>
              </w:rPr>
            </w:pPr>
            <w:r>
              <w:rPr>
                <w:sz w:val="18"/>
                <w:szCs w:val="18"/>
              </w:rPr>
              <w:t>0</w:t>
            </w:r>
          </w:p>
        </w:tc>
        <w:tc>
          <w:tcPr>
            <w:tcW w:w="1099" w:type="dxa"/>
            <w:vAlign w:val="center"/>
          </w:tcPr>
          <w:p>
            <w:pPr>
              <w:adjustRightInd w:val="0"/>
              <w:snapToGrid w:val="0"/>
              <w:spacing w:line="240" w:lineRule="exact"/>
              <w:ind w:left="-21" w:leftChars="-10"/>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restart"/>
            <w:tcMar>
              <w:left w:w="28" w:type="dxa"/>
              <w:right w:w="28" w:type="dxa"/>
            </w:tcMar>
            <w:vAlign w:val="center"/>
          </w:tcPr>
          <w:p>
            <w:pPr>
              <w:adjustRightInd w:val="0"/>
              <w:snapToGrid w:val="0"/>
              <w:spacing w:line="240" w:lineRule="exact"/>
              <w:jc w:val="center"/>
              <w:rPr>
                <w:sz w:val="18"/>
                <w:szCs w:val="18"/>
              </w:rPr>
            </w:pPr>
            <w:r>
              <w:rPr>
                <w:rFonts w:hint="eastAsia"/>
                <w:sz w:val="18"/>
                <w:szCs w:val="18"/>
              </w:rPr>
              <w:t>3#</w:t>
            </w: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监测结果</w:t>
            </w:r>
          </w:p>
        </w:tc>
        <w:tc>
          <w:tcPr>
            <w:tcW w:w="568" w:type="dxa"/>
            <w:tcMar>
              <w:left w:w="28" w:type="dxa"/>
              <w:right w:w="28" w:type="dxa"/>
            </w:tcMar>
            <w:vAlign w:val="center"/>
          </w:tcPr>
          <w:p>
            <w:pPr>
              <w:spacing w:line="240" w:lineRule="exact"/>
              <w:jc w:val="center"/>
              <w:rPr>
                <w:sz w:val="18"/>
                <w:szCs w:val="18"/>
              </w:rPr>
            </w:pPr>
            <w:r>
              <w:rPr>
                <w:sz w:val="18"/>
                <w:szCs w:val="18"/>
              </w:rPr>
              <w:t>7.</w:t>
            </w:r>
            <w:r>
              <w:rPr>
                <w:rFonts w:hint="eastAsia"/>
                <w:sz w:val="18"/>
                <w:szCs w:val="18"/>
              </w:rPr>
              <w:t>03</w:t>
            </w:r>
            <w:r>
              <w:rPr>
                <w:sz w:val="18"/>
                <w:szCs w:val="18"/>
              </w:rPr>
              <w:t>～7.</w:t>
            </w:r>
            <w:r>
              <w:rPr>
                <w:rFonts w:hint="eastAsia"/>
                <w:sz w:val="18"/>
                <w:szCs w:val="18"/>
              </w:rPr>
              <w:t>08</w:t>
            </w:r>
          </w:p>
        </w:tc>
        <w:tc>
          <w:tcPr>
            <w:tcW w:w="994" w:type="dxa"/>
            <w:vAlign w:val="center"/>
          </w:tcPr>
          <w:p>
            <w:pPr>
              <w:spacing w:line="240" w:lineRule="exact"/>
              <w:jc w:val="center"/>
              <w:rPr>
                <w:sz w:val="18"/>
                <w:szCs w:val="18"/>
              </w:rPr>
            </w:pPr>
            <w:r>
              <w:rPr>
                <w:rFonts w:hint="eastAsia"/>
                <w:sz w:val="18"/>
                <w:szCs w:val="18"/>
              </w:rPr>
              <w:t>5</w:t>
            </w:r>
          </w:p>
        </w:tc>
        <w:tc>
          <w:tcPr>
            <w:tcW w:w="965" w:type="dxa"/>
            <w:vAlign w:val="center"/>
          </w:tcPr>
          <w:p>
            <w:pPr>
              <w:spacing w:line="240" w:lineRule="exact"/>
              <w:jc w:val="center"/>
              <w:rPr>
                <w:sz w:val="18"/>
                <w:szCs w:val="18"/>
              </w:rPr>
            </w:pPr>
            <w:r>
              <w:rPr>
                <w:sz w:val="18"/>
                <w:szCs w:val="18"/>
              </w:rPr>
              <w:t>10～1</w:t>
            </w:r>
            <w:r>
              <w:rPr>
                <w:rFonts w:hint="eastAsia"/>
                <w:sz w:val="18"/>
                <w:szCs w:val="18"/>
              </w:rPr>
              <w:t>1</w:t>
            </w:r>
          </w:p>
        </w:tc>
        <w:tc>
          <w:tcPr>
            <w:tcW w:w="1079" w:type="dxa"/>
            <w:vAlign w:val="center"/>
          </w:tcPr>
          <w:p>
            <w:pPr>
              <w:spacing w:line="240" w:lineRule="exact"/>
              <w:jc w:val="center"/>
              <w:rPr>
                <w:sz w:val="18"/>
                <w:szCs w:val="18"/>
              </w:rPr>
            </w:pPr>
            <w:r>
              <w:rPr>
                <w:sz w:val="18"/>
                <w:szCs w:val="18"/>
              </w:rPr>
              <w:t>1.6～1</w:t>
            </w:r>
            <w:r>
              <w:rPr>
                <w:rFonts w:hint="eastAsia"/>
                <w:sz w:val="18"/>
                <w:szCs w:val="18"/>
              </w:rPr>
              <w:t>.9</w:t>
            </w:r>
          </w:p>
        </w:tc>
        <w:tc>
          <w:tcPr>
            <w:tcW w:w="1231" w:type="dxa"/>
            <w:vAlign w:val="center"/>
          </w:tcPr>
          <w:p>
            <w:pPr>
              <w:spacing w:line="240" w:lineRule="exact"/>
              <w:jc w:val="center"/>
              <w:rPr>
                <w:sz w:val="18"/>
                <w:szCs w:val="18"/>
              </w:rPr>
            </w:pPr>
            <w:r>
              <w:rPr>
                <w:sz w:val="18"/>
                <w:szCs w:val="18"/>
              </w:rPr>
              <w:t>0.</w:t>
            </w:r>
            <w:r>
              <w:rPr>
                <w:rFonts w:hint="eastAsia"/>
                <w:sz w:val="18"/>
                <w:szCs w:val="18"/>
              </w:rPr>
              <w:t>536</w:t>
            </w:r>
            <w:r>
              <w:rPr>
                <w:sz w:val="18"/>
                <w:szCs w:val="18"/>
              </w:rPr>
              <w:t>～0.</w:t>
            </w:r>
            <w:r>
              <w:rPr>
                <w:rFonts w:hint="eastAsia"/>
                <w:sz w:val="18"/>
                <w:szCs w:val="18"/>
              </w:rPr>
              <w:t>724</w:t>
            </w:r>
          </w:p>
        </w:tc>
        <w:tc>
          <w:tcPr>
            <w:tcW w:w="865" w:type="dxa"/>
            <w:vAlign w:val="center"/>
          </w:tcPr>
          <w:p>
            <w:pPr>
              <w:spacing w:line="240" w:lineRule="exact"/>
              <w:jc w:val="center"/>
              <w:rPr>
                <w:sz w:val="18"/>
                <w:szCs w:val="18"/>
              </w:rPr>
            </w:pPr>
            <w:r>
              <w:rPr>
                <w:rFonts w:hint="eastAsia"/>
                <w:sz w:val="18"/>
                <w:szCs w:val="18"/>
              </w:rPr>
              <w:t>未检出</w:t>
            </w:r>
          </w:p>
        </w:tc>
        <w:tc>
          <w:tcPr>
            <w:tcW w:w="1276" w:type="dxa"/>
            <w:vAlign w:val="center"/>
          </w:tcPr>
          <w:p>
            <w:pPr>
              <w:spacing w:line="240" w:lineRule="exact"/>
              <w:jc w:val="center"/>
              <w:rPr>
                <w:sz w:val="18"/>
                <w:szCs w:val="18"/>
              </w:rPr>
            </w:pPr>
            <w:r>
              <w:rPr>
                <w:sz w:val="18"/>
                <w:szCs w:val="18"/>
              </w:rPr>
              <w:t>2.</w:t>
            </w:r>
            <w:r>
              <w:rPr>
                <w:rFonts w:hint="eastAsia"/>
                <w:sz w:val="18"/>
                <w:szCs w:val="18"/>
              </w:rPr>
              <w:t>2</w:t>
            </w:r>
            <w:r>
              <w:rPr>
                <w:sz w:val="18"/>
                <w:szCs w:val="18"/>
              </w:rPr>
              <w:t>～2.</w:t>
            </w:r>
            <w:r>
              <w:rPr>
                <w:rFonts w:hint="eastAsia"/>
                <w:sz w:val="18"/>
                <w:szCs w:val="18"/>
              </w:rPr>
              <w:t>7</w:t>
            </w:r>
          </w:p>
        </w:tc>
        <w:tc>
          <w:tcPr>
            <w:tcW w:w="1099" w:type="dxa"/>
            <w:vAlign w:val="center"/>
          </w:tcPr>
          <w:p>
            <w:pPr>
              <w:spacing w:line="240" w:lineRule="exact"/>
              <w:jc w:val="center"/>
              <w:rPr>
                <w:sz w:val="18"/>
                <w:szCs w:val="18"/>
              </w:rPr>
            </w:pPr>
            <w:r>
              <w:rPr>
                <w:rFonts w:hint="eastAsia"/>
                <w:sz w:val="18"/>
                <w:szCs w:val="18"/>
              </w:rPr>
              <w:t>8.36</w:t>
            </w:r>
            <w:r>
              <w:rPr>
                <w:sz w:val="18"/>
                <w:szCs w:val="18"/>
              </w:rPr>
              <w:t>～</w:t>
            </w:r>
            <w:r>
              <w:rPr>
                <w:rFonts w:hint="eastAsia"/>
                <w:sz w:val="18"/>
                <w:szCs w:val="18"/>
              </w:rPr>
              <w:t>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评价标准</w:t>
            </w:r>
          </w:p>
          <w:p>
            <w:pPr>
              <w:adjustRightInd w:val="0"/>
              <w:snapToGrid w:val="0"/>
              <w:spacing w:line="240" w:lineRule="exact"/>
              <w:jc w:val="center"/>
              <w:rPr>
                <w:sz w:val="18"/>
                <w:szCs w:val="18"/>
              </w:rPr>
            </w:pPr>
            <w:r>
              <w:rPr>
                <w:sz w:val="18"/>
                <w:szCs w:val="18"/>
              </w:rPr>
              <w:t>（</w:t>
            </w:r>
            <w:r>
              <w:rPr>
                <w:rFonts w:hint="eastAsia" w:ascii="宋体" w:hAnsi="宋体" w:cs="宋体"/>
                <w:sz w:val="18"/>
                <w:szCs w:val="18"/>
              </w:rPr>
              <w:t>Ⅲ</w:t>
            </w:r>
            <w:r>
              <w:rPr>
                <w:sz w:val="18"/>
                <w:szCs w:val="18"/>
              </w:rPr>
              <w:t>类）</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6～9</w:t>
            </w:r>
          </w:p>
        </w:tc>
        <w:tc>
          <w:tcPr>
            <w:tcW w:w="994" w:type="dxa"/>
            <w:vAlign w:val="center"/>
          </w:tcPr>
          <w:p>
            <w:pPr>
              <w:adjustRightInd w:val="0"/>
              <w:snapToGrid w:val="0"/>
              <w:spacing w:line="240" w:lineRule="exact"/>
              <w:jc w:val="center"/>
              <w:rPr>
                <w:sz w:val="18"/>
                <w:szCs w:val="18"/>
              </w:rPr>
            </w:pPr>
            <w:r>
              <w:rPr>
                <w:sz w:val="18"/>
                <w:szCs w:val="18"/>
              </w:rPr>
              <w:t>30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≤20</w:t>
            </w:r>
          </w:p>
        </w:tc>
        <w:tc>
          <w:tcPr>
            <w:tcW w:w="1079" w:type="dxa"/>
            <w:vAlign w:val="center"/>
          </w:tcPr>
          <w:p>
            <w:pPr>
              <w:adjustRightInd w:val="0"/>
              <w:snapToGrid w:val="0"/>
              <w:spacing w:line="240" w:lineRule="exact"/>
              <w:jc w:val="center"/>
              <w:rPr>
                <w:sz w:val="18"/>
                <w:szCs w:val="18"/>
              </w:rPr>
            </w:pPr>
            <w:r>
              <w:rPr>
                <w:sz w:val="18"/>
                <w:szCs w:val="18"/>
              </w:rPr>
              <w:t>≤4</w:t>
            </w:r>
          </w:p>
        </w:tc>
        <w:tc>
          <w:tcPr>
            <w:tcW w:w="1231" w:type="dxa"/>
            <w:vAlign w:val="center"/>
          </w:tcPr>
          <w:p>
            <w:pPr>
              <w:adjustRightInd w:val="0"/>
              <w:snapToGrid w:val="0"/>
              <w:spacing w:line="240" w:lineRule="exact"/>
              <w:jc w:val="center"/>
              <w:rPr>
                <w:sz w:val="18"/>
                <w:szCs w:val="18"/>
              </w:rPr>
            </w:pPr>
            <w:r>
              <w:rPr>
                <w:sz w:val="18"/>
                <w:szCs w:val="18"/>
              </w:rPr>
              <w:t>≤1.0</w:t>
            </w:r>
          </w:p>
        </w:tc>
        <w:tc>
          <w:tcPr>
            <w:tcW w:w="865" w:type="dxa"/>
            <w:vAlign w:val="center"/>
          </w:tcPr>
          <w:p>
            <w:pPr>
              <w:adjustRightInd w:val="0"/>
              <w:snapToGrid w:val="0"/>
              <w:spacing w:line="240" w:lineRule="exact"/>
              <w:jc w:val="center"/>
              <w:rPr>
                <w:sz w:val="18"/>
                <w:szCs w:val="18"/>
              </w:rPr>
            </w:pPr>
            <w:r>
              <w:rPr>
                <w:sz w:val="18"/>
                <w:szCs w:val="18"/>
              </w:rPr>
              <w:t>≤0.05</w:t>
            </w:r>
          </w:p>
        </w:tc>
        <w:tc>
          <w:tcPr>
            <w:tcW w:w="1276" w:type="dxa"/>
            <w:vAlign w:val="center"/>
          </w:tcPr>
          <w:p>
            <w:pPr>
              <w:adjustRightInd w:val="0"/>
              <w:snapToGrid w:val="0"/>
              <w:spacing w:line="240" w:lineRule="exact"/>
              <w:jc w:val="center"/>
              <w:rPr>
                <w:sz w:val="18"/>
                <w:szCs w:val="18"/>
              </w:rPr>
            </w:pPr>
            <w:r>
              <w:rPr>
                <w:sz w:val="18"/>
                <w:szCs w:val="18"/>
              </w:rPr>
              <w:t>≤6</w:t>
            </w:r>
          </w:p>
        </w:tc>
        <w:tc>
          <w:tcPr>
            <w:tcW w:w="1099" w:type="dxa"/>
            <w:vAlign w:val="center"/>
          </w:tcPr>
          <w:p>
            <w:pPr>
              <w:adjustRightInd w:val="0"/>
              <w:snapToGrid w:val="0"/>
              <w:spacing w:line="240" w:lineRule="exact"/>
              <w:ind w:left="-21" w:leftChars="-10"/>
              <w:jc w:val="center"/>
              <w:rPr>
                <w:sz w:val="18"/>
                <w:szCs w:val="18"/>
              </w:rPr>
            </w:pPr>
            <w:r>
              <w:rPr>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napToGrid w:val="0"/>
                <w:sz w:val="18"/>
                <w:szCs w:val="18"/>
              </w:rPr>
              <w:t>P</w:t>
            </w:r>
            <w:r>
              <w:rPr>
                <w:snapToGrid w:val="0"/>
                <w:sz w:val="18"/>
                <w:szCs w:val="18"/>
                <w:vertAlign w:val="subscript"/>
              </w:rPr>
              <w:t>i</w:t>
            </w:r>
          </w:p>
        </w:tc>
        <w:tc>
          <w:tcPr>
            <w:tcW w:w="568" w:type="dxa"/>
            <w:tcMar>
              <w:left w:w="28" w:type="dxa"/>
              <w:right w:w="28" w:type="dxa"/>
            </w:tcMar>
            <w:vAlign w:val="center"/>
          </w:tcPr>
          <w:p>
            <w:pPr>
              <w:spacing w:line="240" w:lineRule="exact"/>
              <w:jc w:val="center"/>
              <w:rPr>
                <w:sz w:val="18"/>
                <w:szCs w:val="18"/>
              </w:rPr>
            </w:pPr>
            <w:r>
              <w:rPr>
                <w:sz w:val="18"/>
                <w:szCs w:val="18"/>
              </w:rPr>
              <w:t>0.</w:t>
            </w:r>
            <w:r>
              <w:rPr>
                <w:rFonts w:hint="eastAsia"/>
                <w:sz w:val="18"/>
                <w:szCs w:val="18"/>
              </w:rPr>
              <w:t>02</w:t>
            </w:r>
            <w:r>
              <w:rPr>
                <w:sz w:val="18"/>
                <w:szCs w:val="18"/>
              </w:rPr>
              <w:t>～0.</w:t>
            </w:r>
            <w:r>
              <w:rPr>
                <w:rFonts w:hint="eastAsia"/>
                <w:sz w:val="18"/>
                <w:szCs w:val="18"/>
              </w:rPr>
              <w:t>04</w:t>
            </w:r>
          </w:p>
        </w:tc>
        <w:tc>
          <w:tcPr>
            <w:tcW w:w="994" w:type="dxa"/>
            <w:vAlign w:val="center"/>
          </w:tcPr>
          <w:p>
            <w:pPr>
              <w:spacing w:line="240" w:lineRule="exact"/>
              <w:jc w:val="center"/>
              <w:rPr>
                <w:sz w:val="18"/>
                <w:szCs w:val="18"/>
              </w:rPr>
            </w:pPr>
            <w:r>
              <w:rPr>
                <w:rFonts w:hint="eastAsia"/>
                <w:sz w:val="18"/>
                <w:szCs w:val="18"/>
              </w:rPr>
              <w:t>0.17</w:t>
            </w:r>
          </w:p>
        </w:tc>
        <w:tc>
          <w:tcPr>
            <w:tcW w:w="965" w:type="dxa"/>
            <w:vAlign w:val="center"/>
          </w:tcPr>
          <w:p>
            <w:pPr>
              <w:spacing w:line="240" w:lineRule="exact"/>
              <w:jc w:val="center"/>
              <w:rPr>
                <w:sz w:val="18"/>
                <w:szCs w:val="18"/>
              </w:rPr>
            </w:pPr>
            <w:r>
              <w:rPr>
                <w:sz w:val="18"/>
                <w:szCs w:val="18"/>
              </w:rPr>
              <w:t>0.5</w:t>
            </w:r>
            <w:r>
              <w:rPr>
                <w:rFonts w:hint="eastAsia"/>
                <w:sz w:val="18"/>
                <w:szCs w:val="18"/>
              </w:rPr>
              <w:t>0</w:t>
            </w:r>
            <w:r>
              <w:rPr>
                <w:sz w:val="18"/>
                <w:szCs w:val="18"/>
              </w:rPr>
              <w:t>～0.</w:t>
            </w:r>
            <w:r>
              <w:rPr>
                <w:rFonts w:hint="eastAsia"/>
                <w:sz w:val="18"/>
                <w:szCs w:val="18"/>
              </w:rPr>
              <w:t>55</w:t>
            </w:r>
          </w:p>
        </w:tc>
        <w:tc>
          <w:tcPr>
            <w:tcW w:w="1079" w:type="dxa"/>
            <w:vAlign w:val="center"/>
          </w:tcPr>
          <w:p>
            <w:pPr>
              <w:spacing w:line="240" w:lineRule="exact"/>
              <w:jc w:val="center"/>
              <w:rPr>
                <w:sz w:val="18"/>
                <w:szCs w:val="18"/>
              </w:rPr>
            </w:pPr>
            <w:r>
              <w:rPr>
                <w:sz w:val="18"/>
                <w:szCs w:val="18"/>
              </w:rPr>
              <w:t>0.4</w:t>
            </w:r>
            <w:r>
              <w:rPr>
                <w:rFonts w:hint="eastAsia"/>
                <w:sz w:val="18"/>
                <w:szCs w:val="18"/>
              </w:rPr>
              <w:t>0</w:t>
            </w:r>
            <w:r>
              <w:rPr>
                <w:sz w:val="18"/>
                <w:szCs w:val="18"/>
              </w:rPr>
              <w:t>～0.4</w:t>
            </w:r>
            <w:r>
              <w:rPr>
                <w:rFonts w:hint="eastAsia"/>
                <w:sz w:val="18"/>
                <w:szCs w:val="18"/>
              </w:rPr>
              <w:t>8</w:t>
            </w:r>
          </w:p>
        </w:tc>
        <w:tc>
          <w:tcPr>
            <w:tcW w:w="1231" w:type="dxa"/>
            <w:vAlign w:val="center"/>
          </w:tcPr>
          <w:p>
            <w:pPr>
              <w:spacing w:line="240" w:lineRule="exact"/>
              <w:jc w:val="center"/>
              <w:rPr>
                <w:sz w:val="18"/>
                <w:szCs w:val="18"/>
              </w:rPr>
            </w:pPr>
            <w:r>
              <w:rPr>
                <w:sz w:val="18"/>
                <w:szCs w:val="18"/>
              </w:rPr>
              <w:t>0.</w:t>
            </w:r>
            <w:r>
              <w:rPr>
                <w:rFonts w:hint="eastAsia"/>
                <w:sz w:val="18"/>
                <w:szCs w:val="18"/>
              </w:rPr>
              <w:t>536</w:t>
            </w:r>
            <w:r>
              <w:rPr>
                <w:sz w:val="18"/>
                <w:szCs w:val="18"/>
              </w:rPr>
              <w:t>～0.</w:t>
            </w:r>
            <w:r>
              <w:rPr>
                <w:rFonts w:hint="eastAsia"/>
                <w:sz w:val="18"/>
                <w:szCs w:val="18"/>
              </w:rPr>
              <w:t>724</w:t>
            </w:r>
          </w:p>
        </w:tc>
        <w:tc>
          <w:tcPr>
            <w:tcW w:w="865" w:type="dxa"/>
            <w:vAlign w:val="center"/>
          </w:tcPr>
          <w:p>
            <w:pPr>
              <w:spacing w:line="240" w:lineRule="exact"/>
              <w:jc w:val="center"/>
              <w:rPr>
                <w:sz w:val="18"/>
                <w:szCs w:val="18"/>
              </w:rPr>
            </w:pPr>
            <w:r>
              <w:rPr>
                <w:sz w:val="18"/>
                <w:szCs w:val="18"/>
              </w:rPr>
              <w:t>0.2</w:t>
            </w:r>
          </w:p>
        </w:tc>
        <w:tc>
          <w:tcPr>
            <w:tcW w:w="1276" w:type="dxa"/>
            <w:vAlign w:val="center"/>
          </w:tcPr>
          <w:p>
            <w:pPr>
              <w:spacing w:line="240" w:lineRule="exact"/>
              <w:jc w:val="center"/>
              <w:rPr>
                <w:sz w:val="18"/>
                <w:szCs w:val="18"/>
              </w:rPr>
            </w:pPr>
            <w:r>
              <w:rPr>
                <w:sz w:val="18"/>
                <w:szCs w:val="18"/>
              </w:rPr>
              <w:t>0.3</w:t>
            </w:r>
            <w:r>
              <w:rPr>
                <w:rFonts w:hint="eastAsia"/>
                <w:sz w:val="18"/>
                <w:szCs w:val="18"/>
              </w:rPr>
              <w:t>7</w:t>
            </w:r>
            <w:r>
              <w:rPr>
                <w:sz w:val="18"/>
                <w:szCs w:val="18"/>
              </w:rPr>
              <w:t>～0.4</w:t>
            </w:r>
            <w:r>
              <w:rPr>
                <w:rFonts w:hint="eastAsia"/>
                <w:sz w:val="18"/>
                <w:szCs w:val="18"/>
              </w:rPr>
              <w:t>5</w:t>
            </w:r>
          </w:p>
        </w:tc>
        <w:tc>
          <w:tcPr>
            <w:tcW w:w="1099" w:type="dxa"/>
            <w:vAlign w:val="center"/>
          </w:tcPr>
          <w:p>
            <w:pPr>
              <w:spacing w:line="240" w:lineRule="exact"/>
              <w:jc w:val="center"/>
              <w:rPr>
                <w:sz w:val="18"/>
                <w:szCs w:val="18"/>
              </w:rPr>
            </w:pPr>
            <w:r>
              <w:rPr>
                <w:sz w:val="18"/>
                <w:szCs w:val="18"/>
              </w:rPr>
              <w:t>0.</w:t>
            </w:r>
            <w:r>
              <w:rPr>
                <w:rFonts w:hint="eastAsia"/>
                <w:sz w:val="18"/>
                <w:szCs w:val="18"/>
              </w:rPr>
              <w:t>238</w:t>
            </w:r>
            <w:r>
              <w:rPr>
                <w:sz w:val="18"/>
                <w:szCs w:val="18"/>
              </w:rPr>
              <w:t>～0.</w:t>
            </w:r>
            <w:r>
              <w:rPr>
                <w:rFonts w:hint="eastAsia"/>
                <w:sz w:val="18"/>
                <w:szCs w:val="18"/>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最大超标</w:t>
            </w:r>
          </w:p>
          <w:p>
            <w:pPr>
              <w:adjustRightInd w:val="0"/>
              <w:snapToGrid w:val="0"/>
              <w:spacing w:line="240" w:lineRule="exact"/>
              <w:jc w:val="center"/>
              <w:rPr>
                <w:sz w:val="18"/>
                <w:szCs w:val="18"/>
              </w:rPr>
            </w:pPr>
            <w:r>
              <w:rPr>
                <w:sz w:val="18"/>
                <w:szCs w:val="18"/>
              </w:rPr>
              <w:t>倍数</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w:t>
            </w:r>
          </w:p>
        </w:tc>
        <w:tc>
          <w:tcPr>
            <w:tcW w:w="994" w:type="dxa"/>
            <w:vAlign w:val="center"/>
          </w:tcPr>
          <w:p>
            <w:pPr>
              <w:adjustRightInd w:val="0"/>
              <w:snapToGrid w:val="0"/>
              <w:spacing w:line="240" w:lineRule="exact"/>
              <w:jc w:val="center"/>
              <w:rPr>
                <w:sz w:val="18"/>
                <w:szCs w:val="18"/>
              </w:rPr>
            </w:pPr>
            <w:r>
              <w:rPr>
                <w:sz w:val="18"/>
                <w:szCs w:val="18"/>
              </w:rPr>
              <w:t>—</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w:t>
            </w:r>
          </w:p>
        </w:tc>
        <w:tc>
          <w:tcPr>
            <w:tcW w:w="1079" w:type="dxa"/>
            <w:vAlign w:val="center"/>
          </w:tcPr>
          <w:p>
            <w:pPr>
              <w:adjustRightInd w:val="0"/>
              <w:snapToGrid w:val="0"/>
              <w:spacing w:line="240" w:lineRule="exact"/>
              <w:jc w:val="center"/>
              <w:rPr>
                <w:sz w:val="18"/>
                <w:szCs w:val="18"/>
              </w:rPr>
            </w:pPr>
            <w:r>
              <w:rPr>
                <w:sz w:val="18"/>
                <w:szCs w:val="18"/>
              </w:rPr>
              <w:t>—</w:t>
            </w:r>
          </w:p>
        </w:tc>
        <w:tc>
          <w:tcPr>
            <w:tcW w:w="1231" w:type="dxa"/>
            <w:vAlign w:val="center"/>
          </w:tcPr>
          <w:p>
            <w:pPr>
              <w:adjustRightInd w:val="0"/>
              <w:snapToGrid w:val="0"/>
              <w:spacing w:line="240" w:lineRule="exact"/>
              <w:jc w:val="center"/>
              <w:rPr>
                <w:sz w:val="18"/>
                <w:szCs w:val="18"/>
              </w:rPr>
            </w:pPr>
            <w:r>
              <w:rPr>
                <w:sz w:val="18"/>
                <w:szCs w:val="18"/>
              </w:rPr>
              <w:t>—</w:t>
            </w:r>
          </w:p>
        </w:tc>
        <w:tc>
          <w:tcPr>
            <w:tcW w:w="865" w:type="dxa"/>
            <w:vAlign w:val="center"/>
          </w:tcPr>
          <w:p>
            <w:pPr>
              <w:adjustRightInd w:val="0"/>
              <w:snapToGrid w:val="0"/>
              <w:spacing w:line="240" w:lineRule="exact"/>
              <w:jc w:val="center"/>
              <w:rPr>
                <w:sz w:val="18"/>
                <w:szCs w:val="18"/>
              </w:rPr>
            </w:pPr>
            <w:r>
              <w:rPr>
                <w:sz w:val="18"/>
                <w:szCs w:val="18"/>
              </w:rPr>
              <w:t>—</w:t>
            </w:r>
          </w:p>
        </w:tc>
        <w:tc>
          <w:tcPr>
            <w:tcW w:w="1276" w:type="dxa"/>
            <w:vAlign w:val="center"/>
          </w:tcPr>
          <w:p>
            <w:pPr>
              <w:adjustRightInd w:val="0"/>
              <w:snapToGrid w:val="0"/>
              <w:spacing w:line="240" w:lineRule="exact"/>
              <w:jc w:val="center"/>
              <w:rPr>
                <w:sz w:val="18"/>
                <w:szCs w:val="18"/>
              </w:rPr>
            </w:pPr>
            <w:r>
              <w:rPr>
                <w:sz w:val="18"/>
                <w:szCs w:val="18"/>
              </w:rPr>
              <w:t>—</w:t>
            </w:r>
          </w:p>
        </w:tc>
        <w:tc>
          <w:tcPr>
            <w:tcW w:w="1099" w:type="dxa"/>
            <w:vAlign w:val="center"/>
          </w:tcPr>
          <w:p>
            <w:pPr>
              <w:adjustRightInd w:val="0"/>
              <w:snapToGrid w:val="0"/>
              <w:spacing w:line="240" w:lineRule="exact"/>
              <w:ind w:left="-21" w:leftChars="-10"/>
              <w:jc w:val="center"/>
              <w:rPr>
                <w:sz w:val="18"/>
                <w:szCs w:val="18"/>
              </w:rPr>
            </w:pPr>
            <w:r>
              <w:rPr>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Mar>
              <w:left w:w="28" w:type="dxa"/>
              <w:right w:w="28" w:type="dxa"/>
            </w:tcMar>
            <w:vAlign w:val="center"/>
          </w:tcPr>
          <w:p>
            <w:pPr>
              <w:adjustRightInd w:val="0"/>
              <w:snapToGrid w:val="0"/>
              <w:spacing w:line="240" w:lineRule="exact"/>
              <w:jc w:val="center"/>
              <w:rPr>
                <w:sz w:val="18"/>
                <w:szCs w:val="18"/>
              </w:rPr>
            </w:pPr>
          </w:p>
        </w:tc>
        <w:tc>
          <w:tcPr>
            <w:tcW w:w="857" w:type="dxa"/>
            <w:tcMar>
              <w:left w:w="28" w:type="dxa"/>
              <w:right w:w="28" w:type="dxa"/>
            </w:tcMar>
            <w:vAlign w:val="center"/>
          </w:tcPr>
          <w:p>
            <w:pPr>
              <w:adjustRightInd w:val="0"/>
              <w:snapToGrid w:val="0"/>
              <w:spacing w:line="240" w:lineRule="exact"/>
              <w:jc w:val="center"/>
              <w:rPr>
                <w:sz w:val="18"/>
                <w:szCs w:val="18"/>
              </w:rPr>
            </w:pPr>
            <w:r>
              <w:rPr>
                <w:sz w:val="18"/>
                <w:szCs w:val="18"/>
              </w:rPr>
              <w:t>超标率</w:t>
            </w:r>
          </w:p>
        </w:tc>
        <w:tc>
          <w:tcPr>
            <w:tcW w:w="568" w:type="dxa"/>
            <w:tcMar>
              <w:left w:w="28" w:type="dxa"/>
              <w:right w:w="28" w:type="dxa"/>
            </w:tcMar>
            <w:vAlign w:val="center"/>
          </w:tcPr>
          <w:p>
            <w:pPr>
              <w:adjustRightInd w:val="0"/>
              <w:snapToGrid w:val="0"/>
              <w:spacing w:line="240" w:lineRule="exact"/>
              <w:jc w:val="center"/>
              <w:rPr>
                <w:sz w:val="18"/>
                <w:szCs w:val="18"/>
              </w:rPr>
            </w:pPr>
            <w:r>
              <w:rPr>
                <w:sz w:val="18"/>
                <w:szCs w:val="18"/>
              </w:rPr>
              <w:t>0</w:t>
            </w:r>
          </w:p>
        </w:tc>
        <w:tc>
          <w:tcPr>
            <w:tcW w:w="994" w:type="dxa"/>
            <w:vAlign w:val="center"/>
          </w:tcPr>
          <w:p>
            <w:pPr>
              <w:adjustRightInd w:val="0"/>
              <w:snapToGrid w:val="0"/>
              <w:spacing w:line="240" w:lineRule="exact"/>
              <w:jc w:val="center"/>
              <w:rPr>
                <w:sz w:val="18"/>
                <w:szCs w:val="18"/>
              </w:rPr>
            </w:pPr>
            <w:r>
              <w:rPr>
                <w:sz w:val="18"/>
                <w:szCs w:val="18"/>
              </w:rPr>
              <w:t>0</w:t>
            </w:r>
          </w:p>
        </w:tc>
        <w:tc>
          <w:tcPr>
            <w:tcW w:w="965" w:type="dxa"/>
            <w:vAlign w:val="center"/>
          </w:tcPr>
          <w:p>
            <w:pPr>
              <w:adjustRightInd w:val="0"/>
              <w:snapToGrid w:val="0"/>
              <w:spacing w:line="240" w:lineRule="exact"/>
              <w:ind w:left="-111" w:leftChars="-53" w:right="-94" w:rightChars="-45"/>
              <w:jc w:val="center"/>
              <w:rPr>
                <w:sz w:val="18"/>
                <w:szCs w:val="18"/>
              </w:rPr>
            </w:pPr>
            <w:r>
              <w:rPr>
                <w:sz w:val="18"/>
                <w:szCs w:val="18"/>
              </w:rPr>
              <w:t>0</w:t>
            </w:r>
          </w:p>
        </w:tc>
        <w:tc>
          <w:tcPr>
            <w:tcW w:w="1079" w:type="dxa"/>
            <w:vAlign w:val="center"/>
          </w:tcPr>
          <w:p>
            <w:pPr>
              <w:adjustRightInd w:val="0"/>
              <w:snapToGrid w:val="0"/>
              <w:spacing w:line="240" w:lineRule="exact"/>
              <w:jc w:val="center"/>
              <w:rPr>
                <w:sz w:val="18"/>
                <w:szCs w:val="18"/>
              </w:rPr>
            </w:pPr>
            <w:r>
              <w:rPr>
                <w:sz w:val="18"/>
                <w:szCs w:val="18"/>
              </w:rPr>
              <w:t>0</w:t>
            </w:r>
          </w:p>
        </w:tc>
        <w:tc>
          <w:tcPr>
            <w:tcW w:w="1231" w:type="dxa"/>
            <w:vAlign w:val="center"/>
          </w:tcPr>
          <w:p>
            <w:pPr>
              <w:adjustRightInd w:val="0"/>
              <w:snapToGrid w:val="0"/>
              <w:spacing w:line="240" w:lineRule="exact"/>
              <w:jc w:val="center"/>
              <w:rPr>
                <w:sz w:val="18"/>
                <w:szCs w:val="18"/>
              </w:rPr>
            </w:pPr>
            <w:r>
              <w:rPr>
                <w:sz w:val="18"/>
                <w:szCs w:val="18"/>
              </w:rPr>
              <w:t>0</w:t>
            </w:r>
          </w:p>
        </w:tc>
        <w:tc>
          <w:tcPr>
            <w:tcW w:w="865" w:type="dxa"/>
            <w:vAlign w:val="center"/>
          </w:tcPr>
          <w:p>
            <w:pPr>
              <w:adjustRightInd w:val="0"/>
              <w:snapToGrid w:val="0"/>
              <w:spacing w:line="240" w:lineRule="exact"/>
              <w:jc w:val="center"/>
              <w:rPr>
                <w:sz w:val="18"/>
                <w:szCs w:val="18"/>
              </w:rPr>
            </w:pPr>
            <w:r>
              <w:rPr>
                <w:sz w:val="18"/>
                <w:szCs w:val="18"/>
              </w:rPr>
              <w:t>0</w:t>
            </w:r>
          </w:p>
        </w:tc>
        <w:tc>
          <w:tcPr>
            <w:tcW w:w="1276" w:type="dxa"/>
            <w:vAlign w:val="center"/>
          </w:tcPr>
          <w:p>
            <w:pPr>
              <w:adjustRightInd w:val="0"/>
              <w:snapToGrid w:val="0"/>
              <w:spacing w:line="240" w:lineRule="exact"/>
              <w:jc w:val="center"/>
              <w:rPr>
                <w:sz w:val="18"/>
                <w:szCs w:val="18"/>
              </w:rPr>
            </w:pPr>
            <w:r>
              <w:rPr>
                <w:sz w:val="18"/>
                <w:szCs w:val="18"/>
              </w:rPr>
              <w:t>0</w:t>
            </w:r>
          </w:p>
        </w:tc>
        <w:tc>
          <w:tcPr>
            <w:tcW w:w="1099" w:type="dxa"/>
            <w:vAlign w:val="center"/>
          </w:tcPr>
          <w:p>
            <w:pPr>
              <w:adjustRightInd w:val="0"/>
              <w:snapToGrid w:val="0"/>
              <w:spacing w:line="240" w:lineRule="exact"/>
              <w:ind w:left="-21" w:leftChars="-10"/>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restart"/>
            <w:tcBorders>
              <w:top w:val="single" w:color="auto" w:sz="4" w:space="0"/>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rFonts w:hint="eastAsia"/>
                <w:sz w:val="18"/>
                <w:szCs w:val="18"/>
              </w:rPr>
              <w:t>4#</w:t>
            </w: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监测结果</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7.</w:t>
            </w:r>
            <w:r>
              <w:rPr>
                <w:rFonts w:hint="eastAsia"/>
                <w:sz w:val="18"/>
                <w:szCs w:val="18"/>
              </w:rPr>
              <w:t>21</w:t>
            </w:r>
            <w:r>
              <w:rPr>
                <w:sz w:val="18"/>
                <w:szCs w:val="18"/>
              </w:rPr>
              <w:t>～7.</w:t>
            </w:r>
            <w:r>
              <w:rPr>
                <w:rFonts w:hint="eastAsia"/>
                <w:sz w:val="18"/>
                <w:szCs w:val="18"/>
              </w:rPr>
              <w:t>28</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5</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rFonts w:hint="eastAsia"/>
                <w:sz w:val="18"/>
                <w:szCs w:val="18"/>
              </w:rPr>
              <w:t>9</w:t>
            </w:r>
            <w:r>
              <w:rPr>
                <w:sz w:val="18"/>
                <w:szCs w:val="18"/>
              </w:rPr>
              <w:t>～1</w:t>
            </w:r>
            <w:r>
              <w:rPr>
                <w:rFonts w:hint="eastAsia"/>
                <w:sz w:val="18"/>
                <w:szCs w:val="18"/>
              </w:rPr>
              <w:t>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1.</w:t>
            </w:r>
            <w:r>
              <w:rPr>
                <w:rFonts w:hint="eastAsia"/>
                <w:sz w:val="18"/>
                <w:szCs w:val="18"/>
              </w:rPr>
              <w:t>2</w:t>
            </w:r>
            <w:r>
              <w:rPr>
                <w:sz w:val="18"/>
                <w:szCs w:val="18"/>
              </w:rPr>
              <w:t>～</w:t>
            </w:r>
            <w:r>
              <w:rPr>
                <w:rFonts w:hint="eastAsia"/>
                <w:sz w:val="18"/>
                <w:szCs w:val="18"/>
              </w:rPr>
              <w:t>2.0</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r>
              <w:rPr>
                <w:rFonts w:hint="eastAsia"/>
                <w:sz w:val="18"/>
                <w:szCs w:val="18"/>
              </w:rPr>
              <w:t>394</w:t>
            </w:r>
            <w:r>
              <w:rPr>
                <w:sz w:val="18"/>
                <w:szCs w:val="18"/>
              </w:rPr>
              <w:t>～0.</w:t>
            </w:r>
            <w:r>
              <w:rPr>
                <w:rFonts w:hint="eastAsia"/>
                <w:sz w:val="18"/>
                <w:szCs w:val="18"/>
              </w:rPr>
              <w:t>430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未检出</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2.</w:t>
            </w:r>
            <w:r>
              <w:rPr>
                <w:rFonts w:hint="eastAsia"/>
                <w:sz w:val="18"/>
                <w:szCs w:val="18"/>
              </w:rPr>
              <w:t>0</w:t>
            </w:r>
            <w:r>
              <w:rPr>
                <w:sz w:val="18"/>
                <w:szCs w:val="18"/>
              </w:rPr>
              <w:t>～2</w:t>
            </w:r>
            <w:r>
              <w:rPr>
                <w:rFonts w:hint="eastAsia"/>
                <w:sz w:val="18"/>
                <w:szCs w:val="18"/>
              </w:rPr>
              <w:t>.2</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rFonts w:hint="eastAsia"/>
                <w:sz w:val="18"/>
                <w:szCs w:val="18"/>
              </w:rPr>
              <w:t>8.61</w:t>
            </w:r>
            <w:r>
              <w:rPr>
                <w:sz w:val="18"/>
                <w:szCs w:val="18"/>
              </w:rPr>
              <w:t>～</w:t>
            </w:r>
            <w:r>
              <w:rPr>
                <w:rFonts w:hint="eastAsia"/>
                <w:sz w:val="18"/>
                <w:szCs w:val="18"/>
              </w:rPr>
              <w:t>8.65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评价标准</w:t>
            </w:r>
          </w:p>
          <w:p>
            <w:pPr>
              <w:adjustRightInd w:val="0"/>
              <w:snapToGrid w:val="0"/>
              <w:spacing w:line="240" w:lineRule="exact"/>
              <w:jc w:val="center"/>
              <w:rPr>
                <w:sz w:val="18"/>
                <w:szCs w:val="18"/>
              </w:rPr>
            </w:pPr>
            <w:r>
              <w:rPr>
                <w:sz w:val="18"/>
                <w:szCs w:val="18"/>
              </w:rPr>
              <w:t>（</w:t>
            </w:r>
            <w:r>
              <w:rPr>
                <w:rFonts w:hint="eastAsia"/>
                <w:sz w:val="18"/>
                <w:szCs w:val="18"/>
              </w:rPr>
              <w:t>Ⅲ</w:t>
            </w:r>
            <w:r>
              <w:rPr>
                <w:sz w:val="18"/>
                <w:szCs w:val="18"/>
              </w:rPr>
              <w:t>类）</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6～9</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30</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≤20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≤4</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≤1.0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≤0.05</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≤6</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Pi</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0.</w:t>
            </w:r>
            <w:r>
              <w:rPr>
                <w:rFonts w:hint="eastAsia"/>
                <w:sz w:val="18"/>
                <w:szCs w:val="18"/>
              </w:rPr>
              <w:t>11</w:t>
            </w:r>
            <w:r>
              <w:rPr>
                <w:sz w:val="18"/>
                <w:szCs w:val="18"/>
              </w:rPr>
              <w:t>～0.</w:t>
            </w:r>
            <w:r>
              <w:rPr>
                <w:rFonts w:hint="eastAsia"/>
                <w:sz w:val="18"/>
                <w:szCs w:val="18"/>
              </w:rPr>
              <w:t>1</w:t>
            </w:r>
            <w:r>
              <w:rPr>
                <w:sz w:val="18"/>
                <w:szCs w:val="18"/>
              </w:rPr>
              <w:t>4</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0.17</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0.</w:t>
            </w:r>
            <w:r>
              <w:rPr>
                <w:rFonts w:hint="eastAsia"/>
                <w:sz w:val="18"/>
                <w:szCs w:val="18"/>
              </w:rPr>
              <w:t>45</w:t>
            </w:r>
            <w:r>
              <w:rPr>
                <w:sz w:val="18"/>
                <w:szCs w:val="18"/>
              </w:rPr>
              <w:t>～0</w:t>
            </w:r>
            <w:r>
              <w:rPr>
                <w:rFonts w:hint="eastAsia"/>
                <w:sz w:val="18"/>
                <w:szCs w:val="18"/>
              </w:rPr>
              <w:t>.50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r>
              <w:rPr>
                <w:rFonts w:hint="eastAsia"/>
                <w:sz w:val="18"/>
                <w:szCs w:val="18"/>
              </w:rPr>
              <w:t>30</w:t>
            </w:r>
            <w:r>
              <w:rPr>
                <w:sz w:val="18"/>
                <w:szCs w:val="18"/>
              </w:rPr>
              <w:t>～0.</w:t>
            </w:r>
            <w:r>
              <w:rPr>
                <w:rFonts w:hint="eastAsia"/>
                <w:sz w:val="18"/>
                <w:szCs w:val="18"/>
              </w:rPr>
              <w:t>50</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r>
              <w:rPr>
                <w:rFonts w:hint="eastAsia"/>
                <w:sz w:val="18"/>
                <w:szCs w:val="18"/>
              </w:rPr>
              <w:t>394</w:t>
            </w:r>
            <w:r>
              <w:rPr>
                <w:sz w:val="18"/>
                <w:szCs w:val="18"/>
              </w:rPr>
              <w:t>～0.</w:t>
            </w:r>
            <w:r>
              <w:rPr>
                <w:rFonts w:hint="eastAsia"/>
                <w:sz w:val="18"/>
                <w:szCs w:val="18"/>
              </w:rPr>
              <w:t>430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0.2</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0.3</w:t>
            </w:r>
            <w:r>
              <w:rPr>
                <w:rFonts w:hint="eastAsia"/>
                <w:sz w:val="18"/>
                <w:szCs w:val="18"/>
              </w:rPr>
              <w:t>3</w:t>
            </w:r>
            <w:r>
              <w:rPr>
                <w:sz w:val="18"/>
                <w:szCs w:val="18"/>
              </w:rPr>
              <w:t>～0.</w:t>
            </w:r>
            <w:r>
              <w:rPr>
                <w:rFonts w:hint="eastAsia"/>
                <w:sz w:val="18"/>
                <w:szCs w:val="18"/>
              </w:rPr>
              <w:t>37</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0.</w:t>
            </w:r>
            <w:r>
              <w:rPr>
                <w:rFonts w:hint="eastAsia"/>
                <w:sz w:val="18"/>
                <w:szCs w:val="18"/>
              </w:rPr>
              <w:t>177</w:t>
            </w:r>
            <w:r>
              <w:rPr>
                <w:sz w:val="18"/>
                <w:szCs w:val="18"/>
              </w:rPr>
              <w:t>～0.</w:t>
            </w:r>
            <w:r>
              <w:rPr>
                <w:rFonts w:hint="eastAsia"/>
                <w:sz w:val="18"/>
                <w:szCs w:val="18"/>
              </w:rPr>
              <w:t>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最大超标</w:t>
            </w:r>
          </w:p>
          <w:p>
            <w:pPr>
              <w:adjustRightInd w:val="0"/>
              <w:snapToGrid w:val="0"/>
              <w:spacing w:line="240" w:lineRule="exact"/>
              <w:jc w:val="center"/>
              <w:rPr>
                <w:sz w:val="18"/>
                <w:szCs w:val="18"/>
              </w:rPr>
            </w:pPr>
            <w:r>
              <w:rPr>
                <w:sz w:val="18"/>
                <w:szCs w:val="18"/>
              </w:rPr>
              <w:t>倍数</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超标率</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0</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restart"/>
            <w:tcBorders>
              <w:top w:val="single" w:color="auto" w:sz="4" w:space="0"/>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rFonts w:hint="eastAsia"/>
                <w:sz w:val="18"/>
                <w:szCs w:val="18"/>
              </w:rPr>
              <w:t>5#</w:t>
            </w: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监测结果</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7.</w:t>
            </w:r>
            <w:r>
              <w:rPr>
                <w:rFonts w:hint="eastAsia"/>
                <w:sz w:val="18"/>
                <w:szCs w:val="18"/>
              </w:rPr>
              <w:t>14</w:t>
            </w:r>
            <w:r>
              <w:rPr>
                <w:sz w:val="18"/>
                <w:szCs w:val="18"/>
              </w:rPr>
              <w:t>～7.</w:t>
            </w:r>
            <w:r>
              <w:rPr>
                <w:rFonts w:hint="eastAsia"/>
                <w:sz w:val="18"/>
                <w:szCs w:val="18"/>
              </w:rPr>
              <w:t>17</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6</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rFonts w:hint="eastAsia"/>
                <w:sz w:val="18"/>
                <w:szCs w:val="18"/>
              </w:rPr>
              <w:t>7</w:t>
            </w:r>
            <w:r>
              <w:rPr>
                <w:sz w:val="18"/>
                <w:szCs w:val="18"/>
              </w:rPr>
              <w:t>～1</w:t>
            </w:r>
            <w:r>
              <w:rPr>
                <w:rFonts w:hint="eastAsia"/>
                <w:sz w:val="18"/>
                <w:szCs w:val="18"/>
              </w:rPr>
              <w:t>1</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2.6</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r>
              <w:rPr>
                <w:rFonts w:hint="eastAsia"/>
                <w:sz w:val="18"/>
                <w:szCs w:val="18"/>
              </w:rPr>
              <w:t>210</w:t>
            </w:r>
            <w:r>
              <w:rPr>
                <w:sz w:val="18"/>
                <w:szCs w:val="18"/>
              </w:rPr>
              <w:t>～0.</w:t>
            </w:r>
            <w:r>
              <w:rPr>
                <w:rFonts w:hint="eastAsia"/>
                <w:sz w:val="18"/>
                <w:szCs w:val="18"/>
              </w:rPr>
              <w:t>272</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未检出</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2.2</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rFonts w:hint="eastAsia"/>
                <w:sz w:val="18"/>
                <w:szCs w:val="18"/>
              </w:rPr>
              <w:t>8.46</w:t>
            </w:r>
            <w:r>
              <w:rPr>
                <w:sz w:val="18"/>
                <w:szCs w:val="18"/>
              </w:rPr>
              <w:t>～</w:t>
            </w:r>
            <w:r>
              <w:rPr>
                <w:rFonts w:hint="eastAsia"/>
                <w:sz w:val="18"/>
                <w:szCs w:val="18"/>
              </w:rPr>
              <w:t>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评价标准</w:t>
            </w:r>
          </w:p>
          <w:p>
            <w:pPr>
              <w:adjustRightInd w:val="0"/>
              <w:snapToGrid w:val="0"/>
              <w:spacing w:line="240" w:lineRule="exact"/>
              <w:jc w:val="center"/>
              <w:rPr>
                <w:sz w:val="18"/>
                <w:szCs w:val="18"/>
              </w:rPr>
            </w:pPr>
            <w:r>
              <w:rPr>
                <w:sz w:val="18"/>
                <w:szCs w:val="18"/>
              </w:rPr>
              <w:t>（</w:t>
            </w:r>
            <w:r>
              <w:rPr>
                <w:rFonts w:hint="eastAsia"/>
                <w:sz w:val="18"/>
                <w:szCs w:val="18"/>
              </w:rPr>
              <w:t>Ⅲ</w:t>
            </w:r>
            <w:r>
              <w:rPr>
                <w:sz w:val="18"/>
                <w:szCs w:val="18"/>
              </w:rPr>
              <w:t>类）</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6～9</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30</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≤20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≤4</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≤1.0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≤0.05</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≤6</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Pi</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0.</w:t>
            </w:r>
            <w:r>
              <w:rPr>
                <w:rFonts w:hint="eastAsia"/>
                <w:sz w:val="18"/>
                <w:szCs w:val="18"/>
              </w:rPr>
              <w:t>07</w:t>
            </w:r>
            <w:r>
              <w:rPr>
                <w:sz w:val="18"/>
                <w:szCs w:val="18"/>
              </w:rPr>
              <w:t>～0.</w:t>
            </w:r>
            <w:r>
              <w:rPr>
                <w:rFonts w:hint="eastAsia"/>
                <w:sz w:val="18"/>
                <w:szCs w:val="18"/>
              </w:rPr>
              <w:t>09</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0.20</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0.</w:t>
            </w:r>
            <w:r>
              <w:rPr>
                <w:rFonts w:hint="eastAsia"/>
                <w:sz w:val="18"/>
                <w:szCs w:val="18"/>
              </w:rPr>
              <w:t>3</w:t>
            </w:r>
            <w:r>
              <w:rPr>
                <w:sz w:val="18"/>
                <w:szCs w:val="18"/>
              </w:rPr>
              <w:t>5～0.</w:t>
            </w:r>
            <w:r>
              <w:rPr>
                <w:rFonts w:hint="eastAsia"/>
                <w:sz w:val="18"/>
                <w:szCs w:val="18"/>
              </w:rPr>
              <w:t>55</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rFonts w:hint="eastAsia"/>
                <w:sz w:val="18"/>
                <w:szCs w:val="18"/>
              </w:rPr>
              <w:t>0.65</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r>
              <w:rPr>
                <w:rFonts w:hint="eastAsia"/>
                <w:sz w:val="18"/>
                <w:szCs w:val="18"/>
              </w:rPr>
              <w:t>210</w:t>
            </w:r>
            <w:r>
              <w:rPr>
                <w:sz w:val="18"/>
                <w:szCs w:val="18"/>
              </w:rPr>
              <w:t>～0.</w:t>
            </w:r>
            <w:r>
              <w:rPr>
                <w:rFonts w:hint="eastAsia"/>
                <w:sz w:val="18"/>
                <w:szCs w:val="18"/>
              </w:rPr>
              <w:t>272</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0.2</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0.3</w:t>
            </w:r>
            <w:r>
              <w:rPr>
                <w:rFonts w:hint="eastAsia"/>
                <w:sz w:val="18"/>
                <w:szCs w:val="18"/>
              </w:rPr>
              <w:t>7</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0.</w:t>
            </w:r>
            <w:r>
              <w:rPr>
                <w:rFonts w:hint="eastAsia"/>
                <w:sz w:val="18"/>
                <w:szCs w:val="18"/>
              </w:rPr>
              <w:t>213</w:t>
            </w:r>
            <w:r>
              <w:rPr>
                <w:sz w:val="18"/>
                <w:szCs w:val="18"/>
              </w:rPr>
              <w:t>～0.</w:t>
            </w:r>
            <w:r>
              <w:rPr>
                <w:rFonts w:hint="eastAsia"/>
                <w:sz w:val="18"/>
                <w:szCs w:val="18"/>
              </w:rPr>
              <w:t>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最大超标</w:t>
            </w:r>
          </w:p>
          <w:p>
            <w:pPr>
              <w:adjustRightInd w:val="0"/>
              <w:snapToGrid w:val="0"/>
              <w:spacing w:line="240" w:lineRule="exact"/>
              <w:jc w:val="center"/>
              <w:rPr>
                <w:sz w:val="18"/>
                <w:szCs w:val="18"/>
              </w:rPr>
            </w:pPr>
            <w:r>
              <w:rPr>
                <w:sz w:val="18"/>
                <w:szCs w:val="18"/>
              </w:rPr>
              <w:t>倍数</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20" w:hRule="atLeast"/>
          <w:jc w:val="center"/>
        </w:trPr>
        <w:tc>
          <w:tcPr>
            <w:tcW w:w="366" w:type="dxa"/>
            <w:vMerge w:val="continue"/>
            <w:tcBorders>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p>
        </w:tc>
        <w:tc>
          <w:tcPr>
            <w:tcW w:w="857"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超标率</w:t>
            </w:r>
          </w:p>
        </w:tc>
        <w:tc>
          <w:tcPr>
            <w:tcW w:w="568"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adjustRightInd w:val="0"/>
              <w:snapToGrid w:val="0"/>
              <w:spacing w:line="240" w:lineRule="exact"/>
              <w:jc w:val="center"/>
              <w:rPr>
                <w:sz w:val="18"/>
                <w:szCs w:val="18"/>
              </w:rPr>
            </w:pPr>
            <w:r>
              <w:rPr>
                <w:sz w:val="18"/>
                <w:szCs w:val="18"/>
              </w:rPr>
              <w:t>0</w:t>
            </w:r>
          </w:p>
        </w:tc>
        <w:tc>
          <w:tcPr>
            <w:tcW w:w="99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9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111" w:leftChars="-53" w:right="-94" w:rightChars="-45"/>
              <w:jc w:val="center"/>
              <w:rPr>
                <w:sz w:val="18"/>
                <w:szCs w:val="18"/>
              </w:rPr>
            </w:pPr>
            <w:r>
              <w:rPr>
                <w:sz w:val="18"/>
                <w:szCs w:val="18"/>
              </w:rPr>
              <w:t>0</w:t>
            </w:r>
          </w:p>
        </w:tc>
        <w:tc>
          <w:tcPr>
            <w:tcW w:w="107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2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8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jc w:val="center"/>
              <w:rPr>
                <w:sz w:val="18"/>
                <w:szCs w:val="18"/>
              </w:rPr>
            </w:pPr>
            <w:r>
              <w:rPr>
                <w:sz w:val="18"/>
                <w:szCs w:val="18"/>
              </w:rPr>
              <w:t>0</w:t>
            </w:r>
          </w:p>
        </w:tc>
        <w:tc>
          <w:tcPr>
            <w:tcW w:w="109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exact"/>
              <w:ind w:left="-21" w:leftChars="-10"/>
              <w:jc w:val="center"/>
              <w:rPr>
                <w:sz w:val="18"/>
                <w:szCs w:val="18"/>
              </w:rPr>
            </w:pPr>
            <w:r>
              <w:rPr>
                <w:sz w:val="18"/>
                <w:szCs w:val="18"/>
              </w:rPr>
              <w:t>0</w:t>
            </w:r>
          </w:p>
        </w:tc>
      </w:tr>
    </w:tbl>
    <w:p>
      <w:pPr>
        <w:widowControl/>
        <w:spacing w:line="360" w:lineRule="auto"/>
        <w:ind w:firstLine="566" w:firstLineChars="236"/>
        <w:jc w:val="left"/>
        <w:rPr>
          <w:sz w:val="24"/>
        </w:rPr>
      </w:pPr>
      <w:r>
        <w:rPr>
          <w:sz w:val="24"/>
        </w:rPr>
        <w:t>由表</w:t>
      </w:r>
      <w:r>
        <w:rPr>
          <w:rFonts w:hint="eastAsia"/>
          <w:sz w:val="24"/>
        </w:rPr>
        <w:t>4</w:t>
      </w:r>
      <w:r>
        <w:rPr>
          <w:sz w:val="24"/>
        </w:rPr>
        <w:t>.</w:t>
      </w:r>
      <w:r>
        <w:rPr>
          <w:rFonts w:hint="eastAsia"/>
          <w:sz w:val="24"/>
        </w:rPr>
        <w:t>3</w:t>
      </w:r>
      <w:r>
        <w:rPr>
          <w:sz w:val="24"/>
        </w:rPr>
        <w:t>-</w:t>
      </w:r>
      <w:r>
        <w:rPr>
          <w:rFonts w:hint="eastAsia"/>
          <w:sz w:val="24"/>
        </w:rPr>
        <w:t>4</w:t>
      </w:r>
      <w:r>
        <w:rPr>
          <w:sz w:val="24"/>
        </w:rPr>
        <w:t>可知，拟建项目江段三个监测断面，监测因子</w:t>
      </w:r>
      <w:r>
        <w:rPr>
          <w:rFonts w:hint="eastAsia"/>
          <w:sz w:val="24"/>
        </w:rPr>
        <w:t>：</w:t>
      </w:r>
      <w:r>
        <w:rPr>
          <w:sz w:val="24"/>
        </w:rPr>
        <w:t>pH值、SS、高锰酸盐指数、COD、DO、BOD</w:t>
      </w:r>
      <w:r>
        <w:rPr>
          <w:sz w:val="24"/>
          <w:vertAlign w:val="subscript"/>
        </w:rPr>
        <w:t>5</w:t>
      </w:r>
      <w:r>
        <w:rPr>
          <w:sz w:val="24"/>
        </w:rPr>
        <w:t>、石油类、氨氮的评价指数均小于1，表明</w:t>
      </w:r>
      <w:r>
        <w:rPr>
          <w:rFonts w:hint="eastAsia"/>
          <w:sz w:val="24"/>
        </w:rPr>
        <w:t>项目所在长江</w:t>
      </w:r>
      <w:r>
        <w:rPr>
          <w:sz w:val="24"/>
        </w:rPr>
        <w:t>段水质指标水质符合《地表水环境质量标准》（GB3838－2002）中的</w:t>
      </w:r>
      <w:r>
        <w:rPr>
          <w:rFonts w:hint="eastAsia"/>
          <w:sz w:val="24"/>
        </w:rPr>
        <w:t>Ⅲ</w:t>
      </w:r>
      <w:r>
        <w:rPr>
          <w:sz w:val="24"/>
        </w:rPr>
        <w:t>类标准要求。</w:t>
      </w:r>
    </w:p>
    <w:p>
      <w:pPr>
        <w:pStyle w:val="3"/>
        <w:tabs>
          <w:tab w:val="left" w:pos="426"/>
        </w:tabs>
        <w:ind w:left="0" w:firstLine="0"/>
      </w:pPr>
      <w:bookmarkStart w:id="129" w:name="_Toc442195704"/>
      <w:bookmarkStart w:id="130" w:name="_Toc428863986"/>
      <w:r>
        <w:rPr>
          <w:rFonts w:hint="eastAsia"/>
        </w:rPr>
        <w:t>生态环境现状</w:t>
      </w:r>
      <w:bookmarkEnd w:id="129"/>
      <w:bookmarkEnd w:id="130"/>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区域内现状土主要为农业用地，少部分为荒草地、水域及建设用地，目前正处于大规模的开发阶段，部分土地往日的现状已经在改变往，区域生态也正在由典型的农业生态向城市生态逐步转变。</w:t>
      </w:r>
    </w:p>
    <w:p>
      <w:pPr>
        <w:pStyle w:val="5"/>
        <w:tabs>
          <w:tab w:val="left" w:pos="567"/>
        </w:tabs>
        <w:spacing w:before="62" w:beforeLines="20" w:line="360" w:lineRule="auto"/>
        <w:ind w:left="0" w:firstLine="0"/>
        <w:rPr>
          <w:rFonts w:ascii="宋体" w:hAnsi="宋体" w:eastAsia="宋体"/>
          <w:b/>
          <w:sz w:val="28"/>
          <w:szCs w:val="28"/>
        </w:rPr>
      </w:pPr>
      <w:bookmarkStart w:id="131" w:name="_Toc442195705"/>
      <w:r>
        <w:rPr>
          <w:rFonts w:hint="eastAsia" w:ascii="宋体" w:hAnsi="宋体" w:eastAsia="宋体"/>
          <w:b/>
          <w:sz w:val="28"/>
          <w:szCs w:val="28"/>
        </w:rPr>
        <w:t>陆生生态</w:t>
      </w:r>
      <w:bookmarkEnd w:id="131"/>
    </w:p>
    <w:p>
      <w:pPr>
        <w:pStyle w:val="6"/>
        <w:tabs>
          <w:tab w:val="left" w:pos="1006"/>
          <w:tab w:val="clear" w:pos="1044"/>
        </w:tabs>
        <w:ind w:left="0" w:firstLine="0"/>
      </w:pPr>
      <w:r>
        <w:rPr>
          <w:rFonts w:hint="eastAsia"/>
        </w:rPr>
        <w:t>植物区系</w:t>
      </w:r>
    </w:p>
    <w:p>
      <w:pPr>
        <w:spacing w:line="360" w:lineRule="auto"/>
        <w:ind w:firstLine="480" w:firstLineChars="200"/>
        <w:rPr>
          <w:sz w:val="24"/>
        </w:rPr>
      </w:pPr>
      <w:r>
        <w:rPr>
          <w:sz w:val="24"/>
        </w:rPr>
        <w:t>项目评价区属于</w:t>
      </w:r>
      <w:r>
        <w:rPr>
          <w:rFonts w:hint="eastAsia"/>
          <w:sz w:val="24"/>
        </w:rPr>
        <w:t>北</w:t>
      </w:r>
      <w:r>
        <w:rPr>
          <w:sz w:val="24"/>
        </w:rPr>
        <w:t>亚热带常绿阔叶林区域—东部（湿润）常绿阔叶林区域—中亚热带常绿阔叶林地带—中亚热带常绿</w:t>
      </w:r>
      <w:r>
        <w:rPr>
          <w:rFonts w:hint="eastAsia"/>
          <w:sz w:val="24"/>
        </w:rPr>
        <w:t>、落叶</w:t>
      </w:r>
      <w:r>
        <w:rPr>
          <w:sz w:val="24"/>
        </w:rPr>
        <w:t>阔叶林</w:t>
      </w:r>
      <w:r>
        <w:rPr>
          <w:rFonts w:hint="eastAsia"/>
          <w:sz w:val="24"/>
        </w:rPr>
        <w:t>混交地带</w:t>
      </w:r>
      <w:r>
        <w:rPr>
          <w:sz w:val="24"/>
        </w:rPr>
        <w:t>，</w:t>
      </w:r>
      <w:r>
        <w:rPr>
          <w:rFonts w:hint="eastAsia"/>
          <w:sz w:val="24"/>
        </w:rPr>
        <w:t>水稻、柑橘</w:t>
      </w:r>
      <w:r>
        <w:rPr>
          <w:sz w:val="24"/>
        </w:rPr>
        <w:t>植被区。</w:t>
      </w:r>
    </w:p>
    <w:p>
      <w:pPr>
        <w:spacing w:line="360" w:lineRule="auto"/>
        <w:ind w:firstLine="480" w:firstLineChars="200"/>
        <w:rPr>
          <w:sz w:val="24"/>
        </w:rPr>
      </w:pPr>
      <w:r>
        <w:rPr>
          <w:rFonts w:hint="eastAsia"/>
          <w:sz w:val="24"/>
        </w:rPr>
        <w:t>评价范围内现状以农业植被为主，主要是柑橘和旱田农作物，另有少量人工种植乔木和和自然生灌木，同时在上述植被周围分布有常见的草本植物。</w:t>
      </w:r>
    </w:p>
    <w:p>
      <w:pPr>
        <w:spacing w:line="360" w:lineRule="auto"/>
        <w:ind w:firstLine="482" w:firstLineChars="200"/>
        <w:rPr>
          <w:b/>
          <w:sz w:val="24"/>
        </w:rPr>
      </w:pPr>
      <w:r>
        <w:rPr>
          <w:b/>
          <w:sz w:val="24"/>
        </w:rPr>
        <w:t>（1）</w:t>
      </w:r>
      <w:r>
        <w:rPr>
          <w:rFonts w:hint="eastAsia"/>
          <w:b/>
          <w:sz w:val="24"/>
        </w:rPr>
        <w:t>评价范围内</w:t>
      </w:r>
      <w:r>
        <w:rPr>
          <w:b/>
          <w:sz w:val="24"/>
        </w:rPr>
        <w:t>植被类型</w:t>
      </w:r>
    </w:p>
    <w:p>
      <w:pPr>
        <w:spacing w:line="360" w:lineRule="auto"/>
        <w:ind w:firstLine="480" w:firstLineChars="200"/>
        <w:jc w:val="left"/>
        <w:rPr>
          <w:sz w:val="24"/>
        </w:rPr>
      </w:pPr>
      <w:r>
        <w:rPr>
          <w:sz w:val="24"/>
        </w:rPr>
        <w:t>按照《中国植被》中自然植被的分类系统，划分出不同的植被类型。经过实地调查，根据区内现状植被中群落组成的建群与优势种的外貌，以及群落的环境生态与地理分布特征，植被共分为</w:t>
      </w:r>
      <w:r>
        <w:rPr>
          <w:rFonts w:hint="eastAsia"/>
          <w:sz w:val="24"/>
        </w:rPr>
        <w:t>2</w:t>
      </w:r>
      <w:r>
        <w:rPr>
          <w:sz w:val="24"/>
        </w:rPr>
        <w:t>级，</w:t>
      </w:r>
      <w:r>
        <w:rPr>
          <w:rFonts w:hint="eastAsia"/>
          <w:sz w:val="24"/>
        </w:rPr>
        <w:t>3</w:t>
      </w:r>
      <w:r>
        <w:rPr>
          <w:sz w:val="24"/>
        </w:rPr>
        <w:t>个植被型，</w:t>
      </w:r>
      <w:r>
        <w:rPr>
          <w:rFonts w:hint="eastAsia"/>
          <w:sz w:val="24"/>
        </w:rPr>
        <w:t>9</w:t>
      </w:r>
      <w:r>
        <w:rPr>
          <w:sz w:val="24"/>
        </w:rPr>
        <w:t>个群系等。具体分布情况见表</w:t>
      </w:r>
      <w:r>
        <w:rPr>
          <w:rFonts w:hint="eastAsia"/>
          <w:sz w:val="24"/>
        </w:rPr>
        <w:t>3.6</w:t>
      </w:r>
      <w:r>
        <w:rPr>
          <w:sz w:val="24"/>
        </w:rPr>
        <w:t>-1。</w:t>
      </w:r>
    </w:p>
    <w:p>
      <w:pPr>
        <w:pStyle w:val="4"/>
        <w:ind w:firstLine="422"/>
        <w:jc w:val="center"/>
        <w:rPr>
          <w:b/>
        </w:rPr>
      </w:pPr>
      <w:r>
        <w:rPr>
          <w:rFonts w:hint="eastAsia"/>
          <w:b/>
        </w:rPr>
        <w:t>表3.6-1  评价区植被类型</w:t>
      </w:r>
    </w:p>
    <w:tbl>
      <w:tblPr>
        <w:tblStyle w:val="104"/>
        <w:tblW w:w="9417" w:type="dxa"/>
        <w:jc w:val="center"/>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3"/>
        <w:gridCol w:w="1083"/>
        <w:gridCol w:w="1185"/>
        <w:gridCol w:w="1276"/>
        <w:gridCol w:w="3582"/>
        <w:gridCol w:w="1418"/>
      </w:tblGrid>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09" w:hRule="atLeast"/>
          <w:jc w:val="center"/>
        </w:trPr>
        <w:tc>
          <w:tcPr>
            <w:tcW w:w="873" w:type="dxa"/>
          </w:tcPr>
          <w:p>
            <w:pPr>
              <w:ind w:right="-69" w:rightChars="-33"/>
              <w:jc w:val="center"/>
              <w:rPr>
                <w:rFonts w:eastAsia="黑体"/>
                <w:bCs/>
                <w:szCs w:val="21"/>
              </w:rPr>
            </w:pPr>
          </w:p>
        </w:tc>
        <w:tc>
          <w:tcPr>
            <w:tcW w:w="1083" w:type="dxa"/>
            <w:vAlign w:val="center"/>
          </w:tcPr>
          <w:p>
            <w:pPr>
              <w:ind w:right="-69" w:rightChars="-33"/>
              <w:jc w:val="center"/>
              <w:rPr>
                <w:rFonts w:eastAsia="黑体"/>
                <w:bCs/>
                <w:szCs w:val="21"/>
              </w:rPr>
            </w:pPr>
            <w:r>
              <w:rPr>
                <w:rFonts w:hint="eastAsia" w:eastAsia="黑体"/>
                <w:bCs/>
                <w:szCs w:val="21"/>
              </w:rPr>
              <w:t>植被型组</w:t>
            </w:r>
          </w:p>
        </w:tc>
        <w:tc>
          <w:tcPr>
            <w:tcW w:w="1185" w:type="dxa"/>
            <w:vAlign w:val="center"/>
          </w:tcPr>
          <w:p>
            <w:pPr>
              <w:jc w:val="center"/>
              <w:rPr>
                <w:rFonts w:eastAsia="黑体"/>
                <w:bCs/>
                <w:szCs w:val="21"/>
              </w:rPr>
            </w:pPr>
            <w:r>
              <w:rPr>
                <w:rFonts w:eastAsia="黑体"/>
                <w:bCs/>
                <w:szCs w:val="21"/>
              </w:rPr>
              <w:t>植被型</w:t>
            </w:r>
          </w:p>
        </w:tc>
        <w:tc>
          <w:tcPr>
            <w:tcW w:w="4858" w:type="dxa"/>
            <w:gridSpan w:val="2"/>
            <w:vAlign w:val="center"/>
          </w:tcPr>
          <w:p>
            <w:pPr>
              <w:jc w:val="center"/>
              <w:rPr>
                <w:rFonts w:eastAsia="黑体"/>
                <w:bCs/>
                <w:szCs w:val="21"/>
              </w:rPr>
            </w:pPr>
            <w:bookmarkStart w:id="132" w:name="_Toc136095950"/>
            <w:bookmarkStart w:id="133" w:name="_Toc156225584"/>
            <w:bookmarkStart w:id="134" w:name="_Toc137437884"/>
            <w:bookmarkStart w:id="135" w:name="_Toc136941979"/>
            <w:bookmarkStart w:id="136" w:name="_Toc136772414"/>
            <w:bookmarkStart w:id="137" w:name="_Toc135925579"/>
            <w:bookmarkStart w:id="138" w:name="_Toc102735221"/>
            <w:bookmarkStart w:id="139" w:name="_Toc99014073"/>
            <w:bookmarkStart w:id="140" w:name="_Toc378185554"/>
            <w:bookmarkStart w:id="141" w:name="_Toc378188378"/>
            <w:r>
              <w:rPr>
                <w:rFonts w:eastAsia="黑体"/>
                <w:bCs/>
                <w:szCs w:val="21"/>
              </w:rPr>
              <w:t>群  系</w:t>
            </w:r>
            <w:bookmarkEnd w:id="132"/>
            <w:bookmarkEnd w:id="133"/>
            <w:bookmarkEnd w:id="134"/>
            <w:bookmarkEnd w:id="135"/>
            <w:bookmarkEnd w:id="136"/>
            <w:bookmarkEnd w:id="137"/>
            <w:bookmarkEnd w:id="138"/>
            <w:bookmarkEnd w:id="139"/>
            <w:bookmarkEnd w:id="140"/>
            <w:bookmarkEnd w:id="141"/>
          </w:p>
        </w:tc>
        <w:tc>
          <w:tcPr>
            <w:tcW w:w="1418" w:type="dxa"/>
            <w:vAlign w:val="center"/>
          </w:tcPr>
          <w:p>
            <w:pPr>
              <w:jc w:val="center"/>
              <w:rPr>
                <w:rFonts w:eastAsia="黑体"/>
                <w:bCs/>
                <w:sz w:val="18"/>
                <w:szCs w:val="18"/>
              </w:rPr>
            </w:pPr>
            <w:r>
              <w:rPr>
                <w:rFonts w:hint="eastAsia" w:eastAsia="黑体"/>
                <w:bCs/>
                <w:sz w:val="18"/>
                <w:szCs w:val="18"/>
              </w:rPr>
              <w:t>分布</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956" w:hRule="atLeast"/>
          <w:jc w:val="center"/>
        </w:trPr>
        <w:tc>
          <w:tcPr>
            <w:tcW w:w="873" w:type="dxa"/>
            <w:vMerge w:val="restart"/>
          </w:tcPr>
          <w:p>
            <w:pPr>
              <w:ind w:left="-73" w:leftChars="-35" w:right="-126" w:rightChars="-60"/>
              <w:jc w:val="center"/>
              <w:rPr>
                <w:rFonts w:eastAsia="楷体_GB2312"/>
                <w:szCs w:val="21"/>
              </w:rPr>
            </w:pPr>
            <w:r>
              <w:rPr>
                <w:rFonts w:hint="eastAsia" w:eastAsia="楷体_GB2312"/>
                <w:szCs w:val="21"/>
              </w:rPr>
              <w:t>自然植被</w:t>
            </w:r>
          </w:p>
        </w:tc>
        <w:tc>
          <w:tcPr>
            <w:tcW w:w="1083" w:type="dxa"/>
            <w:vMerge w:val="restart"/>
            <w:vAlign w:val="center"/>
          </w:tcPr>
          <w:p>
            <w:pPr>
              <w:jc w:val="center"/>
              <w:rPr>
                <w:rFonts w:eastAsia="楷体_GB2312"/>
                <w:szCs w:val="21"/>
              </w:rPr>
            </w:pPr>
            <w:r>
              <w:rPr>
                <w:rFonts w:eastAsia="楷体_GB2312"/>
                <w:szCs w:val="21"/>
              </w:rPr>
              <w:t>灌</w:t>
            </w:r>
            <w:r>
              <w:rPr>
                <w:rFonts w:hint="eastAsia" w:eastAsia="楷体_GB2312"/>
                <w:szCs w:val="21"/>
              </w:rPr>
              <w:t>丛和</w:t>
            </w:r>
            <w:r>
              <w:rPr>
                <w:rFonts w:eastAsia="楷体_GB2312"/>
                <w:szCs w:val="21"/>
              </w:rPr>
              <w:t>草丛</w:t>
            </w:r>
          </w:p>
        </w:tc>
        <w:tc>
          <w:tcPr>
            <w:tcW w:w="1185" w:type="dxa"/>
            <w:vMerge w:val="restart"/>
            <w:vAlign w:val="center"/>
          </w:tcPr>
          <w:p>
            <w:pPr>
              <w:jc w:val="center"/>
              <w:rPr>
                <w:rFonts w:eastAsia="楷体_GB2312"/>
                <w:szCs w:val="21"/>
              </w:rPr>
            </w:pPr>
            <w:r>
              <w:rPr>
                <w:rFonts w:hint="eastAsia" w:eastAsia="楷体_GB2312"/>
                <w:szCs w:val="21"/>
              </w:rPr>
              <w:t>Ⅰ</w:t>
            </w:r>
            <w:r>
              <w:rPr>
                <w:rFonts w:eastAsia="楷体_GB2312"/>
                <w:szCs w:val="21"/>
              </w:rPr>
              <w:t>、灌丛</w:t>
            </w: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ascii="宋体" w:hAnsi="宋体"/>
                <w:sz w:val="18"/>
                <w:szCs w:val="18"/>
              </w:rPr>
              <w:t>构树灌丛</w:t>
            </w:r>
          </w:p>
        </w:tc>
        <w:tc>
          <w:tcPr>
            <w:tcW w:w="3582" w:type="dxa"/>
            <w:vAlign w:val="center"/>
          </w:tcPr>
          <w:p>
            <w:pPr>
              <w:jc w:val="center"/>
              <w:rPr>
                <w:szCs w:val="21"/>
              </w:rPr>
            </w:pPr>
            <w:r>
              <w:rPr>
                <w:szCs w:val="21"/>
              </w:rPr>
              <w:t>Form.</w:t>
            </w:r>
            <w:r>
              <w:rPr>
                <w:i/>
                <w:szCs w:val="21"/>
              </w:rPr>
              <w:t>Broussonetia papyifera</w:t>
            </w:r>
          </w:p>
        </w:tc>
        <w:tc>
          <w:tcPr>
            <w:tcW w:w="1418" w:type="dxa"/>
            <w:vAlign w:val="center"/>
          </w:tcPr>
          <w:p>
            <w:pPr>
              <w:jc w:val="center"/>
              <w:rPr>
                <w:sz w:val="18"/>
                <w:szCs w:val="18"/>
              </w:rPr>
            </w:pPr>
            <w:r>
              <w:rPr>
                <w:rFonts w:hint="eastAsia"/>
                <w:sz w:val="18"/>
                <w:szCs w:val="18"/>
              </w:rPr>
              <w:t>广泛分布于道路、村舍旁</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956"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插田泡灌丛</w:t>
            </w:r>
          </w:p>
        </w:tc>
        <w:tc>
          <w:tcPr>
            <w:tcW w:w="3582" w:type="dxa"/>
            <w:vAlign w:val="center"/>
          </w:tcPr>
          <w:p>
            <w:pPr>
              <w:jc w:val="center"/>
              <w:rPr>
                <w:i/>
                <w:szCs w:val="21"/>
              </w:rPr>
            </w:pPr>
            <w:r>
              <w:rPr>
                <w:rFonts w:ascii="TimesNewRomanPSMT" w:hAnsi="TimesNewRomanPSMT" w:cs="TimesNewRomanPSMT"/>
                <w:kern w:val="0"/>
                <w:szCs w:val="21"/>
              </w:rPr>
              <w:t>Form.</w:t>
            </w:r>
            <w:r>
              <w:rPr>
                <w:rFonts w:ascii="Arial" w:hAnsi="Arial" w:cs="Arial"/>
                <w:i/>
                <w:iCs/>
                <w:color w:val="333333"/>
                <w:sz w:val="18"/>
                <w:szCs w:val="18"/>
              </w:rPr>
              <w:t>Rubus coreanus Miq</w:t>
            </w:r>
          </w:p>
        </w:tc>
        <w:tc>
          <w:tcPr>
            <w:tcW w:w="1418" w:type="dxa"/>
            <w:vAlign w:val="center"/>
          </w:tcPr>
          <w:p>
            <w:pPr>
              <w:jc w:val="center"/>
              <w:rPr>
                <w:sz w:val="18"/>
                <w:szCs w:val="18"/>
              </w:rPr>
            </w:pPr>
            <w:r>
              <w:rPr>
                <w:rFonts w:hint="eastAsia"/>
                <w:sz w:val="18"/>
                <w:szCs w:val="18"/>
              </w:rPr>
              <w:t>田地周围</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956"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臭牡丹灌丛</w:t>
            </w:r>
          </w:p>
        </w:tc>
        <w:tc>
          <w:tcPr>
            <w:tcW w:w="3582" w:type="dxa"/>
            <w:vAlign w:val="center"/>
          </w:tcPr>
          <w:p>
            <w:pPr>
              <w:jc w:val="center"/>
              <w:rPr>
                <w:szCs w:val="21"/>
              </w:rPr>
            </w:pPr>
            <w:r>
              <w:rPr>
                <w:rFonts w:ascii="TimesNewRomanPSMT" w:hAnsi="TimesNewRomanPSMT" w:cs="TimesNewRomanPSMT"/>
                <w:kern w:val="0"/>
                <w:szCs w:val="21"/>
              </w:rPr>
              <w:t>Form.</w:t>
            </w:r>
            <w:r>
              <w:rPr>
                <w:rFonts w:ascii="Arial" w:hAnsi="Arial" w:cs="Arial"/>
                <w:i/>
                <w:iCs/>
                <w:color w:val="333333"/>
                <w:sz w:val="18"/>
                <w:szCs w:val="18"/>
              </w:rPr>
              <w:t>Clerodendrum bungei</w:t>
            </w:r>
            <w:r>
              <w:rPr>
                <w:rFonts w:ascii="Arial" w:hAnsi="Arial" w:cs="Arial"/>
                <w:color w:val="333333"/>
                <w:sz w:val="18"/>
                <w:szCs w:val="18"/>
              </w:rPr>
              <w:t xml:space="preserve"> Sterd.</w:t>
            </w:r>
          </w:p>
        </w:tc>
        <w:tc>
          <w:tcPr>
            <w:tcW w:w="1418" w:type="dxa"/>
            <w:vAlign w:val="center"/>
          </w:tcPr>
          <w:p>
            <w:pPr>
              <w:jc w:val="center"/>
              <w:rPr>
                <w:sz w:val="18"/>
                <w:szCs w:val="18"/>
              </w:rPr>
            </w:pPr>
            <w:r>
              <w:rPr>
                <w:rFonts w:hint="eastAsia"/>
                <w:sz w:val="18"/>
                <w:szCs w:val="18"/>
              </w:rPr>
              <w:t>部分河坡</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restart"/>
            <w:vAlign w:val="center"/>
          </w:tcPr>
          <w:p>
            <w:pPr>
              <w:jc w:val="center"/>
              <w:rPr>
                <w:rFonts w:eastAsia="楷体_GB2312"/>
                <w:szCs w:val="21"/>
              </w:rPr>
            </w:pPr>
            <w:r>
              <w:rPr>
                <w:rFonts w:hint="eastAsia" w:eastAsia="楷体_GB2312"/>
                <w:szCs w:val="21"/>
              </w:rPr>
              <w:t>Ⅱ</w:t>
            </w:r>
            <w:r>
              <w:rPr>
                <w:rFonts w:eastAsia="楷体_GB2312"/>
                <w:szCs w:val="21"/>
              </w:rPr>
              <w:t>、草丛</w:t>
            </w: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白茅草丛</w:t>
            </w:r>
          </w:p>
        </w:tc>
        <w:tc>
          <w:tcPr>
            <w:tcW w:w="3582" w:type="dxa"/>
            <w:vAlign w:val="center"/>
          </w:tcPr>
          <w:p>
            <w:pPr>
              <w:jc w:val="center"/>
              <w:rPr>
                <w:szCs w:val="21"/>
              </w:rPr>
            </w:pPr>
            <w:r>
              <w:rPr>
                <w:szCs w:val="21"/>
              </w:rPr>
              <w:t>Form.</w:t>
            </w:r>
            <w:r>
              <w:rPr>
                <w:i/>
                <w:szCs w:val="21"/>
                <w:shd w:val="clear" w:color="auto" w:fill="FFFFFF"/>
              </w:rPr>
              <w:t>Imperata cylindrica (Linn.) Beauv.</w:t>
            </w:r>
          </w:p>
        </w:tc>
        <w:tc>
          <w:tcPr>
            <w:tcW w:w="1418" w:type="dxa"/>
            <w:vAlign w:val="center"/>
          </w:tcPr>
          <w:p>
            <w:pPr>
              <w:jc w:val="center"/>
              <w:rPr>
                <w:sz w:val="18"/>
                <w:szCs w:val="18"/>
              </w:rPr>
            </w:pPr>
            <w:r>
              <w:rPr>
                <w:rFonts w:hint="eastAsia"/>
                <w:sz w:val="18"/>
                <w:szCs w:val="18"/>
              </w:rPr>
              <w:t>分布于河堤旁</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狗压根草丛</w:t>
            </w:r>
          </w:p>
        </w:tc>
        <w:tc>
          <w:tcPr>
            <w:tcW w:w="3582" w:type="dxa"/>
            <w:vAlign w:val="center"/>
          </w:tcPr>
          <w:p>
            <w:pPr>
              <w:jc w:val="center"/>
              <w:rPr>
                <w:szCs w:val="21"/>
              </w:rPr>
            </w:pPr>
            <w:r>
              <w:rPr>
                <w:rFonts w:ascii="TimesNewRomanPSMT" w:hAnsi="TimesNewRomanPSMT" w:cs="TimesNewRomanPSMT"/>
                <w:kern w:val="0"/>
                <w:szCs w:val="21"/>
              </w:rPr>
              <w:t xml:space="preserve">Form. </w:t>
            </w:r>
            <w:r>
              <w:rPr>
                <w:i/>
                <w:iCs/>
                <w:kern w:val="0"/>
                <w:szCs w:val="21"/>
              </w:rPr>
              <w:t>Cynodon dactylon</w:t>
            </w:r>
          </w:p>
        </w:tc>
        <w:tc>
          <w:tcPr>
            <w:tcW w:w="1418" w:type="dxa"/>
            <w:vAlign w:val="center"/>
          </w:tcPr>
          <w:p>
            <w:pPr>
              <w:jc w:val="center"/>
              <w:rPr>
                <w:sz w:val="18"/>
                <w:szCs w:val="18"/>
              </w:rPr>
            </w:pPr>
            <w:r>
              <w:rPr>
                <w:rFonts w:hint="eastAsia"/>
                <w:sz w:val="18"/>
                <w:szCs w:val="18"/>
              </w:rPr>
              <w:t>广布河堤</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艾蒿草丛</w:t>
            </w:r>
          </w:p>
        </w:tc>
        <w:tc>
          <w:tcPr>
            <w:tcW w:w="3582" w:type="dxa"/>
            <w:vAlign w:val="center"/>
          </w:tcPr>
          <w:p>
            <w:pPr>
              <w:jc w:val="center"/>
              <w:rPr>
                <w:szCs w:val="21"/>
              </w:rPr>
            </w:pPr>
            <w:r>
              <w:rPr>
                <w:rFonts w:ascii="TimesNewRomanPSMT" w:hAnsi="TimesNewRomanPSMT" w:cs="TimesNewRomanPSMT"/>
                <w:kern w:val="0"/>
                <w:szCs w:val="21"/>
              </w:rPr>
              <w:t xml:space="preserve">Form. </w:t>
            </w:r>
            <w:r>
              <w:rPr>
                <w:i/>
                <w:iCs/>
                <w:kern w:val="0"/>
                <w:szCs w:val="21"/>
              </w:rPr>
              <w:t>Artemisia princeps</w:t>
            </w:r>
          </w:p>
        </w:tc>
        <w:tc>
          <w:tcPr>
            <w:tcW w:w="1418" w:type="dxa"/>
            <w:vAlign w:val="center"/>
          </w:tcPr>
          <w:p>
            <w:pPr>
              <w:jc w:val="center"/>
              <w:rPr>
                <w:sz w:val="18"/>
                <w:szCs w:val="18"/>
              </w:rPr>
            </w:pPr>
            <w:r>
              <w:rPr>
                <w:rFonts w:hint="eastAsia"/>
                <w:sz w:val="18"/>
                <w:szCs w:val="18"/>
              </w:rPr>
              <w:t>广布河堤</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Pr>
          <w:p>
            <w:pPr>
              <w:ind w:left="-73" w:leftChars="-35" w:right="-126" w:rightChars="-60"/>
              <w:jc w:val="center"/>
              <w:rPr>
                <w:rFonts w:eastAsia="楷体_GB2312"/>
                <w:szCs w:val="21"/>
              </w:rPr>
            </w:pPr>
          </w:p>
        </w:tc>
        <w:tc>
          <w:tcPr>
            <w:tcW w:w="1083" w:type="dxa"/>
            <w:vMerge w:val="restart"/>
            <w:vAlign w:val="center"/>
          </w:tcPr>
          <w:p>
            <w:pPr>
              <w:jc w:val="center"/>
              <w:rPr>
                <w:rFonts w:eastAsia="楷体_GB2312"/>
                <w:szCs w:val="21"/>
              </w:rPr>
            </w:pPr>
            <w:r>
              <w:rPr>
                <w:rFonts w:hint="eastAsia" w:eastAsia="楷体_GB2312"/>
                <w:szCs w:val="21"/>
              </w:rPr>
              <w:t>沼泽与水生植被</w:t>
            </w:r>
          </w:p>
        </w:tc>
        <w:tc>
          <w:tcPr>
            <w:tcW w:w="1185" w:type="dxa"/>
            <w:vMerge w:val="restart"/>
            <w:vAlign w:val="center"/>
          </w:tcPr>
          <w:p>
            <w:pPr>
              <w:ind w:hanging="57"/>
              <w:jc w:val="center"/>
              <w:rPr>
                <w:rFonts w:eastAsia="楷体_GB2312"/>
                <w:szCs w:val="21"/>
              </w:rPr>
            </w:pPr>
            <w:r>
              <w:rPr>
                <w:rFonts w:hint="eastAsia" w:eastAsia="楷体_GB2312"/>
                <w:szCs w:val="21"/>
              </w:rPr>
              <w:t>Ⅲ、水生植被</w:t>
            </w:r>
          </w:p>
        </w:tc>
        <w:tc>
          <w:tcPr>
            <w:tcW w:w="1276" w:type="dxa"/>
            <w:tcBorders>
              <w:bottom w:val="single" w:color="auto" w:sz="4" w:space="0"/>
            </w:tcBorders>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香蒲</w:t>
            </w:r>
            <w:r>
              <w:rPr>
                <w:rFonts w:ascii="宋体" w:hAnsi="宋体"/>
                <w:sz w:val="18"/>
                <w:szCs w:val="18"/>
              </w:rPr>
              <w:t>草丛</w:t>
            </w:r>
          </w:p>
        </w:tc>
        <w:tc>
          <w:tcPr>
            <w:tcW w:w="3582" w:type="dxa"/>
            <w:vAlign w:val="center"/>
          </w:tcPr>
          <w:p>
            <w:pPr>
              <w:jc w:val="center"/>
              <w:rPr>
                <w:szCs w:val="21"/>
              </w:rPr>
            </w:pPr>
            <w:r>
              <w:rPr>
                <w:szCs w:val="21"/>
              </w:rPr>
              <w:t>Form.</w:t>
            </w:r>
            <w:r>
              <w:rPr>
                <w:i/>
                <w:szCs w:val="21"/>
              </w:rPr>
              <w:t>Typha orientalis Presl.</w:t>
            </w:r>
          </w:p>
        </w:tc>
        <w:tc>
          <w:tcPr>
            <w:tcW w:w="1418" w:type="dxa"/>
            <w:vAlign w:val="center"/>
          </w:tcPr>
          <w:p>
            <w:pPr>
              <w:jc w:val="center"/>
              <w:rPr>
                <w:sz w:val="18"/>
                <w:szCs w:val="18"/>
              </w:rPr>
            </w:pPr>
            <w:r>
              <w:rPr>
                <w:rFonts w:hint="eastAsia"/>
                <w:sz w:val="18"/>
                <w:szCs w:val="18"/>
              </w:rPr>
              <w:t>池塘或沼泽</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Pr>
          <w:p>
            <w:pPr>
              <w:ind w:left="-73" w:leftChars="-35" w:right="-126" w:rightChars="-60"/>
              <w:jc w:val="center"/>
              <w:rPr>
                <w:rFonts w:eastAsia="楷体_GB2312"/>
                <w:szCs w:val="21"/>
              </w:rPr>
            </w:pPr>
          </w:p>
        </w:tc>
        <w:tc>
          <w:tcPr>
            <w:tcW w:w="1083" w:type="dxa"/>
            <w:vMerge w:val="continue"/>
            <w:vAlign w:val="center"/>
          </w:tcPr>
          <w:p>
            <w:pPr>
              <w:jc w:val="center"/>
              <w:rPr>
                <w:rFonts w:eastAsia="楷体_GB2312"/>
                <w:szCs w:val="21"/>
              </w:rPr>
            </w:pPr>
          </w:p>
        </w:tc>
        <w:tc>
          <w:tcPr>
            <w:tcW w:w="1185" w:type="dxa"/>
            <w:vMerge w:val="continue"/>
            <w:vAlign w:val="center"/>
          </w:tcPr>
          <w:p>
            <w:pPr>
              <w:ind w:hanging="57"/>
              <w:jc w:val="center"/>
              <w:rPr>
                <w:rFonts w:eastAsia="楷体_GB2312"/>
                <w:szCs w:val="21"/>
              </w:rPr>
            </w:pPr>
          </w:p>
        </w:tc>
        <w:tc>
          <w:tcPr>
            <w:tcW w:w="1276" w:type="dxa"/>
            <w:tcBorders>
              <w:top w:val="single" w:color="auto" w:sz="4" w:space="0"/>
            </w:tcBorders>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莲群落</w:t>
            </w:r>
          </w:p>
        </w:tc>
        <w:tc>
          <w:tcPr>
            <w:tcW w:w="3582" w:type="dxa"/>
            <w:vAlign w:val="center"/>
          </w:tcPr>
          <w:p>
            <w:pPr>
              <w:jc w:val="center"/>
              <w:rPr>
                <w:szCs w:val="21"/>
              </w:rPr>
            </w:pPr>
            <w:r>
              <w:rPr>
                <w:szCs w:val="21"/>
              </w:rPr>
              <w:t>Form.</w:t>
            </w:r>
            <w:r>
              <w:rPr>
                <w:i/>
                <w:szCs w:val="21"/>
              </w:rPr>
              <w:t>Nelumbo nucifera</w:t>
            </w:r>
          </w:p>
        </w:tc>
        <w:tc>
          <w:tcPr>
            <w:tcW w:w="1418" w:type="dxa"/>
            <w:vAlign w:val="center"/>
          </w:tcPr>
          <w:p>
            <w:pPr>
              <w:jc w:val="center"/>
              <w:rPr>
                <w:sz w:val="18"/>
                <w:szCs w:val="18"/>
              </w:rPr>
            </w:pPr>
            <w:r>
              <w:rPr>
                <w:rFonts w:hint="eastAsia"/>
                <w:sz w:val="18"/>
                <w:szCs w:val="18"/>
              </w:rPr>
              <w:t>池塘</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1" w:hRule="atLeast"/>
          <w:jc w:val="center"/>
        </w:trPr>
        <w:tc>
          <w:tcPr>
            <w:tcW w:w="873" w:type="dxa"/>
            <w:vMerge w:val="continue"/>
            <w:tcBorders>
              <w:bottom w:val="single" w:color="auto" w:sz="4" w:space="0"/>
            </w:tcBorders>
          </w:tcPr>
          <w:p>
            <w:pPr>
              <w:ind w:left="-73" w:leftChars="-35" w:right="-126" w:rightChars="-60"/>
              <w:jc w:val="center"/>
              <w:rPr>
                <w:rFonts w:eastAsia="楷体_GB2312"/>
                <w:szCs w:val="21"/>
              </w:rPr>
            </w:pPr>
          </w:p>
        </w:tc>
        <w:tc>
          <w:tcPr>
            <w:tcW w:w="1083" w:type="dxa"/>
            <w:vMerge w:val="continue"/>
            <w:tcBorders>
              <w:bottom w:val="single" w:color="auto" w:sz="4" w:space="0"/>
            </w:tcBorders>
            <w:vAlign w:val="center"/>
          </w:tcPr>
          <w:p>
            <w:pPr>
              <w:jc w:val="center"/>
              <w:rPr>
                <w:rFonts w:eastAsia="楷体_GB2312"/>
                <w:szCs w:val="21"/>
              </w:rPr>
            </w:pPr>
          </w:p>
        </w:tc>
        <w:tc>
          <w:tcPr>
            <w:tcW w:w="1185" w:type="dxa"/>
            <w:vMerge w:val="continue"/>
            <w:tcBorders>
              <w:bottom w:val="single" w:color="auto" w:sz="4" w:space="0"/>
            </w:tcBorders>
            <w:vAlign w:val="center"/>
          </w:tcPr>
          <w:p>
            <w:pPr>
              <w:ind w:hanging="57"/>
              <w:jc w:val="center"/>
              <w:rPr>
                <w:rFonts w:eastAsia="楷体_GB2312"/>
                <w:szCs w:val="21"/>
              </w:rPr>
            </w:pPr>
          </w:p>
        </w:tc>
        <w:tc>
          <w:tcPr>
            <w:tcW w:w="1276" w:type="dxa"/>
            <w:vAlign w:val="center"/>
          </w:tcPr>
          <w:p>
            <w:pPr>
              <w:pStyle w:val="162"/>
              <w:numPr>
                <w:ilvl w:val="0"/>
                <w:numId w:val="22"/>
              </w:numPr>
              <w:ind w:left="-120" w:leftChars="-57" w:right="-94" w:rightChars="-45" w:firstLine="0" w:firstLineChars="0"/>
              <w:jc w:val="center"/>
              <w:rPr>
                <w:rFonts w:ascii="宋体" w:hAnsi="宋体"/>
                <w:sz w:val="18"/>
                <w:szCs w:val="18"/>
              </w:rPr>
            </w:pPr>
            <w:r>
              <w:rPr>
                <w:rFonts w:hint="eastAsia" w:ascii="宋体" w:hAnsi="宋体"/>
                <w:sz w:val="18"/>
                <w:szCs w:val="18"/>
              </w:rPr>
              <w:t>芦苇群落</w:t>
            </w:r>
          </w:p>
        </w:tc>
        <w:tc>
          <w:tcPr>
            <w:tcW w:w="3582" w:type="dxa"/>
            <w:vAlign w:val="center"/>
          </w:tcPr>
          <w:p>
            <w:pPr>
              <w:jc w:val="center"/>
              <w:rPr>
                <w:szCs w:val="21"/>
              </w:rPr>
            </w:pPr>
            <w:r>
              <w:rPr>
                <w:szCs w:val="21"/>
              </w:rPr>
              <w:t>Form.</w:t>
            </w:r>
            <w:r>
              <w:rPr>
                <w:rFonts w:ascii="Arial" w:hAnsi="Arial" w:cs="Arial"/>
                <w:i/>
                <w:iCs/>
                <w:color w:val="333333"/>
                <w:sz w:val="18"/>
                <w:szCs w:val="18"/>
              </w:rPr>
              <w:t xml:space="preserve"> Phragmites australis</w:t>
            </w:r>
          </w:p>
        </w:tc>
        <w:tc>
          <w:tcPr>
            <w:tcW w:w="1418" w:type="dxa"/>
            <w:vAlign w:val="center"/>
          </w:tcPr>
          <w:p>
            <w:pPr>
              <w:jc w:val="center"/>
              <w:rPr>
                <w:sz w:val="18"/>
                <w:szCs w:val="18"/>
              </w:rPr>
            </w:pPr>
            <w:r>
              <w:rPr>
                <w:rFonts w:hint="eastAsia"/>
                <w:sz w:val="18"/>
                <w:szCs w:val="18"/>
              </w:rPr>
              <w:t>池塘或沼泽</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restart"/>
          </w:tcPr>
          <w:p>
            <w:pPr>
              <w:ind w:left="-73" w:leftChars="-35" w:right="-126" w:rightChars="-60"/>
              <w:jc w:val="center"/>
              <w:rPr>
                <w:rFonts w:eastAsia="楷体_GB2312"/>
                <w:szCs w:val="21"/>
              </w:rPr>
            </w:pPr>
            <w:r>
              <w:rPr>
                <w:rFonts w:hint="eastAsia" w:eastAsia="楷体_GB2312"/>
                <w:szCs w:val="21"/>
              </w:rPr>
              <w:t>人工植被</w:t>
            </w:r>
          </w:p>
        </w:tc>
        <w:tc>
          <w:tcPr>
            <w:tcW w:w="2268" w:type="dxa"/>
            <w:gridSpan w:val="2"/>
            <w:vMerge w:val="restart"/>
            <w:vAlign w:val="center"/>
          </w:tcPr>
          <w:p>
            <w:pPr>
              <w:jc w:val="center"/>
              <w:rPr>
                <w:rFonts w:eastAsia="楷体_GB2312"/>
                <w:szCs w:val="21"/>
              </w:rPr>
            </w:pPr>
            <w:r>
              <w:rPr>
                <w:rFonts w:eastAsia="楷体_GB2312"/>
                <w:szCs w:val="21"/>
              </w:rPr>
              <w:t>人工林</w:t>
            </w: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hint="eastAsia" w:ascii="宋体" w:hAnsi="宋体"/>
                <w:sz w:val="18"/>
                <w:szCs w:val="18"/>
              </w:rPr>
              <w:t>水杉</w:t>
            </w:r>
          </w:p>
        </w:tc>
        <w:tc>
          <w:tcPr>
            <w:tcW w:w="3582" w:type="dxa"/>
            <w:vAlign w:val="center"/>
          </w:tcPr>
          <w:p>
            <w:pPr>
              <w:jc w:val="center"/>
              <w:rPr>
                <w:rFonts w:eastAsia="楷体_GB2312"/>
                <w:szCs w:val="21"/>
              </w:rPr>
            </w:pPr>
            <w:r>
              <w:rPr>
                <w:szCs w:val="21"/>
              </w:rPr>
              <w:t>Form.</w:t>
            </w:r>
            <w:r>
              <w:rPr>
                <w:i/>
                <w:szCs w:val="21"/>
              </w:rPr>
              <w:t>Metasequoia glyptostroboides Hu &amp; W. C. Cheng</w:t>
            </w:r>
            <w:r>
              <w:rPr>
                <w:szCs w:val="21"/>
              </w:rPr>
              <w:t>、</w:t>
            </w:r>
            <w:r>
              <w:rPr>
                <w:i/>
                <w:szCs w:val="21"/>
              </w:rPr>
              <w:t>Melia azedarach L.</w:t>
            </w:r>
          </w:p>
        </w:tc>
        <w:tc>
          <w:tcPr>
            <w:tcW w:w="1418" w:type="dxa"/>
            <w:vAlign w:val="center"/>
          </w:tcPr>
          <w:p>
            <w:pPr>
              <w:widowControl/>
              <w:jc w:val="left"/>
              <w:rPr>
                <w:rFonts w:eastAsia="楷体_GB2312"/>
                <w:sz w:val="18"/>
                <w:szCs w:val="18"/>
              </w:rPr>
            </w:pPr>
            <w:r>
              <w:rPr>
                <w:rFonts w:hint="eastAsia" w:eastAsia="楷体_GB2312"/>
                <w:sz w:val="18"/>
                <w:szCs w:val="18"/>
              </w:rPr>
              <w:t>村舍周围</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continue"/>
          </w:tcPr>
          <w:p>
            <w:pPr>
              <w:ind w:left="-73" w:leftChars="-35" w:right="-126" w:rightChars="-60"/>
              <w:jc w:val="center"/>
              <w:rPr>
                <w:rFonts w:eastAsia="楷体_GB2312"/>
                <w:szCs w:val="21"/>
              </w:rPr>
            </w:pPr>
          </w:p>
        </w:tc>
        <w:tc>
          <w:tcPr>
            <w:tcW w:w="2268" w:type="dxa"/>
            <w:gridSpan w:val="2"/>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hint="eastAsia" w:ascii="宋体" w:hAnsi="宋体"/>
                <w:sz w:val="18"/>
                <w:szCs w:val="18"/>
              </w:rPr>
              <w:t>意杨等</w:t>
            </w:r>
          </w:p>
        </w:tc>
        <w:tc>
          <w:tcPr>
            <w:tcW w:w="3582" w:type="dxa"/>
            <w:vAlign w:val="center"/>
          </w:tcPr>
          <w:p>
            <w:pPr>
              <w:jc w:val="center"/>
              <w:rPr>
                <w:rFonts w:eastAsia="楷体_GB2312"/>
                <w:szCs w:val="21"/>
              </w:rPr>
            </w:pPr>
            <w:r>
              <w:rPr>
                <w:szCs w:val="21"/>
              </w:rPr>
              <w:t>Form.</w:t>
            </w:r>
            <w:r>
              <w:rPr>
                <w:i/>
                <w:szCs w:val="21"/>
                <w:shd w:val="clear" w:color="auto" w:fill="FFFFFF"/>
              </w:rPr>
              <w:t>Populus euramevicana</w:t>
            </w:r>
          </w:p>
        </w:tc>
        <w:tc>
          <w:tcPr>
            <w:tcW w:w="1418" w:type="dxa"/>
            <w:vAlign w:val="center"/>
          </w:tcPr>
          <w:p>
            <w:pPr>
              <w:widowControl/>
              <w:jc w:val="left"/>
              <w:rPr>
                <w:rFonts w:eastAsia="楷体_GB2312"/>
                <w:sz w:val="18"/>
                <w:szCs w:val="18"/>
              </w:rPr>
            </w:pPr>
            <w:r>
              <w:rPr>
                <w:rFonts w:hint="eastAsia" w:eastAsia="楷体_GB2312"/>
                <w:sz w:val="18"/>
                <w:szCs w:val="18"/>
              </w:rPr>
              <w:t>村舍及道路两侧</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continue"/>
          </w:tcPr>
          <w:p>
            <w:pPr>
              <w:ind w:left="-73" w:leftChars="-35" w:right="-126" w:rightChars="-60"/>
              <w:jc w:val="center"/>
              <w:rPr>
                <w:rFonts w:eastAsia="楷体_GB2312"/>
                <w:szCs w:val="21"/>
              </w:rPr>
            </w:pPr>
          </w:p>
        </w:tc>
        <w:tc>
          <w:tcPr>
            <w:tcW w:w="2268" w:type="dxa"/>
            <w:gridSpan w:val="2"/>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hint="eastAsia" w:ascii="宋体" w:hAnsi="宋体"/>
                <w:sz w:val="18"/>
                <w:szCs w:val="18"/>
              </w:rPr>
              <w:t>橘林</w:t>
            </w:r>
          </w:p>
        </w:tc>
        <w:tc>
          <w:tcPr>
            <w:tcW w:w="3582" w:type="dxa"/>
            <w:vAlign w:val="center"/>
          </w:tcPr>
          <w:p>
            <w:pPr>
              <w:jc w:val="center"/>
              <w:rPr>
                <w:i/>
                <w:szCs w:val="21"/>
              </w:rPr>
            </w:pPr>
            <w:r>
              <w:rPr>
                <w:rFonts w:ascii="TimesNewRomanPSMT" w:hAnsi="TimesNewRomanPSMT" w:cs="TimesNewRomanPSMT"/>
                <w:kern w:val="0"/>
                <w:szCs w:val="21"/>
              </w:rPr>
              <w:t xml:space="preserve">Form. </w:t>
            </w:r>
            <w:r>
              <w:rPr>
                <w:i/>
                <w:iCs/>
                <w:kern w:val="0"/>
                <w:szCs w:val="21"/>
              </w:rPr>
              <w:t>Citrus reticulata</w:t>
            </w:r>
          </w:p>
        </w:tc>
        <w:tc>
          <w:tcPr>
            <w:tcW w:w="1418" w:type="dxa"/>
            <w:vAlign w:val="center"/>
          </w:tcPr>
          <w:p>
            <w:pPr>
              <w:widowControl/>
              <w:jc w:val="left"/>
              <w:rPr>
                <w:rFonts w:eastAsia="楷体_GB2312"/>
                <w:sz w:val="18"/>
                <w:szCs w:val="18"/>
              </w:rPr>
            </w:pPr>
            <w:r>
              <w:rPr>
                <w:rFonts w:hint="eastAsia" w:eastAsia="楷体_GB2312"/>
                <w:sz w:val="18"/>
                <w:szCs w:val="18"/>
              </w:rPr>
              <w:t>田间广布</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restart"/>
          </w:tcPr>
          <w:p>
            <w:pPr>
              <w:ind w:left="-73" w:leftChars="-35" w:right="-126" w:rightChars="-60"/>
              <w:jc w:val="center"/>
              <w:rPr>
                <w:rFonts w:eastAsia="楷体_GB2312"/>
                <w:szCs w:val="21"/>
              </w:rPr>
            </w:pPr>
            <w:r>
              <w:rPr>
                <w:rFonts w:hint="eastAsia" w:eastAsia="楷体_GB2312"/>
                <w:szCs w:val="21"/>
              </w:rPr>
              <w:t>农业植被</w:t>
            </w:r>
          </w:p>
        </w:tc>
        <w:tc>
          <w:tcPr>
            <w:tcW w:w="2268" w:type="dxa"/>
            <w:gridSpan w:val="2"/>
            <w:vMerge w:val="restart"/>
            <w:vAlign w:val="center"/>
          </w:tcPr>
          <w:p>
            <w:pPr>
              <w:jc w:val="center"/>
              <w:rPr>
                <w:rFonts w:eastAsia="楷体_GB2312"/>
                <w:szCs w:val="21"/>
              </w:rPr>
            </w:pPr>
            <w:r>
              <w:rPr>
                <w:rFonts w:hint="eastAsia" w:eastAsia="楷体_GB2312"/>
                <w:szCs w:val="21"/>
              </w:rPr>
              <w:t>农作物</w:t>
            </w: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ascii="宋体" w:hAnsi="宋体"/>
                <w:sz w:val="18"/>
                <w:szCs w:val="18"/>
              </w:rPr>
              <w:t>经济作物</w:t>
            </w:r>
          </w:p>
        </w:tc>
        <w:tc>
          <w:tcPr>
            <w:tcW w:w="3582" w:type="dxa"/>
            <w:vAlign w:val="center"/>
          </w:tcPr>
          <w:p>
            <w:pPr>
              <w:jc w:val="center"/>
              <w:rPr>
                <w:sz w:val="18"/>
                <w:szCs w:val="18"/>
              </w:rPr>
            </w:pPr>
            <w:r>
              <w:rPr>
                <w:rFonts w:hAnsi="宋体"/>
                <w:sz w:val="18"/>
                <w:szCs w:val="18"/>
              </w:rPr>
              <w:t>油菜等；</w:t>
            </w:r>
          </w:p>
        </w:tc>
        <w:tc>
          <w:tcPr>
            <w:tcW w:w="1418" w:type="dxa"/>
            <w:vAlign w:val="center"/>
          </w:tcPr>
          <w:p>
            <w:pPr>
              <w:widowControl/>
              <w:jc w:val="left"/>
              <w:rPr>
                <w:rFonts w:eastAsia="楷体_GB2312"/>
                <w:sz w:val="18"/>
                <w:szCs w:val="18"/>
              </w:rPr>
            </w:pPr>
            <w:r>
              <w:rPr>
                <w:rFonts w:hint="eastAsia" w:eastAsia="楷体_GB2312"/>
                <w:sz w:val="18"/>
                <w:szCs w:val="18"/>
              </w:rPr>
              <w:t>田间有分布</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continue"/>
          </w:tcPr>
          <w:p>
            <w:pPr>
              <w:ind w:right="-126" w:rightChars="-60"/>
              <w:jc w:val="center"/>
              <w:rPr>
                <w:rFonts w:eastAsia="楷体_GB2312"/>
                <w:szCs w:val="21"/>
              </w:rPr>
            </w:pPr>
          </w:p>
        </w:tc>
        <w:tc>
          <w:tcPr>
            <w:tcW w:w="2268" w:type="dxa"/>
            <w:gridSpan w:val="2"/>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ascii="宋体" w:hAnsi="宋体"/>
                <w:sz w:val="18"/>
                <w:szCs w:val="18"/>
              </w:rPr>
              <w:t>粮食作物</w:t>
            </w:r>
          </w:p>
        </w:tc>
        <w:tc>
          <w:tcPr>
            <w:tcW w:w="3582" w:type="dxa"/>
            <w:vAlign w:val="center"/>
          </w:tcPr>
          <w:p>
            <w:pPr>
              <w:jc w:val="center"/>
              <w:rPr>
                <w:sz w:val="18"/>
                <w:szCs w:val="18"/>
              </w:rPr>
            </w:pPr>
            <w:r>
              <w:rPr>
                <w:rFonts w:hint="eastAsia" w:hAnsi="宋体"/>
                <w:sz w:val="18"/>
                <w:szCs w:val="18"/>
              </w:rPr>
              <w:t>玉米</w:t>
            </w:r>
            <w:r>
              <w:rPr>
                <w:rFonts w:hAnsi="宋体"/>
                <w:sz w:val="18"/>
                <w:szCs w:val="18"/>
              </w:rPr>
              <w:t>、水稻</w:t>
            </w:r>
            <w:r>
              <w:rPr>
                <w:rFonts w:hint="eastAsia" w:hAnsi="宋体"/>
                <w:sz w:val="18"/>
                <w:szCs w:val="18"/>
              </w:rPr>
              <w:t>、荞麦</w:t>
            </w:r>
          </w:p>
        </w:tc>
        <w:tc>
          <w:tcPr>
            <w:tcW w:w="1418" w:type="dxa"/>
            <w:vAlign w:val="center"/>
          </w:tcPr>
          <w:p>
            <w:pPr>
              <w:widowControl/>
              <w:jc w:val="left"/>
              <w:rPr>
                <w:rFonts w:eastAsia="楷体_GB2312"/>
                <w:sz w:val="18"/>
                <w:szCs w:val="18"/>
              </w:rPr>
            </w:pPr>
            <w:r>
              <w:rPr>
                <w:rFonts w:hint="eastAsia" w:eastAsia="楷体_GB2312"/>
                <w:sz w:val="18"/>
                <w:szCs w:val="18"/>
              </w:rPr>
              <w:t>田间广布（荞麦少量分布）</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37" w:hRule="atLeast"/>
          <w:jc w:val="center"/>
        </w:trPr>
        <w:tc>
          <w:tcPr>
            <w:tcW w:w="873" w:type="dxa"/>
            <w:vMerge w:val="continue"/>
          </w:tcPr>
          <w:p>
            <w:pPr>
              <w:ind w:right="-126" w:rightChars="-60"/>
              <w:jc w:val="center"/>
              <w:rPr>
                <w:rFonts w:eastAsia="楷体_GB2312"/>
                <w:szCs w:val="21"/>
              </w:rPr>
            </w:pPr>
          </w:p>
        </w:tc>
        <w:tc>
          <w:tcPr>
            <w:tcW w:w="2268" w:type="dxa"/>
            <w:gridSpan w:val="2"/>
            <w:vMerge w:val="continue"/>
            <w:vAlign w:val="center"/>
          </w:tcPr>
          <w:p>
            <w:pPr>
              <w:jc w:val="center"/>
              <w:rPr>
                <w:rFonts w:eastAsia="楷体_GB2312"/>
                <w:szCs w:val="21"/>
              </w:rPr>
            </w:pPr>
          </w:p>
        </w:tc>
        <w:tc>
          <w:tcPr>
            <w:tcW w:w="1276" w:type="dxa"/>
            <w:vAlign w:val="center"/>
          </w:tcPr>
          <w:p>
            <w:pPr>
              <w:pStyle w:val="162"/>
              <w:numPr>
                <w:ilvl w:val="0"/>
                <w:numId w:val="22"/>
              </w:numPr>
              <w:ind w:left="-120" w:leftChars="-57" w:right="-94" w:rightChars="-45" w:firstLine="283" w:firstLineChars="157"/>
              <w:jc w:val="center"/>
              <w:rPr>
                <w:rFonts w:ascii="宋体" w:hAnsi="宋体"/>
                <w:sz w:val="18"/>
                <w:szCs w:val="18"/>
              </w:rPr>
            </w:pPr>
            <w:r>
              <w:rPr>
                <w:rFonts w:hint="eastAsia" w:ascii="宋体" w:hAnsi="宋体"/>
                <w:sz w:val="18"/>
                <w:szCs w:val="18"/>
              </w:rPr>
              <w:t>蔬菜</w:t>
            </w:r>
          </w:p>
        </w:tc>
        <w:tc>
          <w:tcPr>
            <w:tcW w:w="3582" w:type="dxa"/>
            <w:vAlign w:val="center"/>
          </w:tcPr>
          <w:p>
            <w:pPr>
              <w:jc w:val="center"/>
              <w:rPr>
                <w:sz w:val="18"/>
                <w:szCs w:val="18"/>
              </w:rPr>
            </w:pPr>
            <w:r>
              <w:rPr>
                <w:rFonts w:hAnsi="宋体"/>
                <w:sz w:val="18"/>
                <w:szCs w:val="18"/>
              </w:rPr>
              <w:t>刀豆、萝卜、大白菜、莴苣、小白菜、上海青、大蒜、葱、空心菜、辣椒、豆角等</w:t>
            </w:r>
          </w:p>
        </w:tc>
        <w:tc>
          <w:tcPr>
            <w:tcW w:w="1418" w:type="dxa"/>
            <w:vAlign w:val="center"/>
          </w:tcPr>
          <w:p>
            <w:pPr>
              <w:widowControl/>
              <w:jc w:val="left"/>
              <w:rPr>
                <w:rFonts w:eastAsia="楷体_GB2312"/>
                <w:sz w:val="18"/>
                <w:szCs w:val="18"/>
              </w:rPr>
            </w:pPr>
            <w:r>
              <w:rPr>
                <w:rFonts w:hint="eastAsia" w:eastAsia="楷体_GB2312"/>
                <w:sz w:val="18"/>
                <w:szCs w:val="18"/>
              </w:rPr>
              <w:t>村头广布</w:t>
            </w:r>
          </w:p>
        </w:tc>
      </w:tr>
    </w:tbl>
    <w:p>
      <w:pPr>
        <w:spacing w:line="360" w:lineRule="auto"/>
        <w:ind w:firstLine="482" w:firstLineChars="200"/>
        <w:rPr>
          <w:b/>
          <w:sz w:val="24"/>
        </w:rPr>
      </w:pPr>
      <w:r>
        <w:rPr>
          <w:b/>
          <w:sz w:val="24"/>
        </w:rPr>
        <w:t>（</w:t>
      </w:r>
      <w:r>
        <w:rPr>
          <w:rFonts w:hint="eastAsia"/>
          <w:b/>
          <w:sz w:val="24"/>
        </w:rPr>
        <w:t>2</w:t>
      </w:r>
      <w:r>
        <w:rPr>
          <w:b/>
          <w:sz w:val="24"/>
        </w:rPr>
        <w:t>）重点保护植物和古树资源分布情况</w:t>
      </w:r>
    </w:p>
    <w:p>
      <w:pPr>
        <w:spacing w:line="360" w:lineRule="auto"/>
        <w:ind w:firstLine="480" w:firstLineChars="200"/>
        <w:rPr>
          <w:sz w:val="24"/>
        </w:rPr>
      </w:pPr>
      <w:r>
        <w:rPr>
          <w:sz w:val="24"/>
        </w:rPr>
        <w:t>通过现场实地调查，评价范围未涉及国家重点生态公益林、森林公园、风景名胜区</w:t>
      </w:r>
      <w:r>
        <w:rPr>
          <w:rFonts w:hint="eastAsia"/>
          <w:sz w:val="24"/>
        </w:rPr>
        <w:t>，</w:t>
      </w:r>
      <w:r>
        <w:rPr>
          <w:sz w:val="24"/>
        </w:rPr>
        <w:t>也没有发现珍稀古树资源。</w:t>
      </w:r>
    </w:p>
    <w:p>
      <w:pPr>
        <w:pStyle w:val="6"/>
        <w:tabs>
          <w:tab w:val="left" w:pos="1006"/>
        </w:tabs>
        <w:ind w:left="0" w:firstLine="0"/>
      </w:pPr>
      <w:bookmarkStart w:id="142" w:name="_Toc180489243"/>
      <w:bookmarkStart w:id="143" w:name="_Toc181972765"/>
      <w:r>
        <w:rPr>
          <w:rFonts w:hint="eastAsia"/>
        </w:rPr>
        <w:t>陆生动物现状调查</w:t>
      </w:r>
      <w:bookmarkEnd w:id="142"/>
      <w:bookmarkEnd w:id="143"/>
    </w:p>
    <w:p>
      <w:pPr>
        <w:spacing w:line="360" w:lineRule="auto"/>
        <w:ind w:firstLine="480" w:firstLineChars="200"/>
        <w:rPr>
          <w:bCs/>
          <w:sz w:val="24"/>
        </w:rPr>
      </w:pPr>
      <w:r>
        <w:rPr>
          <w:bCs/>
          <w:sz w:val="24"/>
        </w:rPr>
        <w:t>在实地考察访问的基础上，查阅并参考《中国两栖纲和爬行纲动物校正名录》（赵尔宓,张学文等,2000年）、《中国鸟类分类与分布名录(第2版)》（郑光美,2011年）、 《中国两栖动物图鉴》（费梁</w:t>
      </w:r>
      <w:r>
        <w:rPr>
          <w:rFonts w:hint="eastAsia"/>
          <w:bCs/>
          <w:sz w:val="24"/>
        </w:rPr>
        <w:t>,</w:t>
      </w:r>
      <w:r>
        <w:rPr>
          <w:bCs/>
          <w:sz w:val="24"/>
        </w:rPr>
        <w:t>1999年）、《中国爬行动物图鉴》（中国野生动物保护协会</w:t>
      </w:r>
      <w:r>
        <w:rPr>
          <w:rFonts w:hint="eastAsia"/>
          <w:bCs/>
          <w:sz w:val="24"/>
        </w:rPr>
        <w:t>,</w:t>
      </w:r>
      <w:r>
        <w:rPr>
          <w:bCs/>
          <w:sz w:val="24"/>
        </w:rPr>
        <w:t>2002年）、《中国鸟类图鉴》（</w:t>
      </w:r>
      <w:r>
        <w:rPr>
          <w:rFonts w:hint="eastAsia"/>
          <w:bCs/>
          <w:sz w:val="24"/>
        </w:rPr>
        <w:t>钱艳文,</w:t>
      </w:r>
      <w:r>
        <w:rPr>
          <w:bCs/>
          <w:sz w:val="24"/>
        </w:rPr>
        <w:t>1995年）、《中国脊椎动物大全》（刘明玉,解玉浩,季达明;高忠信,李思忠,高玮等</w:t>
      </w:r>
      <w:r>
        <w:rPr>
          <w:rFonts w:hint="eastAsia"/>
          <w:bCs/>
          <w:sz w:val="24"/>
        </w:rPr>
        <w:t>，</w:t>
      </w:r>
      <w:r>
        <w:rPr>
          <w:bCs/>
          <w:sz w:val="24"/>
        </w:rPr>
        <w:t>2000年）</w:t>
      </w:r>
      <w:r>
        <w:rPr>
          <w:rFonts w:hint="eastAsia"/>
          <w:bCs/>
          <w:sz w:val="24"/>
        </w:rPr>
        <w:t>、《湖北省重点保护野生动物图谱》（陈炜，1996年）</w:t>
      </w:r>
      <w:r>
        <w:rPr>
          <w:bCs/>
          <w:sz w:val="24"/>
        </w:rPr>
        <w:t>以</w:t>
      </w:r>
      <w:r>
        <w:rPr>
          <w:rFonts w:hint="eastAsia"/>
          <w:bCs/>
          <w:sz w:val="24"/>
        </w:rPr>
        <w:t>及项目区域内</w:t>
      </w:r>
      <w:r>
        <w:rPr>
          <w:bCs/>
          <w:sz w:val="24"/>
        </w:rPr>
        <w:t>相关资料，对工程工程影响区的动物资源现状得出综合结论。</w:t>
      </w:r>
    </w:p>
    <w:p>
      <w:pPr>
        <w:spacing w:line="360" w:lineRule="auto"/>
        <w:ind w:firstLine="480" w:firstLineChars="200"/>
        <w:jc w:val="left"/>
        <w:rPr>
          <w:bCs/>
          <w:sz w:val="24"/>
        </w:rPr>
      </w:pPr>
      <w:r>
        <w:rPr>
          <w:bCs/>
          <w:sz w:val="24"/>
        </w:rPr>
        <w:t>为表示各类动物种类数量的丰富度，采用数量等级方法：对某动物种群在单位面积内其数量占所调查动物总数的10%以上，用“＋＋＋”表示，该种群为当地优势种；对某动物种群占调查总数的1～10%，用“＋＋”表示，该动物种为当地普通种；对某动物种群占调查总数的1%以下或仅1%，用“＋”表示，该物种为当地稀有种。数量等级评价标准见表</w:t>
      </w:r>
      <w:r>
        <w:rPr>
          <w:rFonts w:hint="eastAsia"/>
          <w:bCs/>
          <w:sz w:val="24"/>
        </w:rPr>
        <w:t>3.6</w:t>
      </w:r>
      <w:r>
        <w:rPr>
          <w:bCs/>
          <w:sz w:val="24"/>
        </w:rPr>
        <w:t>-</w:t>
      </w:r>
      <w:r>
        <w:rPr>
          <w:rFonts w:hint="eastAsia"/>
          <w:bCs/>
          <w:sz w:val="24"/>
        </w:rPr>
        <w:t>2</w:t>
      </w:r>
      <w:r>
        <w:rPr>
          <w:bCs/>
          <w:sz w:val="24"/>
        </w:rPr>
        <w:t>。</w:t>
      </w:r>
    </w:p>
    <w:p>
      <w:pPr>
        <w:pStyle w:val="4"/>
        <w:ind w:firstLine="422"/>
        <w:jc w:val="center"/>
        <w:rPr>
          <w:b/>
        </w:rPr>
      </w:pPr>
      <w:r>
        <w:rPr>
          <w:rFonts w:hint="eastAsia"/>
          <w:b/>
        </w:rPr>
        <w:t>表3.6-2 动物资源数量等级评价标准</w:t>
      </w:r>
    </w:p>
    <w:tbl>
      <w:tblPr>
        <w:tblStyle w:val="10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
        <w:gridCol w:w="1203"/>
        <w:gridCol w:w="58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58" w:type="dxa"/>
            <w:vAlign w:val="center"/>
          </w:tcPr>
          <w:p>
            <w:pPr>
              <w:jc w:val="center"/>
              <w:rPr>
                <w:rFonts w:ascii="Arial" w:hAnsi="Arial" w:cs="Arial"/>
                <w:caps/>
                <w:szCs w:val="21"/>
              </w:rPr>
            </w:pPr>
            <w:r>
              <w:rPr>
                <w:rFonts w:ascii="Arial" w:hAnsi="Arial" w:cs="Arial"/>
                <w:caps/>
                <w:szCs w:val="21"/>
              </w:rPr>
              <w:t>种群状况</w:t>
            </w:r>
          </w:p>
        </w:tc>
        <w:tc>
          <w:tcPr>
            <w:tcW w:w="1203" w:type="dxa"/>
            <w:vAlign w:val="center"/>
          </w:tcPr>
          <w:p>
            <w:pPr>
              <w:jc w:val="center"/>
              <w:rPr>
                <w:rFonts w:ascii="Arial" w:hAnsi="Arial" w:cs="Arial"/>
                <w:caps/>
                <w:szCs w:val="21"/>
              </w:rPr>
            </w:pPr>
            <w:r>
              <w:rPr>
                <w:rFonts w:ascii="Arial" w:hAnsi="Arial" w:cs="Arial"/>
                <w:caps/>
                <w:szCs w:val="21"/>
              </w:rPr>
              <w:t>表示符号</w:t>
            </w:r>
          </w:p>
        </w:tc>
        <w:tc>
          <w:tcPr>
            <w:tcW w:w="5861" w:type="dxa"/>
            <w:vAlign w:val="center"/>
          </w:tcPr>
          <w:p>
            <w:pPr>
              <w:jc w:val="center"/>
              <w:rPr>
                <w:rFonts w:ascii="Arial" w:hAnsi="Arial" w:cs="Arial"/>
                <w:caps/>
                <w:szCs w:val="21"/>
              </w:rPr>
            </w:pPr>
            <w:r>
              <w:rPr>
                <w:rFonts w:ascii="Arial" w:hAnsi="Arial" w:cs="Arial"/>
                <w:caps/>
                <w:szCs w:val="21"/>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4" w:hRule="atLeast"/>
          <w:jc w:val="center"/>
        </w:trPr>
        <w:tc>
          <w:tcPr>
            <w:tcW w:w="1458" w:type="dxa"/>
            <w:vAlign w:val="center"/>
          </w:tcPr>
          <w:p>
            <w:pPr>
              <w:jc w:val="center"/>
              <w:rPr>
                <w:rFonts w:ascii="Arial" w:hAnsi="Arial" w:cs="Arial"/>
                <w:szCs w:val="21"/>
              </w:rPr>
            </w:pPr>
            <w:r>
              <w:rPr>
                <w:rFonts w:ascii="Arial" w:hAnsi="Arial" w:cs="Arial"/>
                <w:szCs w:val="21"/>
              </w:rPr>
              <w:t>当地优势种</w:t>
            </w:r>
          </w:p>
        </w:tc>
        <w:tc>
          <w:tcPr>
            <w:tcW w:w="1203" w:type="dxa"/>
            <w:vAlign w:val="center"/>
          </w:tcPr>
          <w:p>
            <w:pPr>
              <w:jc w:val="center"/>
              <w:rPr>
                <w:rFonts w:ascii="Arial" w:hAnsi="Arial" w:cs="Arial"/>
                <w:szCs w:val="21"/>
              </w:rPr>
            </w:pPr>
            <w:r>
              <w:rPr>
                <w:rFonts w:ascii="Arial" w:hAnsi="Arial" w:cs="Arial"/>
                <w:szCs w:val="21"/>
              </w:rPr>
              <w:t>＋＋＋</w:t>
            </w:r>
          </w:p>
        </w:tc>
        <w:tc>
          <w:tcPr>
            <w:tcW w:w="5861" w:type="dxa"/>
            <w:vAlign w:val="center"/>
          </w:tcPr>
          <w:p>
            <w:pPr>
              <w:jc w:val="center"/>
              <w:rPr>
                <w:rFonts w:ascii="Arial" w:hAnsi="Arial" w:cs="Arial"/>
                <w:szCs w:val="21"/>
              </w:rPr>
            </w:pPr>
            <w:r>
              <w:rPr>
                <w:rFonts w:ascii="Arial" w:hAnsi="Arial" w:cs="Arial"/>
                <w:szCs w:val="21"/>
              </w:rPr>
              <w:t>单位面积内其数量占所调查动物总数的10%以上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58" w:type="dxa"/>
            <w:vAlign w:val="center"/>
          </w:tcPr>
          <w:p>
            <w:pPr>
              <w:jc w:val="center"/>
              <w:rPr>
                <w:rFonts w:ascii="Arial" w:hAnsi="Arial" w:cs="Arial"/>
                <w:szCs w:val="21"/>
              </w:rPr>
            </w:pPr>
            <w:r>
              <w:rPr>
                <w:rFonts w:ascii="Arial" w:hAnsi="Arial" w:cs="Arial"/>
                <w:szCs w:val="21"/>
              </w:rPr>
              <w:t>当地普通种</w:t>
            </w:r>
          </w:p>
        </w:tc>
        <w:tc>
          <w:tcPr>
            <w:tcW w:w="1203" w:type="dxa"/>
            <w:vAlign w:val="center"/>
          </w:tcPr>
          <w:p>
            <w:pPr>
              <w:jc w:val="center"/>
              <w:rPr>
                <w:rFonts w:ascii="Arial" w:hAnsi="Arial" w:cs="Arial"/>
                <w:szCs w:val="21"/>
              </w:rPr>
            </w:pPr>
            <w:r>
              <w:rPr>
                <w:rFonts w:ascii="Arial" w:hAnsi="Arial" w:cs="Arial"/>
                <w:szCs w:val="21"/>
              </w:rPr>
              <w:t>＋＋</w:t>
            </w:r>
          </w:p>
        </w:tc>
        <w:tc>
          <w:tcPr>
            <w:tcW w:w="5861" w:type="dxa"/>
            <w:vAlign w:val="center"/>
          </w:tcPr>
          <w:p>
            <w:pPr>
              <w:jc w:val="center"/>
              <w:rPr>
                <w:rFonts w:ascii="Arial" w:hAnsi="Arial" w:cs="Arial"/>
                <w:szCs w:val="21"/>
              </w:rPr>
            </w:pPr>
            <w:r>
              <w:rPr>
                <w:rFonts w:ascii="Arial" w:hAnsi="Arial" w:cs="Arial"/>
                <w:szCs w:val="21"/>
              </w:rPr>
              <w:t>单位面积内其数量占所调查动物总数的1~10%以上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58" w:type="dxa"/>
            <w:vAlign w:val="center"/>
          </w:tcPr>
          <w:p>
            <w:pPr>
              <w:jc w:val="center"/>
              <w:rPr>
                <w:rFonts w:ascii="Arial" w:hAnsi="Arial" w:cs="Arial"/>
                <w:szCs w:val="21"/>
              </w:rPr>
            </w:pPr>
            <w:r>
              <w:rPr>
                <w:rFonts w:ascii="Arial" w:hAnsi="Arial" w:cs="Arial"/>
                <w:szCs w:val="21"/>
              </w:rPr>
              <w:t>当地稀有种</w:t>
            </w:r>
          </w:p>
        </w:tc>
        <w:tc>
          <w:tcPr>
            <w:tcW w:w="1203" w:type="dxa"/>
            <w:vAlign w:val="center"/>
          </w:tcPr>
          <w:p>
            <w:pPr>
              <w:jc w:val="center"/>
              <w:rPr>
                <w:rFonts w:ascii="Arial" w:hAnsi="Arial" w:cs="Arial"/>
                <w:szCs w:val="21"/>
              </w:rPr>
            </w:pPr>
            <w:r>
              <w:rPr>
                <w:rFonts w:ascii="Arial" w:hAnsi="Arial" w:cs="Arial"/>
                <w:szCs w:val="21"/>
              </w:rPr>
              <w:t>＋</w:t>
            </w:r>
          </w:p>
        </w:tc>
        <w:tc>
          <w:tcPr>
            <w:tcW w:w="5861" w:type="dxa"/>
            <w:vAlign w:val="center"/>
          </w:tcPr>
          <w:p>
            <w:pPr>
              <w:jc w:val="center"/>
              <w:rPr>
                <w:rFonts w:ascii="Arial" w:hAnsi="Arial" w:cs="Arial"/>
                <w:szCs w:val="21"/>
              </w:rPr>
            </w:pPr>
            <w:r>
              <w:rPr>
                <w:rFonts w:ascii="Arial" w:hAnsi="Arial" w:cs="Arial"/>
                <w:szCs w:val="21"/>
              </w:rPr>
              <w:t>单位面积内其数量占所调查动物总数的1%以下或仅1只</w:t>
            </w:r>
          </w:p>
        </w:tc>
      </w:tr>
    </w:tbl>
    <w:p>
      <w:pPr>
        <w:spacing w:line="360" w:lineRule="auto"/>
        <w:ind w:firstLine="480" w:firstLineChars="200"/>
        <w:jc w:val="left"/>
        <w:rPr>
          <w:rFonts w:hAnsi="Calibri"/>
          <w:bCs/>
          <w:sz w:val="24"/>
        </w:rPr>
      </w:pPr>
      <w:r>
        <w:rPr>
          <w:rFonts w:ascii="Calibri" w:hAnsi="Calibri" w:cs="Arial"/>
          <w:bCs/>
          <w:sz w:val="24"/>
        </w:rPr>
        <w:t>根据</w:t>
      </w:r>
      <w:r>
        <w:rPr>
          <w:rFonts w:hint="eastAsia" w:ascii="Calibri" w:hAnsi="Calibri" w:cs="Arial"/>
          <w:bCs/>
          <w:sz w:val="24"/>
        </w:rPr>
        <w:t>实地考察及对相关</w:t>
      </w:r>
      <w:r>
        <w:rPr>
          <w:rFonts w:ascii="Calibri" w:hAnsi="Calibri" w:cs="Arial"/>
          <w:bCs/>
          <w:sz w:val="24"/>
        </w:rPr>
        <w:t>资料进行综合分析，目前工程影响区分布有陆</w:t>
      </w:r>
      <w:r>
        <w:rPr>
          <w:rFonts w:hint="eastAsia" w:ascii="Calibri" w:hAnsi="Calibri" w:cs="Arial"/>
          <w:bCs/>
          <w:sz w:val="24"/>
        </w:rPr>
        <w:t>生</w:t>
      </w:r>
      <w:r>
        <w:rPr>
          <w:rFonts w:ascii="Calibri" w:hAnsi="Calibri" w:cs="Arial"/>
          <w:bCs/>
          <w:sz w:val="24"/>
        </w:rPr>
        <w:t>脊椎动物种，具体分布在各纲中的数量状况参</w:t>
      </w:r>
      <w:r>
        <w:rPr>
          <w:rFonts w:hAnsi="Calibri"/>
          <w:bCs/>
          <w:sz w:val="24"/>
        </w:rPr>
        <w:t>见表</w:t>
      </w:r>
      <w:r>
        <w:rPr>
          <w:rFonts w:hint="eastAsia"/>
          <w:bCs/>
          <w:sz w:val="24"/>
        </w:rPr>
        <w:t>3.6</w:t>
      </w:r>
      <w:r>
        <w:rPr>
          <w:bCs/>
          <w:sz w:val="24"/>
        </w:rPr>
        <w:t>-</w:t>
      </w:r>
      <w:r>
        <w:rPr>
          <w:rFonts w:hint="eastAsia"/>
          <w:bCs/>
          <w:sz w:val="24"/>
        </w:rPr>
        <w:t>3</w:t>
      </w:r>
      <w:r>
        <w:rPr>
          <w:rFonts w:hAnsi="Calibri"/>
          <w:bCs/>
          <w:sz w:val="24"/>
        </w:rPr>
        <w:t>。</w:t>
      </w:r>
    </w:p>
    <w:p>
      <w:pPr>
        <w:jc w:val="center"/>
        <w:rPr>
          <w:rFonts w:ascii="宋体" w:hAnsi="宋体"/>
          <w:b/>
          <w:szCs w:val="21"/>
        </w:rPr>
      </w:pPr>
      <w:r>
        <w:rPr>
          <w:rFonts w:hint="eastAsia" w:ascii="宋体" w:hAnsi="宋体"/>
          <w:b/>
          <w:szCs w:val="21"/>
        </w:rPr>
        <w:t>表3.6-3工程影响区陆生脊椎动物数量</w:t>
      </w:r>
    </w:p>
    <w:tbl>
      <w:tblPr>
        <w:tblStyle w:val="10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1"/>
        <w:gridCol w:w="2412"/>
        <w:gridCol w:w="2412"/>
        <w:gridCol w:w="2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caps/>
                <w:snapToGrid w:val="0"/>
                <w:spacing w:val="5"/>
                <w:kern w:val="0"/>
                <w:szCs w:val="21"/>
              </w:rPr>
            </w:pPr>
            <w:r>
              <w:rPr>
                <w:rFonts w:ascii="Calibri" w:hAnsi="Calibri"/>
                <w:caps/>
                <w:snapToGrid w:val="0"/>
                <w:spacing w:val="5"/>
                <w:kern w:val="0"/>
                <w:szCs w:val="21"/>
              </w:rPr>
              <w:t>纲</w:t>
            </w:r>
          </w:p>
        </w:tc>
        <w:tc>
          <w:tcPr>
            <w:tcW w:w="2412" w:type="dxa"/>
            <w:vAlign w:val="center"/>
          </w:tcPr>
          <w:p>
            <w:pPr>
              <w:adjustRightInd w:val="0"/>
              <w:snapToGrid w:val="0"/>
              <w:ind w:right="-53" w:rightChars="-25"/>
              <w:jc w:val="center"/>
              <w:textAlignment w:val="baseline"/>
              <w:rPr>
                <w:rFonts w:ascii="Calibri" w:hAnsi="Calibri"/>
                <w:caps/>
                <w:snapToGrid w:val="0"/>
                <w:spacing w:val="5"/>
                <w:kern w:val="0"/>
                <w:szCs w:val="21"/>
              </w:rPr>
            </w:pPr>
            <w:r>
              <w:rPr>
                <w:rFonts w:ascii="Calibri" w:hAnsi="Calibri"/>
                <w:caps/>
                <w:snapToGrid w:val="0"/>
                <w:spacing w:val="5"/>
                <w:kern w:val="0"/>
                <w:szCs w:val="21"/>
              </w:rPr>
              <w:t>目</w:t>
            </w:r>
          </w:p>
        </w:tc>
        <w:tc>
          <w:tcPr>
            <w:tcW w:w="2412" w:type="dxa"/>
            <w:vAlign w:val="center"/>
          </w:tcPr>
          <w:p>
            <w:pPr>
              <w:adjustRightInd w:val="0"/>
              <w:snapToGrid w:val="0"/>
              <w:ind w:right="-53" w:rightChars="-25"/>
              <w:jc w:val="center"/>
              <w:textAlignment w:val="baseline"/>
              <w:rPr>
                <w:rFonts w:ascii="Calibri" w:hAnsi="Calibri"/>
                <w:caps/>
                <w:snapToGrid w:val="0"/>
                <w:spacing w:val="5"/>
                <w:kern w:val="0"/>
                <w:szCs w:val="21"/>
              </w:rPr>
            </w:pPr>
            <w:r>
              <w:rPr>
                <w:rFonts w:ascii="Calibri" w:hAnsi="Calibri"/>
                <w:caps/>
                <w:snapToGrid w:val="0"/>
                <w:spacing w:val="5"/>
                <w:kern w:val="0"/>
                <w:szCs w:val="21"/>
              </w:rPr>
              <w:t>科</w:t>
            </w:r>
          </w:p>
        </w:tc>
        <w:tc>
          <w:tcPr>
            <w:tcW w:w="2197" w:type="dxa"/>
            <w:vAlign w:val="center"/>
          </w:tcPr>
          <w:p>
            <w:pPr>
              <w:adjustRightInd w:val="0"/>
              <w:snapToGrid w:val="0"/>
              <w:ind w:right="-53" w:rightChars="-25"/>
              <w:jc w:val="center"/>
              <w:textAlignment w:val="baseline"/>
              <w:rPr>
                <w:rFonts w:ascii="Calibri" w:hAnsi="Calibri"/>
                <w:caps/>
                <w:snapToGrid w:val="0"/>
                <w:spacing w:val="5"/>
                <w:kern w:val="0"/>
                <w:szCs w:val="21"/>
              </w:rPr>
            </w:pPr>
            <w:r>
              <w:rPr>
                <w:rFonts w:ascii="Calibri" w:hAnsi="Calibri"/>
                <w:caps/>
                <w:snapToGrid w:val="0"/>
                <w:spacing w:val="5"/>
                <w:kern w:val="0"/>
                <w:szCs w:val="21"/>
              </w:rPr>
              <w:t>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snapToGrid w:val="0"/>
                <w:spacing w:val="5"/>
                <w:kern w:val="0"/>
                <w:szCs w:val="21"/>
              </w:rPr>
            </w:pPr>
            <w:r>
              <w:rPr>
                <w:rFonts w:ascii="Calibri" w:hAnsi="Calibri"/>
                <w:snapToGrid w:val="0"/>
                <w:spacing w:val="5"/>
                <w:kern w:val="0"/>
                <w:szCs w:val="21"/>
              </w:rPr>
              <w:t>两栖纲</w:t>
            </w:r>
          </w:p>
        </w:tc>
        <w:tc>
          <w:tcPr>
            <w:tcW w:w="2412" w:type="dxa"/>
            <w:vAlign w:val="center"/>
          </w:tcPr>
          <w:p>
            <w:pPr>
              <w:ind w:right="-53"/>
              <w:jc w:val="center"/>
              <w:rPr>
                <w:rFonts w:cs="Courier New"/>
                <w:szCs w:val="21"/>
              </w:rPr>
            </w:pPr>
            <w:r>
              <w:rPr>
                <w:rFonts w:hint="eastAsia" w:cs="Courier New"/>
                <w:szCs w:val="21"/>
              </w:rPr>
              <w:t>1</w:t>
            </w:r>
          </w:p>
        </w:tc>
        <w:tc>
          <w:tcPr>
            <w:tcW w:w="2412" w:type="dxa"/>
            <w:vAlign w:val="center"/>
          </w:tcPr>
          <w:p>
            <w:pPr>
              <w:ind w:right="-53"/>
              <w:jc w:val="center"/>
              <w:rPr>
                <w:rFonts w:cs="Courier New"/>
                <w:szCs w:val="21"/>
              </w:rPr>
            </w:pPr>
            <w:r>
              <w:rPr>
                <w:rFonts w:hint="eastAsia" w:cs="Courier New"/>
                <w:szCs w:val="21"/>
              </w:rPr>
              <w:t>2</w:t>
            </w:r>
          </w:p>
        </w:tc>
        <w:tc>
          <w:tcPr>
            <w:tcW w:w="2197" w:type="dxa"/>
            <w:vAlign w:val="center"/>
          </w:tcPr>
          <w:p>
            <w:pPr>
              <w:ind w:right="-53"/>
              <w:jc w:val="center"/>
              <w:rPr>
                <w:rFonts w:cs="Courier New"/>
                <w:szCs w:val="21"/>
              </w:rPr>
            </w:pPr>
            <w:r>
              <w:rPr>
                <w:rFonts w:hint="eastAsia" w:cs="Courier New"/>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snapToGrid w:val="0"/>
                <w:spacing w:val="5"/>
                <w:kern w:val="0"/>
                <w:szCs w:val="21"/>
              </w:rPr>
            </w:pPr>
            <w:r>
              <w:rPr>
                <w:rFonts w:ascii="Calibri" w:hAnsi="Calibri"/>
                <w:snapToGrid w:val="0"/>
                <w:spacing w:val="5"/>
                <w:kern w:val="0"/>
                <w:szCs w:val="21"/>
              </w:rPr>
              <w:t>爬行纲</w:t>
            </w:r>
          </w:p>
        </w:tc>
        <w:tc>
          <w:tcPr>
            <w:tcW w:w="2412" w:type="dxa"/>
            <w:vAlign w:val="center"/>
          </w:tcPr>
          <w:p>
            <w:pPr>
              <w:ind w:right="-53"/>
              <w:jc w:val="center"/>
              <w:rPr>
                <w:rFonts w:cs="Courier New"/>
                <w:szCs w:val="21"/>
              </w:rPr>
            </w:pPr>
            <w:r>
              <w:rPr>
                <w:rFonts w:hint="eastAsia" w:cs="Courier New"/>
                <w:szCs w:val="21"/>
              </w:rPr>
              <w:t>2</w:t>
            </w:r>
          </w:p>
        </w:tc>
        <w:tc>
          <w:tcPr>
            <w:tcW w:w="2412" w:type="dxa"/>
            <w:vAlign w:val="center"/>
          </w:tcPr>
          <w:p>
            <w:pPr>
              <w:ind w:right="-53"/>
              <w:jc w:val="center"/>
              <w:rPr>
                <w:rFonts w:cs="Courier New"/>
                <w:szCs w:val="21"/>
              </w:rPr>
            </w:pPr>
            <w:r>
              <w:rPr>
                <w:rFonts w:hint="eastAsia" w:cs="Courier New"/>
                <w:szCs w:val="21"/>
              </w:rPr>
              <w:t>5</w:t>
            </w:r>
          </w:p>
        </w:tc>
        <w:tc>
          <w:tcPr>
            <w:tcW w:w="2197" w:type="dxa"/>
            <w:vAlign w:val="center"/>
          </w:tcPr>
          <w:p>
            <w:pPr>
              <w:ind w:right="-53"/>
              <w:jc w:val="center"/>
              <w:rPr>
                <w:rFonts w:cs="Courier New"/>
                <w:szCs w:val="21"/>
              </w:rPr>
            </w:pPr>
            <w:r>
              <w:rPr>
                <w:rFonts w:hint="eastAsia" w:cs="Courier New"/>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snapToGrid w:val="0"/>
                <w:spacing w:val="5"/>
                <w:kern w:val="0"/>
                <w:szCs w:val="21"/>
              </w:rPr>
            </w:pPr>
            <w:r>
              <w:rPr>
                <w:rFonts w:ascii="Calibri" w:hAnsi="Calibri"/>
                <w:snapToGrid w:val="0"/>
                <w:spacing w:val="5"/>
                <w:kern w:val="0"/>
                <w:szCs w:val="21"/>
              </w:rPr>
              <w:t>鸟纲</w:t>
            </w:r>
          </w:p>
        </w:tc>
        <w:tc>
          <w:tcPr>
            <w:tcW w:w="2412" w:type="dxa"/>
            <w:vAlign w:val="center"/>
          </w:tcPr>
          <w:p>
            <w:pPr>
              <w:ind w:right="-53"/>
              <w:jc w:val="center"/>
              <w:rPr>
                <w:rFonts w:cs="Courier New"/>
                <w:szCs w:val="21"/>
              </w:rPr>
            </w:pPr>
            <w:r>
              <w:rPr>
                <w:rFonts w:hint="eastAsia" w:cs="Courier New"/>
                <w:szCs w:val="21"/>
              </w:rPr>
              <w:t>9</w:t>
            </w:r>
          </w:p>
        </w:tc>
        <w:tc>
          <w:tcPr>
            <w:tcW w:w="2412" w:type="dxa"/>
            <w:vAlign w:val="center"/>
          </w:tcPr>
          <w:p>
            <w:pPr>
              <w:ind w:right="-53"/>
              <w:jc w:val="center"/>
              <w:rPr>
                <w:rFonts w:cs="Courier New"/>
                <w:szCs w:val="21"/>
              </w:rPr>
            </w:pPr>
            <w:r>
              <w:rPr>
                <w:rFonts w:hint="eastAsia" w:cs="Courier New"/>
                <w:szCs w:val="21"/>
              </w:rPr>
              <w:t>13</w:t>
            </w:r>
          </w:p>
        </w:tc>
        <w:tc>
          <w:tcPr>
            <w:tcW w:w="2197" w:type="dxa"/>
            <w:vAlign w:val="center"/>
          </w:tcPr>
          <w:p>
            <w:pPr>
              <w:ind w:right="-53"/>
              <w:jc w:val="center"/>
              <w:rPr>
                <w:rFonts w:cs="Courier New"/>
                <w:szCs w:val="21"/>
              </w:rPr>
            </w:pPr>
            <w:r>
              <w:rPr>
                <w:rFonts w:hint="eastAsia" w:cs="Courier New"/>
                <w:szCs w:val="21"/>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snapToGrid w:val="0"/>
                <w:spacing w:val="5"/>
                <w:kern w:val="0"/>
                <w:szCs w:val="21"/>
              </w:rPr>
            </w:pPr>
            <w:r>
              <w:rPr>
                <w:rFonts w:ascii="Calibri" w:hAnsi="Calibri"/>
                <w:snapToGrid w:val="0"/>
                <w:spacing w:val="5"/>
                <w:kern w:val="0"/>
                <w:szCs w:val="21"/>
              </w:rPr>
              <w:t>哺乳纲</w:t>
            </w:r>
          </w:p>
        </w:tc>
        <w:tc>
          <w:tcPr>
            <w:tcW w:w="2412" w:type="dxa"/>
            <w:vAlign w:val="center"/>
          </w:tcPr>
          <w:p>
            <w:pPr>
              <w:ind w:right="-53"/>
              <w:jc w:val="center"/>
              <w:rPr>
                <w:rFonts w:cs="Courier New"/>
                <w:szCs w:val="21"/>
              </w:rPr>
            </w:pPr>
            <w:r>
              <w:rPr>
                <w:rFonts w:hint="eastAsia" w:cs="Courier New"/>
                <w:szCs w:val="21"/>
              </w:rPr>
              <w:t>5</w:t>
            </w:r>
          </w:p>
        </w:tc>
        <w:tc>
          <w:tcPr>
            <w:tcW w:w="2412" w:type="dxa"/>
            <w:vAlign w:val="center"/>
          </w:tcPr>
          <w:p>
            <w:pPr>
              <w:ind w:right="-53"/>
              <w:jc w:val="center"/>
              <w:rPr>
                <w:rFonts w:cs="Courier New"/>
                <w:szCs w:val="21"/>
              </w:rPr>
            </w:pPr>
            <w:r>
              <w:rPr>
                <w:rFonts w:hint="eastAsia" w:cs="Courier New"/>
                <w:szCs w:val="21"/>
              </w:rPr>
              <w:t>6</w:t>
            </w:r>
          </w:p>
        </w:tc>
        <w:tc>
          <w:tcPr>
            <w:tcW w:w="2197" w:type="dxa"/>
            <w:vAlign w:val="center"/>
          </w:tcPr>
          <w:p>
            <w:pPr>
              <w:ind w:right="-53"/>
              <w:jc w:val="center"/>
              <w:rPr>
                <w:rFonts w:cs="Courier New"/>
                <w:szCs w:val="21"/>
              </w:rPr>
            </w:pPr>
            <w:r>
              <w:rPr>
                <w:rFonts w:hint="eastAsia" w:cs="Courier New"/>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501" w:type="dxa"/>
            <w:vAlign w:val="center"/>
          </w:tcPr>
          <w:p>
            <w:pPr>
              <w:adjustRightInd w:val="0"/>
              <w:snapToGrid w:val="0"/>
              <w:ind w:right="-53" w:rightChars="-25"/>
              <w:jc w:val="center"/>
              <w:textAlignment w:val="baseline"/>
              <w:rPr>
                <w:rFonts w:ascii="Calibri" w:hAnsi="Calibri"/>
                <w:snapToGrid w:val="0"/>
                <w:spacing w:val="5"/>
                <w:kern w:val="0"/>
                <w:szCs w:val="21"/>
              </w:rPr>
            </w:pPr>
            <w:r>
              <w:rPr>
                <w:rFonts w:ascii="Calibri" w:hAnsi="Calibri"/>
                <w:snapToGrid w:val="0"/>
                <w:spacing w:val="5"/>
                <w:kern w:val="0"/>
                <w:szCs w:val="21"/>
              </w:rPr>
              <w:t>总计</w:t>
            </w:r>
          </w:p>
        </w:tc>
        <w:tc>
          <w:tcPr>
            <w:tcW w:w="2412" w:type="dxa"/>
            <w:vAlign w:val="center"/>
          </w:tcPr>
          <w:p>
            <w:pPr>
              <w:jc w:val="center"/>
              <w:rPr>
                <w:szCs w:val="21"/>
              </w:rPr>
            </w:pPr>
            <w:r>
              <w:rPr>
                <w:szCs w:val="21"/>
              </w:rPr>
              <w:fldChar w:fldCharType="begin"/>
            </w:r>
            <w:r>
              <w:rPr>
                <w:szCs w:val="21"/>
              </w:rPr>
              <w:instrText xml:space="preserve"> </w:instrText>
            </w:r>
            <w:r>
              <w:rPr>
                <w:rFonts w:hint="eastAsia"/>
                <w:szCs w:val="21"/>
              </w:rPr>
              <w:instrText xml:space="preserve">=SUM(ABOVE)</w:instrText>
            </w:r>
            <w:r>
              <w:rPr>
                <w:szCs w:val="21"/>
              </w:rPr>
              <w:instrText xml:space="preserve"> </w:instrText>
            </w:r>
            <w:r>
              <w:rPr>
                <w:szCs w:val="21"/>
              </w:rPr>
              <w:fldChar w:fldCharType="separate"/>
            </w:r>
            <w:r>
              <w:rPr>
                <w:szCs w:val="21"/>
              </w:rPr>
              <w:t>17</w:t>
            </w:r>
            <w:r>
              <w:rPr>
                <w:szCs w:val="21"/>
              </w:rPr>
              <w:fldChar w:fldCharType="end"/>
            </w:r>
          </w:p>
        </w:tc>
        <w:tc>
          <w:tcPr>
            <w:tcW w:w="2412" w:type="dxa"/>
            <w:vAlign w:val="center"/>
          </w:tcPr>
          <w:p>
            <w:pPr>
              <w:jc w:val="center"/>
              <w:rPr>
                <w:szCs w:val="21"/>
              </w:rPr>
            </w:pPr>
            <w:r>
              <w:rPr>
                <w:szCs w:val="21"/>
              </w:rPr>
              <w:fldChar w:fldCharType="begin"/>
            </w:r>
            <w:r>
              <w:rPr>
                <w:szCs w:val="21"/>
              </w:rPr>
              <w:instrText xml:space="preserve"> </w:instrText>
            </w:r>
            <w:r>
              <w:rPr>
                <w:rFonts w:hint="eastAsia"/>
                <w:szCs w:val="21"/>
              </w:rPr>
              <w:instrText xml:space="preserve">=SUM(ABOVE)</w:instrText>
            </w:r>
            <w:r>
              <w:rPr>
                <w:szCs w:val="21"/>
              </w:rPr>
              <w:instrText xml:space="preserve"> </w:instrText>
            </w:r>
            <w:r>
              <w:rPr>
                <w:szCs w:val="21"/>
              </w:rPr>
              <w:fldChar w:fldCharType="separate"/>
            </w:r>
            <w:r>
              <w:rPr>
                <w:szCs w:val="21"/>
              </w:rPr>
              <w:t>26</w:t>
            </w:r>
            <w:r>
              <w:rPr>
                <w:szCs w:val="21"/>
              </w:rPr>
              <w:fldChar w:fldCharType="end"/>
            </w:r>
          </w:p>
        </w:tc>
        <w:tc>
          <w:tcPr>
            <w:tcW w:w="2197" w:type="dxa"/>
            <w:vAlign w:val="center"/>
          </w:tcPr>
          <w:p>
            <w:pPr>
              <w:jc w:val="center"/>
              <w:rPr>
                <w:szCs w:val="21"/>
              </w:rPr>
            </w:pPr>
            <w:r>
              <w:rPr>
                <w:szCs w:val="21"/>
              </w:rPr>
              <w:fldChar w:fldCharType="begin"/>
            </w:r>
            <w:r>
              <w:rPr>
                <w:szCs w:val="21"/>
              </w:rPr>
              <w:instrText xml:space="preserve"> </w:instrText>
            </w:r>
            <w:r>
              <w:rPr>
                <w:rFonts w:hint="eastAsia"/>
                <w:szCs w:val="21"/>
              </w:rPr>
              <w:instrText xml:space="preserve">=SUM(ABOVE)</w:instrText>
            </w:r>
            <w:r>
              <w:rPr>
                <w:szCs w:val="21"/>
              </w:rPr>
              <w:instrText xml:space="preserve"> </w:instrText>
            </w:r>
            <w:r>
              <w:rPr>
                <w:szCs w:val="21"/>
              </w:rPr>
              <w:fldChar w:fldCharType="separate"/>
            </w:r>
            <w:r>
              <w:rPr>
                <w:szCs w:val="21"/>
              </w:rPr>
              <w:t>45</w:t>
            </w:r>
            <w:r>
              <w:rPr>
                <w:szCs w:val="21"/>
              </w:rPr>
              <w:fldChar w:fldCharType="end"/>
            </w:r>
          </w:p>
        </w:tc>
      </w:tr>
    </w:tbl>
    <w:p>
      <w:pPr>
        <w:spacing w:line="360" w:lineRule="auto"/>
        <w:jc w:val="left"/>
      </w:pPr>
      <w:r>
        <w:rPr>
          <w:rFonts w:hint="eastAsia"/>
          <w:lang w:val="zh-CN"/>
        </w:rPr>
        <w:t>注：分类系统依据</w:t>
      </w:r>
      <w:r>
        <w:rPr>
          <w:rFonts w:hint="eastAsia"/>
        </w:rPr>
        <w:t xml:space="preserve"> </w:t>
      </w:r>
      <w:r>
        <w:t>《中国两栖纲和爬行纲动物校正名录》（赵尔宓,张学文等,2000年）</w:t>
      </w:r>
    </w:p>
    <w:p>
      <w:pPr>
        <w:spacing w:line="360" w:lineRule="auto"/>
        <w:ind w:firstLine="480" w:firstLineChars="200"/>
        <w:rPr>
          <w:rFonts w:ascii="黑体" w:eastAsia="黑体"/>
          <w:sz w:val="24"/>
        </w:rPr>
      </w:pPr>
      <w:r>
        <w:rPr>
          <w:rFonts w:hint="eastAsia" w:ascii="黑体" w:eastAsia="黑体"/>
          <w:sz w:val="24"/>
        </w:rPr>
        <w:t>（一）两栖类</w:t>
      </w:r>
    </w:p>
    <w:p>
      <w:pPr>
        <w:spacing w:line="360" w:lineRule="auto"/>
        <w:ind w:firstLine="480" w:firstLineChars="200"/>
        <w:rPr>
          <w:kern w:val="0"/>
          <w:sz w:val="24"/>
          <w:lang w:val="zh-CN"/>
        </w:rPr>
      </w:pPr>
      <w:r>
        <w:rPr>
          <w:kern w:val="0"/>
          <w:sz w:val="24"/>
          <w:lang w:val="zh-CN"/>
        </w:rPr>
        <w:t>评价区内有两栖类动物</w:t>
      </w:r>
      <w:r>
        <w:rPr>
          <w:sz w:val="24"/>
        </w:rPr>
        <w:t>1目</w:t>
      </w:r>
      <w:r>
        <w:rPr>
          <w:rFonts w:hint="eastAsia"/>
          <w:sz w:val="24"/>
        </w:rPr>
        <w:t>2</w:t>
      </w:r>
      <w:r>
        <w:rPr>
          <w:sz w:val="24"/>
        </w:rPr>
        <w:t>科</w:t>
      </w:r>
      <w:r>
        <w:rPr>
          <w:rFonts w:hint="eastAsia"/>
          <w:sz w:val="24"/>
        </w:rPr>
        <w:t>5</w:t>
      </w:r>
      <w:r>
        <w:rPr>
          <w:sz w:val="24"/>
        </w:rPr>
        <w:t>种，</w:t>
      </w:r>
      <w:r>
        <w:rPr>
          <w:rFonts w:hint="eastAsia"/>
          <w:sz w:val="24"/>
        </w:rPr>
        <w:t>均为</w:t>
      </w:r>
      <w:r>
        <w:rPr>
          <w:sz w:val="24"/>
        </w:rPr>
        <w:t>湖北省</w:t>
      </w:r>
      <w:r>
        <w:rPr>
          <w:kern w:val="0"/>
          <w:sz w:val="24"/>
          <w:lang w:val="zh-CN"/>
        </w:rPr>
        <w:t>省级保护动物</w:t>
      </w:r>
      <w:r>
        <w:rPr>
          <w:sz w:val="24"/>
        </w:rPr>
        <w:t>。</w:t>
      </w:r>
      <w:r>
        <w:rPr>
          <w:kern w:val="0"/>
          <w:sz w:val="24"/>
          <w:lang w:val="zh-CN"/>
        </w:rPr>
        <w:t>评价区两栖类动物名录见表</w:t>
      </w:r>
      <w:r>
        <w:rPr>
          <w:rFonts w:hint="eastAsia"/>
          <w:kern w:val="0"/>
          <w:sz w:val="24"/>
          <w:lang w:val="zh-CN"/>
        </w:rPr>
        <w:t>3.6</w:t>
      </w:r>
      <w:r>
        <w:rPr>
          <w:kern w:val="0"/>
          <w:sz w:val="24"/>
          <w:lang w:val="zh-CN"/>
        </w:rPr>
        <w:t>-</w:t>
      </w:r>
      <w:r>
        <w:rPr>
          <w:rFonts w:hint="eastAsia"/>
          <w:kern w:val="0"/>
          <w:sz w:val="24"/>
          <w:lang w:val="zh-CN"/>
        </w:rPr>
        <w:t>4</w:t>
      </w:r>
      <w:r>
        <w:rPr>
          <w:kern w:val="0"/>
          <w:sz w:val="24"/>
          <w:lang w:val="zh-CN"/>
        </w:rPr>
        <w:t>。</w:t>
      </w:r>
    </w:p>
    <w:p>
      <w:pPr>
        <w:jc w:val="center"/>
        <w:rPr>
          <w:rFonts w:ascii="宋体" w:hAnsi="宋体"/>
          <w:b/>
          <w:szCs w:val="21"/>
        </w:rPr>
      </w:pPr>
      <w:r>
        <w:rPr>
          <w:rFonts w:ascii="宋体" w:hAnsi="宋体"/>
          <w:b/>
          <w:szCs w:val="21"/>
        </w:rPr>
        <w:t>表</w:t>
      </w:r>
      <w:r>
        <w:rPr>
          <w:rFonts w:hint="eastAsia" w:ascii="宋体" w:hAnsi="宋体"/>
          <w:b/>
          <w:szCs w:val="21"/>
        </w:rPr>
        <w:t>3.6</w:t>
      </w:r>
      <w:r>
        <w:rPr>
          <w:rFonts w:ascii="宋体" w:hAnsi="宋体"/>
          <w:b/>
          <w:szCs w:val="21"/>
        </w:rPr>
        <w:t>-</w:t>
      </w:r>
      <w:r>
        <w:rPr>
          <w:rFonts w:hint="eastAsia" w:ascii="宋体" w:hAnsi="宋体"/>
          <w:b/>
          <w:szCs w:val="21"/>
        </w:rPr>
        <w:t>4</w:t>
      </w:r>
      <w:r>
        <w:rPr>
          <w:rFonts w:ascii="宋体" w:hAnsi="宋体"/>
          <w:b/>
          <w:szCs w:val="21"/>
        </w:rPr>
        <w:t xml:space="preserve">  评价区两栖类动物名录</w:t>
      </w:r>
    </w:p>
    <w:tbl>
      <w:tblPr>
        <w:tblStyle w:val="104"/>
        <w:tblW w:w="8946" w:type="dxa"/>
        <w:jc w:val="center"/>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347"/>
        <w:gridCol w:w="1844"/>
        <w:gridCol w:w="177"/>
        <w:gridCol w:w="2729"/>
        <w:gridCol w:w="907"/>
        <w:gridCol w:w="852"/>
        <w:gridCol w:w="1090"/>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Align w:val="center"/>
          </w:tcPr>
          <w:p>
            <w:pPr>
              <w:rPr>
                <w:bCs/>
                <w:kern w:val="0"/>
                <w:szCs w:val="21"/>
              </w:rPr>
            </w:pPr>
            <w:r>
              <w:rPr>
                <w:bCs/>
                <w:kern w:val="0"/>
                <w:szCs w:val="21"/>
              </w:rPr>
              <w:t>科名</w:t>
            </w:r>
          </w:p>
        </w:tc>
        <w:tc>
          <w:tcPr>
            <w:tcW w:w="1844" w:type="dxa"/>
            <w:vAlign w:val="center"/>
          </w:tcPr>
          <w:p>
            <w:pPr>
              <w:rPr>
                <w:bCs/>
                <w:kern w:val="0"/>
                <w:szCs w:val="21"/>
              </w:rPr>
            </w:pPr>
            <w:r>
              <w:rPr>
                <w:bCs/>
                <w:kern w:val="0"/>
                <w:szCs w:val="21"/>
              </w:rPr>
              <w:t>种名</w:t>
            </w:r>
          </w:p>
        </w:tc>
        <w:tc>
          <w:tcPr>
            <w:tcW w:w="2906" w:type="dxa"/>
            <w:gridSpan w:val="2"/>
            <w:vAlign w:val="center"/>
          </w:tcPr>
          <w:p>
            <w:pPr>
              <w:rPr>
                <w:bCs/>
                <w:kern w:val="0"/>
                <w:szCs w:val="21"/>
              </w:rPr>
            </w:pPr>
            <w:r>
              <w:rPr>
                <w:bCs/>
                <w:kern w:val="0"/>
                <w:szCs w:val="21"/>
              </w:rPr>
              <w:t>生境</w:t>
            </w:r>
          </w:p>
        </w:tc>
        <w:tc>
          <w:tcPr>
            <w:tcW w:w="907" w:type="dxa"/>
            <w:vAlign w:val="center"/>
          </w:tcPr>
          <w:p>
            <w:pPr>
              <w:rPr>
                <w:bCs/>
                <w:kern w:val="0"/>
                <w:szCs w:val="21"/>
              </w:rPr>
            </w:pPr>
            <w:r>
              <w:rPr>
                <w:bCs/>
                <w:kern w:val="0"/>
                <w:szCs w:val="21"/>
              </w:rPr>
              <w:t>区系</w:t>
            </w:r>
          </w:p>
        </w:tc>
        <w:tc>
          <w:tcPr>
            <w:tcW w:w="852" w:type="dxa"/>
            <w:vAlign w:val="center"/>
          </w:tcPr>
          <w:p>
            <w:pPr>
              <w:rPr>
                <w:bCs/>
                <w:kern w:val="0"/>
                <w:szCs w:val="21"/>
              </w:rPr>
            </w:pPr>
            <w:r>
              <w:rPr>
                <w:bCs/>
                <w:kern w:val="0"/>
                <w:szCs w:val="21"/>
              </w:rPr>
              <w:t>数量</w:t>
            </w:r>
          </w:p>
        </w:tc>
        <w:tc>
          <w:tcPr>
            <w:tcW w:w="1090" w:type="dxa"/>
            <w:vAlign w:val="center"/>
          </w:tcPr>
          <w:p>
            <w:pPr>
              <w:rPr>
                <w:bCs/>
                <w:kern w:val="0"/>
                <w:szCs w:val="21"/>
              </w:rPr>
            </w:pPr>
            <w:r>
              <w:rPr>
                <w:bCs/>
                <w:kern w:val="0"/>
                <w:szCs w:val="21"/>
              </w:rPr>
              <w:t>保护等级</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8946" w:type="dxa"/>
            <w:gridSpan w:val="7"/>
          </w:tcPr>
          <w:p>
            <w:pPr>
              <w:rPr>
                <w:bCs/>
                <w:kern w:val="0"/>
                <w:szCs w:val="21"/>
              </w:rPr>
            </w:pPr>
            <w:r>
              <w:rPr>
                <w:bCs/>
                <w:kern w:val="0"/>
                <w:szCs w:val="21"/>
              </w:rPr>
              <w:t>一、无尾目 ANURA</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Align w:val="center"/>
          </w:tcPr>
          <w:p>
            <w:pPr>
              <w:ind w:left="-155" w:leftChars="-74"/>
              <w:rPr>
                <w:bCs/>
                <w:kern w:val="0"/>
                <w:szCs w:val="21"/>
              </w:rPr>
            </w:pPr>
            <w:r>
              <w:rPr>
                <w:bCs/>
                <w:kern w:val="0"/>
                <w:szCs w:val="21"/>
              </w:rPr>
              <w:t>（一）蟾蜍科</w:t>
            </w:r>
          </w:p>
          <w:p>
            <w:pPr>
              <w:rPr>
                <w:bCs/>
                <w:kern w:val="0"/>
                <w:szCs w:val="21"/>
              </w:rPr>
            </w:pPr>
            <w:r>
              <w:rPr>
                <w:bCs/>
                <w:kern w:val="0"/>
                <w:szCs w:val="21"/>
              </w:rPr>
              <w:t>Bufonidae</w:t>
            </w:r>
          </w:p>
        </w:tc>
        <w:tc>
          <w:tcPr>
            <w:tcW w:w="2021" w:type="dxa"/>
            <w:gridSpan w:val="2"/>
            <w:vAlign w:val="center"/>
          </w:tcPr>
          <w:p>
            <w:pPr>
              <w:rPr>
                <w:bCs/>
                <w:kern w:val="0"/>
                <w:szCs w:val="21"/>
              </w:rPr>
            </w:pPr>
            <w:r>
              <w:rPr>
                <w:bCs/>
                <w:kern w:val="0"/>
                <w:szCs w:val="21"/>
              </w:rPr>
              <w:t>1.中华大蟾蜍</w:t>
            </w:r>
          </w:p>
          <w:p>
            <w:pPr>
              <w:rPr>
                <w:bCs/>
                <w:i/>
                <w:kern w:val="0"/>
                <w:szCs w:val="21"/>
              </w:rPr>
            </w:pPr>
            <w:r>
              <w:rPr>
                <w:bCs/>
                <w:i/>
                <w:kern w:val="0"/>
                <w:szCs w:val="21"/>
              </w:rPr>
              <w:t>Bufo gargarizans</w:t>
            </w:r>
          </w:p>
        </w:tc>
        <w:tc>
          <w:tcPr>
            <w:tcW w:w="2729" w:type="dxa"/>
            <w:vAlign w:val="center"/>
          </w:tcPr>
          <w:p>
            <w:pPr>
              <w:rPr>
                <w:bCs/>
                <w:kern w:val="0"/>
                <w:szCs w:val="21"/>
              </w:rPr>
            </w:pPr>
            <w:r>
              <w:rPr>
                <w:bCs/>
                <w:kern w:val="0"/>
                <w:szCs w:val="21"/>
              </w:rPr>
              <w:t>栖息在离水源不太远的陆地上或阴暗有一定湿度的草丛中。</w:t>
            </w:r>
          </w:p>
        </w:tc>
        <w:tc>
          <w:tcPr>
            <w:tcW w:w="907" w:type="dxa"/>
            <w:vAlign w:val="center"/>
          </w:tcPr>
          <w:p>
            <w:pPr>
              <w:rPr>
                <w:bCs/>
                <w:kern w:val="0"/>
                <w:szCs w:val="21"/>
              </w:rPr>
            </w:pPr>
            <w:r>
              <w:rPr>
                <w:bCs/>
                <w:kern w:val="0"/>
                <w:szCs w:val="21"/>
              </w:rPr>
              <w:t>广布种</w:t>
            </w:r>
          </w:p>
        </w:tc>
        <w:tc>
          <w:tcPr>
            <w:tcW w:w="852" w:type="dxa"/>
            <w:vAlign w:val="center"/>
          </w:tcPr>
          <w:p>
            <w:pPr>
              <w:rPr>
                <w:bCs/>
                <w:kern w:val="0"/>
                <w:szCs w:val="21"/>
              </w:rPr>
            </w:pPr>
            <w:r>
              <w:rPr>
                <w:bCs/>
                <w:kern w:val="0"/>
                <w:szCs w:val="21"/>
              </w:rPr>
              <w:t>+++</w:t>
            </w:r>
          </w:p>
        </w:tc>
        <w:tc>
          <w:tcPr>
            <w:tcW w:w="1090" w:type="dxa"/>
            <w:vAlign w:val="center"/>
          </w:tcPr>
          <w:p>
            <w:pPr>
              <w:rPr>
                <w:bCs/>
                <w:kern w:val="0"/>
                <w:szCs w:val="21"/>
              </w:rPr>
            </w:pPr>
            <w:r>
              <w:rPr>
                <w:bCs/>
                <w:kern w:val="0"/>
                <w:szCs w:val="21"/>
              </w:rPr>
              <w:t>省级</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Merge w:val="restart"/>
            <w:vAlign w:val="center"/>
          </w:tcPr>
          <w:p>
            <w:pPr>
              <w:rPr>
                <w:szCs w:val="21"/>
              </w:rPr>
            </w:pPr>
            <w:r>
              <w:rPr>
                <w:szCs w:val="21"/>
              </w:rPr>
              <w:t>（</w:t>
            </w:r>
            <w:r>
              <w:rPr>
                <w:rFonts w:hint="eastAsia"/>
                <w:szCs w:val="21"/>
              </w:rPr>
              <w:t>二</w:t>
            </w:r>
            <w:r>
              <w:rPr>
                <w:szCs w:val="21"/>
              </w:rPr>
              <w:t>）蛙科</w:t>
            </w:r>
          </w:p>
          <w:p>
            <w:pPr>
              <w:rPr>
                <w:bCs/>
                <w:kern w:val="0"/>
                <w:szCs w:val="21"/>
              </w:rPr>
            </w:pPr>
            <w:r>
              <w:rPr>
                <w:szCs w:val="21"/>
              </w:rPr>
              <w:t>Ranidae</w:t>
            </w:r>
          </w:p>
        </w:tc>
        <w:tc>
          <w:tcPr>
            <w:tcW w:w="2021" w:type="dxa"/>
            <w:gridSpan w:val="2"/>
            <w:vAlign w:val="center"/>
          </w:tcPr>
          <w:p>
            <w:pPr>
              <w:rPr>
                <w:bCs/>
                <w:kern w:val="0"/>
                <w:szCs w:val="21"/>
              </w:rPr>
            </w:pPr>
            <w:r>
              <w:rPr>
                <w:rFonts w:hint="eastAsia"/>
                <w:bCs/>
                <w:kern w:val="0"/>
                <w:szCs w:val="21"/>
              </w:rPr>
              <w:t>2</w:t>
            </w:r>
            <w:r>
              <w:rPr>
                <w:bCs/>
                <w:kern w:val="0"/>
                <w:szCs w:val="21"/>
              </w:rPr>
              <w:t>.沼蛙</w:t>
            </w:r>
          </w:p>
          <w:p>
            <w:pPr>
              <w:rPr>
                <w:bCs/>
                <w:i/>
                <w:kern w:val="0"/>
                <w:szCs w:val="21"/>
              </w:rPr>
            </w:pPr>
            <w:r>
              <w:rPr>
                <w:bCs/>
                <w:i/>
                <w:kern w:val="0"/>
                <w:szCs w:val="21"/>
              </w:rPr>
              <w:t>Rata guentheri</w:t>
            </w:r>
          </w:p>
        </w:tc>
        <w:tc>
          <w:tcPr>
            <w:tcW w:w="2729" w:type="dxa"/>
            <w:vAlign w:val="center"/>
          </w:tcPr>
          <w:p>
            <w:pPr>
              <w:rPr>
                <w:bCs/>
                <w:kern w:val="0"/>
                <w:szCs w:val="21"/>
              </w:rPr>
            </w:pPr>
            <w:r>
              <w:rPr>
                <w:bCs/>
                <w:kern w:val="0"/>
                <w:szCs w:val="21"/>
              </w:rPr>
              <w:t>常栖息于池塘、水沟或小河内，或附近的草丛中。产卵季节为3~6月。</w:t>
            </w:r>
          </w:p>
        </w:tc>
        <w:tc>
          <w:tcPr>
            <w:tcW w:w="907" w:type="dxa"/>
            <w:vAlign w:val="center"/>
          </w:tcPr>
          <w:p>
            <w:pPr>
              <w:rPr>
                <w:bCs/>
                <w:kern w:val="0"/>
                <w:szCs w:val="21"/>
              </w:rPr>
            </w:pPr>
            <w:r>
              <w:rPr>
                <w:bCs/>
                <w:kern w:val="0"/>
                <w:szCs w:val="21"/>
              </w:rPr>
              <w:t>东洋种</w:t>
            </w:r>
          </w:p>
        </w:tc>
        <w:tc>
          <w:tcPr>
            <w:tcW w:w="852" w:type="dxa"/>
            <w:vAlign w:val="center"/>
          </w:tcPr>
          <w:p>
            <w:pPr>
              <w:rPr>
                <w:bCs/>
                <w:kern w:val="0"/>
                <w:szCs w:val="21"/>
              </w:rPr>
            </w:pPr>
            <w:r>
              <w:rPr>
                <w:bCs/>
                <w:kern w:val="0"/>
                <w:szCs w:val="21"/>
              </w:rPr>
              <w:t>++</w:t>
            </w:r>
          </w:p>
        </w:tc>
        <w:tc>
          <w:tcPr>
            <w:tcW w:w="1090" w:type="dxa"/>
            <w:vAlign w:val="center"/>
          </w:tcPr>
          <w:p>
            <w:pPr>
              <w:rPr>
                <w:bCs/>
                <w:kern w:val="0"/>
                <w:szCs w:val="21"/>
              </w:rPr>
            </w:pPr>
            <w:r>
              <w:rPr>
                <w:bCs/>
                <w:kern w:val="0"/>
                <w:szCs w:val="21"/>
              </w:rPr>
              <w:t>省级</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Merge w:val="continue"/>
            <w:vAlign w:val="center"/>
          </w:tcPr>
          <w:p>
            <w:pPr>
              <w:rPr>
                <w:bCs/>
                <w:kern w:val="0"/>
                <w:szCs w:val="21"/>
              </w:rPr>
            </w:pPr>
          </w:p>
        </w:tc>
        <w:tc>
          <w:tcPr>
            <w:tcW w:w="2021" w:type="dxa"/>
            <w:gridSpan w:val="2"/>
            <w:vAlign w:val="center"/>
          </w:tcPr>
          <w:p>
            <w:pPr>
              <w:rPr>
                <w:bCs/>
                <w:kern w:val="0"/>
                <w:szCs w:val="21"/>
              </w:rPr>
            </w:pPr>
            <w:r>
              <w:rPr>
                <w:rFonts w:hint="eastAsia"/>
                <w:bCs/>
                <w:kern w:val="0"/>
                <w:szCs w:val="21"/>
              </w:rPr>
              <w:t>3</w:t>
            </w:r>
            <w:r>
              <w:rPr>
                <w:bCs/>
                <w:kern w:val="0"/>
                <w:szCs w:val="21"/>
              </w:rPr>
              <w:t>.泽蛙</w:t>
            </w:r>
          </w:p>
          <w:p>
            <w:pPr>
              <w:rPr>
                <w:bCs/>
                <w:i/>
                <w:kern w:val="0"/>
                <w:szCs w:val="21"/>
              </w:rPr>
            </w:pPr>
            <w:r>
              <w:rPr>
                <w:bCs/>
                <w:i/>
                <w:kern w:val="0"/>
                <w:szCs w:val="21"/>
              </w:rPr>
              <w:t>Rata limnocharis</w:t>
            </w:r>
          </w:p>
        </w:tc>
        <w:tc>
          <w:tcPr>
            <w:tcW w:w="2729" w:type="dxa"/>
            <w:vAlign w:val="center"/>
          </w:tcPr>
          <w:p>
            <w:pPr>
              <w:rPr>
                <w:bCs/>
                <w:kern w:val="0"/>
                <w:szCs w:val="21"/>
              </w:rPr>
            </w:pPr>
            <w:r>
              <w:rPr>
                <w:bCs/>
                <w:kern w:val="0"/>
                <w:szCs w:val="21"/>
              </w:rPr>
              <w:t>栖息于池沼、水田及其附近的田野和潮湿环境。</w:t>
            </w:r>
          </w:p>
        </w:tc>
        <w:tc>
          <w:tcPr>
            <w:tcW w:w="907" w:type="dxa"/>
            <w:vAlign w:val="center"/>
          </w:tcPr>
          <w:p>
            <w:pPr>
              <w:rPr>
                <w:bCs/>
                <w:kern w:val="0"/>
                <w:szCs w:val="21"/>
              </w:rPr>
            </w:pPr>
            <w:r>
              <w:rPr>
                <w:bCs/>
                <w:kern w:val="0"/>
                <w:szCs w:val="21"/>
              </w:rPr>
              <w:t>东洋种</w:t>
            </w:r>
          </w:p>
        </w:tc>
        <w:tc>
          <w:tcPr>
            <w:tcW w:w="852" w:type="dxa"/>
            <w:vAlign w:val="center"/>
          </w:tcPr>
          <w:p>
            <w:pPr>
              <w:rPr>
                <w:bCs/>
                <w:kern w:val="0"/>
                <w:szCs w:val="21"/>
              </w:rPr>
            </w:pPr>
            <w:r>
              <w:rPr>
                <w:bCs/>
                <w:kern w:val="0"/>
                <w:szCs w:val="21"/>
              </w:rPr>
              <w:t>++</w:t>
            </w:r>
          </w:p>
        </w:tc>
        <w:tc>
          <w:tcPr>
            <w:tcW w:w="1090" w:type="dxa"/>
            <w:vAlign w:val="center"/>
          </w:tcPr>
          <w:p>
            <w:pPr>
              <w:rPr>
                <w:bCs/>
                <w:kern w:val="0"/>
                <w:szCs w:val="21"/>
              </w:rPr>
            </w:pPr>
            <w:r>
              <w:rPr>
                <w:bCs/>
                <w:kern w:val="0"/>
                <w:szCs w:val="21"/>
              </w:rPr>
              <w:t>省级</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Merge w:val="continue"/>
            <w:vAlign w:val="center"/>
          </w:tcPr>
          <w:p>
            <w:pPr>
              <w:rPr>
                <w:bCs/>
                <w:kern w:val="0"/>
                <w:szCs w:val="21"/>
              </w:rPr>
            </w:pPr>
          </w:p>
        </w:tc>
        <w:tc>
          <w:tcPr>
            <w:tcW w:w="2021" w:type="dxa"/>
            <w:gridSpan w:val="2"/>
            <w:vAlign w:val="center"/>
          </w:tcPr>
          <w:p>
            <w:pPr>
              <w:rPr>
                <w:rFonts w:hAnsi="Arial"/>
                <w:szCs w:val="21"/>
              </w:rPr>
            </w:pPr>
            <w:r>
              <w:rPr>
                <w:rFonts w:hint="eastAsia" w:hAnsi="Arial"/>
                <w:szCs w:val="21"/>
              </w:rPr>
              <w:t>4.</w:t>
            </w:r>
            <w:r>
              <w:rPr>
                <w:rFonts w:hAnsi="Arial"/>
                <w:szCs w:val="21"/>
              </w:rPr>
              <w:t>黑斑侧褶蛙</w:t>
            </w:r>
          </w:p>
          <w:p>
            <w:pPr>
              <w:rPr>
                <w:bCs/>
                <w:i/>
                <w:kern w:val="0"/>
                <w:szCs w:val="21"/>
              </w:rPr>
            </w:pPr>
            <w:r>
              <w:rPr>
                <w:i/>
                <w:szCs w:val="21"/>
              </w:rPr>
              <w:t>Rana nigromaculata</w:t>
            </w:r>
          </w:p>
        </w:tc>
        <w:tc>
          <w:tcPr>
            <w:tcW w:w="2729" w:type="dxa"/>
            <w:vAlign w:val="center"/>
          </w:tcPr>
          <w:p>
            <w:pPr>
              <w:rPr>
                <w:bCs/>
                <w:kern w:val="0"/>
                <w:szCs w:val="21"/>
              </w:rPr>
            </w:pPr>
            <w:r>
              <w:rPr>
                <w:rFonts w:hAnsi="Arial"/>
                <w:szCs w:val="21"/>
              </w:rPr>
              <w:t>水田、溪沟、湖沼</w:t>
            </w:r>
          </w:p>
        </w:tc>
        <w:tc>
          <w:tcPr>
            <w:tcW w:w="907" w:type="dxa"/>
            <w:vAlign w:val="center"/>
          </w:tcPr>
          <w:p>
            <w:pPr>
              <w:rPr>
                <w:bCs/>
                <w:kern w:val="0"/>
                <w:szCs w:val="21"/>
              </w:rPr>
            </w:pPr>
            <w:r>
              <w:rPr>
                <w:rFonts w:hAnsi="Arial"/>
                <w:szCs w:val="21"/>
              </w:rPr>
              <w:t>广布种</w:t>
            </w:r>
          </w:p>
        </w:tc>
        <w:tc>
          <w:tcPr>
            <w:tcW w:w="852" w:type="dxa"/>
            <w:vAlign w:val="center"/>
          </w:tcPr>
          <w:p>
            <w:pPr>
              <w:rPr>
                <w:szCs w:val="21"/>
              </w:rPr>
            </w:pPr>
            <w:r>
              <w:rPr>
                <w:szCs w:val="21"/>
              </w:rPr>
              <w:t>+++</w:t>
            </w:r>
          </w:p>
        </w:tc>
        <w:tc>
          <w:tcPr>
            <w:tcW w:w="1090" w:type="dxa"/>
            <w:vAlign w:val="center"/>
          </w:tcPr>
          <w:p>
            <w:pPr>
              <w:rPr>
                <w:bCs/>
                <w:kern w:val="0"/>
                <w:szCs w:val="21"/>
              </w:rPr>
            </w:pPr>
            <w:r>
              <w:rPr>
                <w:rFonts w:hAnsi="Arial"/>
                <w:szCs w:val="21"/>
              </w:rPr>
              <w:t>省级</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Ex>
        <w:trPr>
          <w:trHeight w:val="20" w:hRule="atLeast"/>
          <w:jc w:val="center"/>
        </w:trPr>
        <w:tc>
          <w:tcPr>
            <w:tcW w:w="1347" w:type="dxa"/>
            <w:vMerge w:val="continue"/>
            <w:vAlign w:val="center"/>
          </w:tcPr>
          <w:p>
            <w:pPr>
              <w:rPr>
                <w:bCs/>
                <w:kern w:val="0"/>
                <w:szCs w:val="21"/>
              </w:rPr>
            </w:pPr>
          </w:p>
        </w:tc>
        <w:tc>
          <w:tcPr>
            <w:tcW w:w="2021" w:type="dxa"/>
            <w:gridSpan w:val="2"/>
            <w:vAlign w:val="center"/>
          </w:tcPr>
          <w:p>
            <w:pPr>
              <w:rPr>
                <w:rFonts w:hAnsi="Arial"/>
                <w:szCs w:val="21"/>
              </w:rPr>
            </w:pPr>
            <w:r>
              <w:rPr>
                <w:rFonts w:hint="eastAsia" w:hAnsi="Arial"/>
                <w:szCs w:val="21"/>
              </w:rPr>
              <w:t>5.</w:t>
            </w:r>
            <w:r>
              <w:rPr>
                <w:rFonts w:hAnsi="Arial"/>
                <w:szCs w:val="21"/>
              </w:rPr>
              <w:t>金线蛙</w:t>
            </w:r>
          </w:p>
          <w:p>
            <w:pPr>
              <w:rPr>
                <w:rFonts w:hAnsi="Arial"/>
                <w:szCs w:val="21"/>
              </w:rPr>
            </w:pPr>
            <w:r>
              <w:rPr>
                <w:i/>
                <w:szCs w:val="21"/>
              </w:rPr>
              <w:t>Rana plancyi</w:t>
            </w:r>
          </w:p>
        </w:tc>
        <w:tc>
          <w:tcPr>
            <w:tcW w:w="2729" w:type="dxa"/>
            <w:vAlign w:val="center"/>
          </w:tcPr>
          <w:p>
            <w:pPr>
              <w:rPr>
                <w:rFonts w:hAnsi="Arial"/>
                <w:szCs w:val="21"/>
              </w:rPr>
            </w:pPr>
            <w:r>
              <w:rPr>
                <w:rFonts w:hAnsi="Arial"/>
                <w:szCs w:val="21"/>
              </w:rPr>
              <w:t>水田</w:t>
            </w:r>
          </w:p>
        </w:tc>
        <w:tc>
          <w:tcPr>
            <w:tcW w:w="907" w:type="dxa"/>
            <w:vAlign w:val="center"/>
          </w:tcPr>
          <w:p>
            <w:pPr>
              <w:rPr>
                <w:rFonts w:hAnsi="Arial"/>
                <w:szCs w:val="21"/>
              </w:rPr>
            </w:pPr>
            <w:r>
              <w:rPr>
                <w:rFonts w:hAnsi="Arial"/>
                <w:szCs w:val="21"/>
              </w:rPr>
              <w:t>广布种</w:t>
            </w:r>
          </w:p>
        </w:tc>
        <w:tc>
          <w:tcPr>
            <w:tcW w:w="852" w:type="dxa"/>
            <w:vAlign w:val="center"/>
          </w:tcPr>
          <w:p>
            <w:pPr>
              <w:rPr>
                <w:szCs w:val="21"/>
              </w:rPr>
            </w:pPr>
            <w:r>
              <w:rPr>
                <w:szCs w:val="21"/>
              </w:rPr>
              <w:t>+</w:t>
            </w:r>
            <w:r>
              <w:rPr>
                <w:rFonts w:hint="eastAsia"/>
                <w:szCs w:val="21"/>
              </w:rPr>
              <w:t>+</w:t>
            </w:r>
          </w:p>
        </w:tc>
        <w:tc>
          <w:tcPr>
            <w:tcW w:w="1090" w:type="dxa"/>
            <w:vAlign w:val="center"/>
          </w:tcPr>
          <w:p>
            <w:pPr>
              <w:rPr>
                <w:rFonts w:hAnsi="Arial"/>
                <w:szCs w:val="21"/>
              </w:rPr>
            </w:pPr>
            <w:r>
              <w:rPr>
                <w:rFonts w:hAnsi="Arial"/>
                <w:szCs w:val="21"/>
              </w:rPr>
              <w:t>省级</w:t>
            </w:r>
          </w:p>
        </w:tc>
      </w:tr>
    </w:tbl>
    <w:p>
      <w:pPr>
        <w:spacing w:after="48" w:line="360" w:lineRule="auto"/>
        <w:ind w:firstLine="420"/>
      </w:pPr>
      <w:r>
        <w:rPr>
          <w:rFonts w:hint="eastAsia"/>
          <w:lang w:val="zh-CN"/>
        </w:rPr>
        <w:t>注：分类系统依据</w:t>
      </w:r>
      <w:r>
        <w:rPr>
          <w:rFonts w:hint="eastAsia"/>
        </w:rPr>
        <w:t xml:space="preserve"> </w:t>
      </w:r>
      <w:r>
        <w:t>《中国两栖纲和爬行纲动物校正名录》（赵尔宓,张学文等,2000年）</w:t>
      </w:r>
    </w:p>
    <w:p>
      <w:pPr>
        <w:spacing w:line="360" w:lineRule="auto"/>
        <w:ind w:firstLine="480" w:firstLineChars="200"/>
        <w:rPr>
          <w:rFonts w:ascii="黑体" w:eastAsia="黑体"/>
          <w:sz w:val="24"/>
        </w:rPr>
      </w:pPr>
      <w:r>
        <w:rPr>
          <w:rFonts w:hint="eastAsia" w:ascii="黑体" w:eastAsia="黑体"/>
          <w:sz w:val="24"/>
        </w:rPr>
        <w:t>（二）爬行类</w:t>
      </w:r>
    </w:p>
    <w:p>
      <w:pPr>
        <w:autoSpaceDE w:val="0"/>
        <w:autoSpaceDN w:val="0"/>
        <w:adjustRightInd w:val="0"/>
        <w:spacing w:line="360" w:lineRule="auto"/>
        <w:ind w:firstLine="480" w:firstLineChars="200"/>
        <w:jc w:val="left"/>
        <w:rPr>
          <w:kern w:val="0"/>
          <w:sz w:val="24"/>
          <w:lang w:val="zh-CN"/>
        </w:rPr>
      </w:pPr>
      <w:r>
        <w:rPr>
          <w:kern w:val="0"/>
          <w:sz w:val="24"/>
        </w:rPr>
        <w:t>201</w:t>
      </w:r>
      <w:r>
        <w:rPr>
          <w:rFonts w:hint="eastAsia"/>
          <w:kern w:val="0"/>
          <w:sz w:val="24"/>
        </w:rPr>
        <w:t>5</w:t>
      </w:r>
      <w:r>
        <w:rPr>
          <w:kern w:val="0"/>
          <w:sz w:val="24"/>
        </w:rPr>
        <w:t>年</w:t>
      </w:r>
      <w:r>
        <w:rPr>
          <w:rFonts w:hint="eastAsia"/>
          <w:kern w:val="0"/>
          <w:sz w:val="24"/>
        </w:rPr>
        <w:t>6、11</w:t>
      </w:r>
      <w:r>
        <w:rPr>
          <w:kern w:val="0"/>
          <w:sz w:val="24"/>
        </w:rPr>
        <w:t>月</w:t>
      </w:r>
      <w:r>
        <w:rPr>
          <w:rFonts w:hAnsi="Arial"/>
          <w:kern w:val="0"/>
          <w:sz w:val="24"/>
          <w:lang w:val="zh-CN"/>
        </w:rPr>
        <w:t>通过实地考查、调查访问和查阅已发表的与在评价范围相关的文献，得出工程评价范围</w:t>
      </w:r>
      <w:r>
        <w:rPr>
          <w:rFonts w:hAnsi="Arial"/>
          <w:bCs/>
          <w:sz w:val="24"/>
        </w:rPr>
        <w:t>爬行类种类、数量及分布</w:t>
      </w:r>
      <w:r>
        <w:rPr>
          <w:rFonts w:hAnsi="Arial"/>
          <w:bCs/>
          <w:kern w:val="0"/>
          <w:sz w:val="24"/>
          <w:lang w:val="zh-CN"/>
        </w:rPr>
        <w:t>现状</w:t>
      </w:r>
      <w:r>
        <w:rPr>
          <w:rFonts w:hAnsi="Arial"/>
          <w:kern w:val="0"/>
          <w:sz w:val="24"/>
          <w:lang w:val="zh-CN"/>
        </w:rPr>
        <w:t>如下：</w:t>
      </w:r>
    </w:p>
    <w:p>
      <w:pPr>
        <w:spacing w:line="360" w:lineRule="auto"/>
        <w:ind w:firstLine="480" w:firstLineChars="200"/>
        <w:rPr>
          <w:rFonts w:hAnsi="Arial"/>
          <w:sz w:val="24"/>
        </w:rPr>
      </w:pPr>
      <w:r>
        <w:rPr>
          <w:rFonts w:hAnsi="Arial"/>
          <w:sz w:val="24"/>
        </w:rPr>
        <w:t>评价范围内爬行类共有</w:t>
      </w:r>
      <w:r>
        <w:rPr>
          <w:rFonts w:hint="eastAsia" w:hAnsi="Arial"/>
          <w:sz w:val="24"/>
        </w:rPr>
        <w:t>2</w:t>
      </w:r>
      <w:r>
        <w:rPr>
          <w:rFonts w:hAnsi="Arial"/>
          <w:sz w:val="24"/>
        </w:rPr>
        <w:t>目</w:t>
      </w:r>
      <w:r>
        <w:rPr>
          <w:rFonts w:hint="eastAsia" w:hAnsi="Arial"/>
          <w:sz w:val="24"/>
        </w:rPr>
        <w:t>5</w:t>
      </w:r>
      <w:r>
        <w:rPr>
          <w:rFonts w:hAnsi="Arial"/>
          <w:sz w:val="24"/>
        </w:rPr>
        <w:t>科</w:t>
      </w:r>
      <w:r>
        <w:rPr>
          <w:rFonts w:hint="eastAsia" w:hAnsi="Arial"/>
          <w:sz w:val="24"/>
        </w:rPr>
        <w:t>9</w:t>
      </w:r>
      <w:r>
        <w:rPr>
          <w:rFonts w:hAnsi="Arial"/>
          <w:sz w:val="24"/>
        </w:rPr>
        <w:t>种（名录见表</w:t>
      </w:r>
      <w:r>
        <w:rPr>
          <w:rFonts w:hint="eastAsia" w:hAnsi="Arial"/>
          <w:sz w:val="24"/>
        </w:rPr>
        <w:t>3.6-5</w:t>
      </w:r>
      <w:r>
        <w:rPr>
          <w:rFonts w:hAnsi="Arial"/>
          <w:sz w:val="24"/>
        </w:rPr>
        <w:t>）。游蛇科的种类最多，有</w:t>
      </w:r>
      <w:r>
        <w:rPr>
          <w:rFonts w:hint="eastAsia" w:hAnsi="Arial"/>
          <w:sz w:val="24"/>
        </w:rPr>
        <w:t>5</w:t>
      </w:r>
      <w:r>
        <w:rPr>
          <w:rFonts w:hAnsi="Arial"/>
          <w:sz w:val="24"/>
        </w:rPr>
        <w:t>种，占</w:t>
      </w:r>
      <w:r>
        <w:rPr>
          <w:rFonts w:hint="eastAsia" w:hAnsi="Arial"/>
          <w:sz w:val="24"/>
        </w:rPr>
        <w:t>55.5</w:t>
      </w:r>
      <w:r>
        <w:rPr>
          <w:rFonts w:hAnsi="Arial"/>
          <w:sz w:val="24"/>
        </w:rPr>
        <w:t>%；</w:t>
      </w:r>
      <w:r>
        <w:rPr>
          <w:rFonts w:hint="eastAsia" w:hAnsi="Arial"/>
          <w:sz w:val="24"/>
        </w:rPr>
        <w:t>其他合计占44.5%</w:t>
      </w:r>
      <w:r>
        <w:rPr>
          <w:rFonts w:hAnsi="Arial"/>
          <w:sz w:val="24"/>
        </w:rPr>
        <w:t>。无国家重点保护野生动物</w:t>
      </w:r>
      <w:r>
        <w:rPr>
          <w:rFonts w:hint="eastAsia" w:hAnsi="Arial"/>
          <w:sz w:val="24"/>
        </w:rPr>
        <w:t>分布。</w:t>
      </w:r>
      <w:r>
        <w:rPr>
          <w:rFonts w:hAnsi="Arial"/>
          <w:sz w:val="24"/>
        </w:rPr>
        <w:t>湖北省重点保护野生动物</w:t>
      </w:r>
      <w:r>
        <w:rPr>
          <w:rFonts w:hint="eastAsia" w:hAnsi="Arial"/>
          <w:sz w:val="24"/>
        </w:rPr>
        <w:t>3种</w:t>
      </w:r>
      <w:r>
        <w:rPr>
          <w:rFonts w:hAnsi="Arial"/>
          <w:sz w:val="24"/>
        </w:rPr>
        <w:t>：王锦蛇、黑眉锦蛇、乌梢蛇。</w:t>
      </w:r>
    </w:p>
    <w:p>
      <w:pPr>
        <w:pStyle w:val="4"/>
        <w:ind w:firstLine="422"/>
        <w:jc w:val="center"/>
        <w:rPr>
          <w:rFonts w:ascii="宋体" w:hAnsi="宋体"/>
          <w:b/>
          <w:szCs w:val="21"/>
        </w:rPr>
      </w:pPr>
      <w:r>
        <w:rPr>
          <w:b/>
        </w:rPr>
        <w:t>表</w:t>
      </w:r>
      <w:r>
        <w:rPr>
          <w:rFonts w:hint="eastAsia"/>
          <w:b/>
        </w:rPr>
        <w:t>3.6-5</w:t>
      </w:r>
      <w:r>
        <w:rPr>
          <w:b/>
        </w:rPr>
        <w:t xml:space="preserve"> 工程影响区爬行类名录</w:t>
      </w:r>
    </w:p>
    <w:tbl>
      <w:tblPr>
        <w:tblStyle w:val="10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6"/>
        <w:gridCol w:w="3325"/>
        <w:gridCol w:w="948"/>
        <w:gridCol w:w="816"/>
        <w:gridCol w:w="9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spacing w:line="280" w:lineRule="exact"/>
              <w:jc w:val="center"/>
              <w:rPr>
                <w:b/>
                <w:bCs/>
                <w:caps/>
                <w:kern w:val="0"/>
                <w:szCs w:val="21"/>
                <w:lang w:val="sq-AL"/>
              </w:rPr>
            </w:pPr>
            <w:r>
              <w:rPr>
                <w:rFonts w:hAnsi="宋体"/>
                <w:b/>
                <w:bCs/>
                <w:kern w:val="0"/>
                <w:szCs w:val="21"/>
              </w:rPr>
              <w:t>种中文名拉丁种名</w:t>
            </w:r>
          </w:p>
        </w:tc>
        <w:tc>
          <w:tcPr>
            <w:tcW w:w="3325" w:type="dxa"/>
            <w:vAlign w:val="center"/>
          </w:tcPr>
          <w:p>
            <w:pPr>
              <w:spacing w:line="280" w:lineRule="exact"/>
              <w:ind w:firstLine="482"/>
              <w:jc w:val="center"/>
              <w:rPr>
                <w:b/>
                <w:bCs/>
                <w:caps/>
                <w:kern w:val="0"/>
                <w:szCs w:val="21"/>
              </w:rPr>
            </w:pPr>
            <w:r>
              <w:rPr>
                <w:rFonts w:hAnsi="宋体"/>
                <w:b/>
                <w:bCs/>
                <w:caps/>
                <w:kern w:val="0"/>
                <w:szCs w:val="21"/>
              </w:rPr>
              <w:t>生境</w:t>
            </w:r>
          </w:p>
        </w:tc>
        <w:tc>
          <w:tcPr>
            <w:tcW w:w="948" w:type="dxa"/>
            <w:vAlign w:val="center"/>
          </w:tcPr>
          <w:p>
            <w:pPr>
              <w:spacing w:line="280" w:lineRule="exact"/>
              <w:jc w:val="center"/>
              <w:rPr>
                <w:b/>
                <w:bCs/>
                <w:caps/>
                <w:kern w:val="0"/>
                <w:szCs w:val="21"/>
              </w:rPr>
            </w:pPr>
            <w:r>
              <w:rPr>
                <w:rFonts w:hint="eastAsia" w:hAnsi="宋体"/>
                <w:b/>
                <w:bCs/>
                <w:caps/>
                <w:kern w:val="0"/>
                <w:szCs w:val="21"/>
              </w:rPr>
              <w:t>区系</w:t>
            </w:r>
          </w:p>
        </w:tc>
        <w:tc>
          <w:tcPr>
            <w:tcW w:w="816" w:type="dxa"/>
            <w:vAlign w:val="center"/>
          </w:tcPr>
          <w:p>
            <w:pPr>
              <w:spacing w:line="280" w:lineRule="exact"/>
              <w:jc w:val="center"/>
              <w:rPr>
                <w:rFonts w:hAnsi="宋体"/>
                <w:b/>
                <w:bCs/>
                <w:caps/>
                <w:kern w:val="0"/>
                <w:szCs w:val="21"/>
              </w:rPr>
            </w:pPr>
            <w:r>
              <w:rPr>
                <w:rFonts w:hint="eastAsia" w:hAnsi="宋体"/>
                <w:b/>
                <w:bCs/>
                <w:caps/>
                <w:kern w:val="0"/>
                <w:szCs w:val="21"/>
              </w:rPr>
              <w:t>种群</w:t>
            </w:r>
          </w:p>
          <w:p>
            <w:pPr>
              <w:spacing w:line="280" w:lineRule="exact"/>
              <w:jc w:val="center"/>
              <w:rPr>
                <w:b/>
                <w:bCs/>
                <w:caps/>
                <w:kern w:val="0"/>
                <w:szCs w:val="21"/>
              </w:rPr>
            </w:pPr>
            <w:r>
              <w:rPr>
                <w:rFonts w:hint="eastAsia" w:hAnsi="宋体"/>
                <w:b/>
                <w:bCs/>
                <w:caps/>
                <w:kern w:val="0"/>
                <w:szCs w:val="21"/>
              </w:rPr>
              <w:t>数量</w:t>
            </w:r>
          </w:p>
        </w:tc>
        <w:tc>
          <w:tcPr>
            <w:tcW w:w="937" w:type="dxa"/>
            <w:vAlign w:val="center"/>
          </w:tcPr>
          <w:p>
            <w:pPr>
              <w:spacing w:line="280" w:lineRule="exact"/>
              <w:jc w:val="center"/>
              <w:rPr>
                <w:rFonts w:hAnsi="宋体"/>
                <w:b/>
                <w:bCs/>
                <w:caps/>
                <w:kern w:val="0"/>
                <w:szCs w:val="21"/>
              </w:rPr>
            </w:pPr>
            <w:r>
              <w:rPr>
                <w:rFonts w:hAnsi="宋体"/>
                <w:b/>
                <w:bCs/>
                <w:caps/>
                <w:kern w:val="0"/>
                <w:szCs w:val="21"/>
              </w:rPr>
              <w:t>保护</w:t>
            </w:r>
          </w:p>
          <w:p>
            <w:pPr>
              <w:spacing w:line="280" w:lineRule="exact"/>
              <w:jc w:val="center"/>
              <w:rPr>
                <w:b/>
                <w:bCs/>
                <w:caps/>
                <w:kern w:val="0"/>
                <w:szCs w:val="21"/>
              </w:rPr>
            </w:pPr>
            <w:r>
              <w:rPr>
                <w:rFonts w:hAnsi="宋体"/>
                <w:b/>
                <w:bCs/>
                <w:caps/>
                <w:kern w:val="0"/>
                <w:szCs w:val="21"/>
              </w:rPr>
              <w:t>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b/>
                <w:kern w:val="0"/>
                <w:szCs w:val="21"/>
              </w:rPr>
            </w:pPr>
            <w:r>
              <w:rPr>
                <w:rFonts w:hAnsi="宋体"/>
                <w:b/>
                <w:kern w:val="0"/>
                <w:szCs w:val="21"/>
              </w:rPr>
              <w:t>一、龟鳖目</w:t>
            </w:r>
            <w:r>
              <w:rPr>
                <w:b/>
                <w:szCs w:val="21"/>
              </w:rPr>
              <w:t>TESTUDI NATA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kern w:val="0"/>
                <w:szCs w:val="21"/>
              </w:rPr>
            </w:pPr>
            <w:r>
              <w:rPr>
                <w:rFonts w:hAnsi="宋体"/>
                <w:kern w:val="0"/>
                <w:szCs w:val="21"/>
              </w:rPr>
              <w:t>（一）</w:t>
            </w:r>
            <w:r>
              <w:rPr>
                <w:kern w:val="0"/>
                <w:szCs w:val="21"/>
              </w:rPr>
              <w:t xml:space="preserve"> </w:t>
            </w:r>
            <w:r>
              <w:rPr>
                <w:szCs w:val="21"/>
              </w:rPr>
              <w:t>淡水龟科B</w:t>
            </w:r>
            <w:r>
              <w:rPr>
                <w:rFonts w:hint="eastAsia"/>
                <w:szCs w:val="21"/>
              </w:rPr>
              <w:t>ataguridae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446"/>
                <w:tab w:val="left" w:pos="1162"/>
              </w:tabs>
              <w:spacing w:line="280" w:lineRule="exact"/>
              <w:ind w:firstLineChars="0"/>
              <w:jc w:val="left"/>
              <w:rPr>
                <w:rFonts w:hAnsi="宋体"/>
                <w:kern w:val="0"/>
                <w:szCs w:val="21"/>
              </w:rPr>
            </w:pPr>
            <w:r>
              <w:rPr>
                <w:rFonts w:hAnsi="宋体"/>
                <w:szCs w:val="21"/>
              </w:rPr>
              <w:t>乌龟</w:t>
            </w:r>
          </w:p>
          <w:p>
            <w:pPr>
              <w:pStyle w:val="162"/>
              <w:spacing w:line="280" w:lineRule="exact"/>
              <w:ind w:left="57" w:firstLine="0" w:firstLineChars="0"/>
              <w:jc w:val="left"/>
              <w:rPr>
                <w:rFonts w:hAnsi="宋体"/>
                <w:kern w:val="0"/>
                <w:szCs w:val="21"/>
              </w:rPr>
            </w:pPr>
            <w:r>
              <w:rPr>
                <w:i/>
                <w:iCs/>
                <w:szCs w:val="21"/>
              </w:rPr>
              <w:t>Chinemys reevesii</w:t>
            </w:r>
          </w:p>
        </w:tc>
        <w:tc>
          <w:tcPr>
            <w:tcW w:w="3325" w:type="dxa"/>
            <w:vAlign w:val="center"/>
          </w:tcPr>
          <w:p>
            <w:pPr>
              <w:spacing w:line="280" w:lineRule="exact"/>
              <w:rPr>
                <w:rFonts w:hAnsi="宋体"/>
                <w:kern w:val="0"/>
                <w:szCs w:val="21"/>
              </w:rPr>
            </w:pPr>
            <w:r>
              <w:rPr>
                <w:rFonts w:hAnsi="宋体"/>
                <w:kern w:val="0"/>
                <w:szCs w:val="21"/>
              </w:rPr>
              <w:t>栖息在河川、湖泊、池沼和溪流中或岸边潮湿草丛中。</w:t>
            </w:r>
          </w:p>
        </w:tc>
        <w:tc>
          <w:tcPr>
            <w:tcW w:w="948" w:type="dxa"/>
          </w:tcPr>
          <w:p>
            <w:pPr>
              <w:spacing w:line="280" w:lineRule="exact"/>
              <w:rPr>
                <w:rFonts w:hAnsi="宋体"/>
                <w:kern w:val="0"/>
                <w:szCs w:val="21"/>
              </w:rPr>
            </w:pPr>
            <w:r>
              <w:rPr>
                <w:rFonts w:hAnsi="宋体"/>
                <w:kern w:val="0"/>
                <w:szCs w:val="21"/>
              </w:rPr>
              <w:t>广布种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rFonts w:hAnsi="宋体"/>
                <w:kern w:val="0"/>
                <w:szCs w:val="21"/>
              </w:rPr>
            </w:pPr>
            <w:r>
              <w:rPr>
                <w:rFonts w:hAnsi="宋体"/>
                <w:szCs w:val="21"/>
              </w:rPr>
              <w:t>（二）鳖科</w:t>
            </w:r>
            <w:r>
              <w:rPr>
                <w:szCs w:val="21"/>
              </w:rPr>
              <w:t>Trionychidae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鳖</w:t>
            </w:r>
          </w:p>
          <w:p>
            <w:pPr>
              <w:pStyle w:val="162"/>
              <w:spacing w:line="280" w:lineRule="exact"/>
              <w:ind w:firstLine="0" w:firstLineChars="0"/>
              <w:jc w:val="left"/>
              <w:rPr>
                <w:rFonts w:hAnsi="宋体"/>
                <w:szCs w:val="21"/>
              </w:rPr>
            </w:pPr>
            <w:r>
              <w:rPr>
                <w:i/>
                <w:iCs/>
                <w:szCs w:val="21"/>
              </w:rPr>
              <w:t>Pelodiscus sinensis</w:t>
            </w:r>
          </w:p>
        </w:tc>
        <w:tc>
          <w:tcPr>
            <w:tcW w:w="3325" w:type="dxa"/>
            <w:vAlign w:val="center"/>
          </w:tcPr>
          <w:p>
            <w:pPr>
              <w:spacing w:line="280" w:lineRule="exact"/>
              <w:rPr>
                <w:rFonts w:hAnsi="宋体"/>
                <w:kern w:val="0"/>
                <w:szCs w:val="21"/>
              </w:rPr>
            </w:pPr>
            <w:r>
              <w:rPr>
                <w:rFonts w:hAnsi="宋体"/>
                <w:kern w:val="0"/>
                <w:szCs w:val="21"/>
              </w:rPr>
              <w:t>生活在河流、湖泊及池塘中。</w:t>
            </w:r>
          </w:p>
        </w:tc>
        <w:tc>
          <w:tcPr>
            <w:tcW w:w="948" w:type="dxa"/>
          </w:tcPr>
          <w:p>
            <w:pPr>
              <w:spacing w:line="280" w:lineRule="exact"/>
              <w:rPr>
                <w:rFonts w:hAnsi="宋体"/>
                <w:kern w:val="0"/>
                <w:szCs w:val="21"/>
              </w:rPr>
            </w:pPr>
            <w:r>
              <w:rPr>
                <w:rFonts w:hAnsi="宋体"/>
                <w:kern w:val="0"/>
                <w:szCs w:val="21"/>
              </w:rPr>
              <w:t>广布种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b/>
                <w:kern w:val="0"/>
                <w:szCs w:val="21"/>
              </w:rPr>
            </w:pPr>
            <w:r>
              <w:rPr>
                <w:b/>
                <w:kern w:val="0"/>
                <w:szCs w:val="21"/>
              </w:rPr>
              <w:t>二、有鳞目SQUAMATA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b/>
                <w:kern w:val="0"/>
                <w:szCs w:val="21"/>
              </w:rPr>
            </w:pPr>
            <w:r>
              <w:rPr>
                <w:b/>
                <w:kern w:val="0"/>
                <w:szCs w:val="21"/>
              </w:rPr>
              <w:t>蜥蜴亚目Lacertilia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rFonts w:hAnsi="宋体"/>
                <w:kern w:val="0"/>
                <w:szCs w:val="21"/>
              </w:rPr>
            </w:pPr>
            <w:r>
              <w:rPr>
                <w:rFonts w:hAnsi="宋体"/>
                <w:szCs w:val="21"/>
              </w:rPr>
              <w:t>（</w:t>
            </w:r>
            <w:r>
              <w:rPr>
                <w:rFonts w:hint="eastAsia" w:hAnsi="宋体"/>
                <w:szCs w:val="21"/>
              </w:rPr>
              <w:t>三</w:t>
            </w:r>
            <w:r>
              <w:rPr>
                <w:rFonts w:hAnsi="宋体"/>
                <w:szCs w:val="21"/>
              </w:rPr>
              <w:t>）</w:t>
            </w:r>
            <w:r>
              <w:rPr>
                <w:rFonts w:hAnsi="宋体"/>
                <w:kern w:val="0"/>
                <w:szCs w:val="21"/>
              </w:rPr>
              <w:t>壁虎科</w:t>
            </w:r>
            <w:r>
              <w:rPr>
                <w:kern w:val="0"/>
                <w:szCs w:val="21"/>
              </w:rPr>
              <w:t>Gekkonidae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多疣壁</w:t>
            </w:r>
          </w:p>
          <w:p>
            <w:pPr>
              <w:pStyle w:val="162"/>
              <w:spacing w:line="280" w:lineRule="exact"/>
              <w:ind w:firstLine="0" w:firstLineChars="0"/>
              <w:jc w:val="left"/>
              <w:rPr>
                <w:rFonts w:hAnsi="宋体"/>
                <w:szCs w:val="21"/>
              </w:rPr>
            </w:pPr>
            <w:r>
              <w:rPr>
                <w:rFonts w:hAnsi="宋体"/>
                <w:i/>
                <w:szCs w:val="21"/>
              </w:rPr>
              <w:t>Gekko japonicus</w:t>
            </w:r>
          </w:p>
        </w:tc>
        <w:tc>
          <w:tcPr>
            <w:tcW w:w="3325" w:type="dxa"/>
            <w:vAlign w:val="center"/>
          </w:tcPr>
          <w:p>
            <w:pPr>
              <w:spacing w:line="280" w:lineRule="exact"/>
              <w:rPr>
                <w:rFonts w:hAnsi="宋体"/>
                <w:kern w:val="0"/>
                <w:szCs w:val="21"/>
              </w:rPr>
            </w:pPr>
            <w:r>
              <w:rPr>
                <w:rFonts w:hAnsi="宋体"/>
                <w:kern w:val="0"/>
                <w:szCs w:val="21"/>
              </w:rPr>
              <w:t>生活在树洞、石下及房屋壁隙缝中。入夜则外出活动频繁。</w:t>
            </w:r>
          </w:p>
        </w:tc>
        <w:tc>
          <w:tcPr>
            <w:tcW w:w="948" w:type="dxa"/>
          </w:tcPr>
          <w:p>
            <w:pPr>
              <w:spacing w:line="280" w:lineRule="exact"/>
              <w:rPr>
                <w:kern w:val="0"/>
                <w:szCs w:val="21"/>
              </w:rPr>
            </w:pPr>
            <w:r>
              <w:rPr>
                <w:rFonts w:hAnsi="宋体"/>
                <w:kern w:val="0"/>
                <w:szCs w:val="21"/>
              </w:rPr>
              <w:t>东洋种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rFonts w:hAnsi="宋体"/>
                <w:kern w:val="0"/>
                <w:szCs w:val="21"/>
              </w:rPr>
            </w:pPr>
            <w:r>
              <w:rPr>
                <w:rFonts w:hAnsi="宋体"/>
                <w:szCs w:val="21"/>
              </w:rPr>
              <w:t>（</w:t>
            </w:r>
            <w:r>
              <w:rPr>
                <w:rFonts w:hint="eastAsia" w:hAnsi="宋体"/>
                <w:szCs w:val="21"/>
              </w:rPr>
              <w:t>四</w:t>
            </w:r>
            <w:r>
              <w:rPr>
                <w:rFonts w:hAnsi="宋体"/>
                <w:szCs w:val="21"/>
              </w:rPr>
              <w:t>）石龙子科</w:t>
            </w:r>
            <w:r>
              <w:rPr>
                <w:szCs w:val="21"/>
              </w:rPr>
              <w:t>Scincidae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int="eastAsia" w:hAnsi="宋体"/>
                <w:szCs w:val="21"/>
              </w:rPr>
              <w:t>中国</w:t>
            </w:r>
            <w:r>
              <w:rPr>
                <w:rFonts w:hAnsi="宋体"/>
                <w:szCs w:val="21"/>
              </w:rPr>
              <w:t>石龙子</w:t>
            </w:r>
          </w:p>
          <w:p>
            <w:pPr>
              <w:pStyle w:val="162"/>
              <w:spacing w:line="280" w:lineRule="exact"/>
              <w:ind w:firstLine="0" w:firstLineChars="0"/>
              <w:jc w:val="left"/>
              <w:rPr>
                <w:rFonts w:hAnsi="宋体"/>
                <w:szCs w:val="21"/>
              </w:rPr>
            </w:pPr>
            <w:r>
              <w:rPr>
                <w:rFonts w:hAnsi="宋体"/>
                <w:i/>
                <w:szCs w:val="21"/>
              </w:rPr>
              <w:t>Eumeces chinensis</w:t>
            </w:r>
          </w:p>
        </w:tc>
        <w:tc>
          <w:tcPr>
            <w:tcW w:w="3325" w:type="dxa"/>
            <w:vAlign w:val="center"/>
          </w:tcPr>
          <w:p>
            <w:pPr>
              <w:spacing w:line="280" w:lineRule="exact"/>
              <w:rPr>
                <w:rFonts w:hAnsi="宋体"/>
                <w:kern w:val="0"/>
                <w:szCs w:val="21"/>
              </w:rPr>
            </w:pPr>
            <w:r>
              <w:rPr>
                <w:rFonts w:hAnsi="宋体"/>
                <w:kern w:val="0"/>
                <w:szCs w:val="21"/>
              </w:rPr>
              <w:t>栖息于山野树木中、草丛间。</w:t>
            </w:r>
          </w:p>
        </w:tc>
        <w:tc>
          <w:tcPr>
            <w:tcW w:w="948" w:type="dxa"/>
          </w:tcPr>
          <w:p>
            <w:pPr>
              <w:spacing w:line="280" w:lineRule="exact"/>
              <w:rPr>
                <w:rFonts w:hAnsi="宋体"/>
                <w:kern w:val="0"/>
                <w:szCs w:val="21"/>
              </w:rPr>
            </w:pPr>
            <w:r>
              <w:rPr>
                <w:rFonts w:hAnsi="宋体"/>
                <w:kern w:val="0"/>
                <w:szCs w:val="21"/>
              </w:rPr>
              <w:t>东洋种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rFonts w:hAnsi="宋体"/>
                <w:b/>
                <w:kern w:val="0"/>
                <w:szCs w:val="21"/>
              </w:rPr>
            </w:pPr>
            <w:r>
              <w:rPr>
                <w:rFonts w:hAnsi="宋体"/>
                <w:b/>
                <w:kern w:val="0"/>
                <w:szCs w:val="21"/>
              </w:rPr>
              <w:t>蛇亚目Serpentes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jc w:val="left"/>
              <w:rPr>
                <w:kern w:val="0"/>
                <w:szCs w:val="21"/>
              </w:rPr>
            </w:pPr>
            <w:r>
              <w:rPr>
                <w:kern w:val="0"/>
                <w:szCs w:val="21"/>
              </w:rPr>
              <w:t xml:space="preserve"> （</w:t>
            </w:r>
            <w:r>
              <w:rPr>
                <w:rFonts w:hint="eastAsia"/>
                <w:kern w:val="0"/>
                <w:szCs w:val="21"/>
              </w:rPr>
              <w:t>五</w:t>
            </w:r>
            <w:r>
              <w:rPr>
                <w:kern w:val="0"/>
                <w:szCs w:val="21"/>
              </w:rPr>
              <w:t>） 游蛇科Colubridae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赤链蛇</w:t>
            </w:r>
          </w:p>
          <w:p>
            <w:pPr>
              <w:pStyle w:val="162"/>
              <w:spacing w:line="280" w:lineRule="exact"/>
              <w:ind w:firstLine="0" w:firstLineChars="0"/>
              <w:jc w:val="left"/>
              <w:rPr>
                <w:rFonts w:hAnsi="宋体"/>
                <w:i/>
                <w:szCs w:val="21"/>
              </w:rPr>
            </w:pPr>
            <w:r>
              <w:rPr>
                <w:rFonts w:hAnsi="宋体"/>
                <w:i/>
                <w:szCs w:val="21"/>
              </w:rPr>
              <w:t>Dinodon rufozonatum</w:t>
            </w:r>
          </w:p>
        </w:tc>
        <w:tc>
          <w:tcPr>
            <w:tcW w:w="3325" w:type="dxa"/>
            <w:vAlign w:val="center"/>
          </w:tcPr>
          <w:p>
            <w:pPr>
              <w:spacing w:line="280" w:lineRule="exact"/>
              <w:rPr>
                <w:rFonts w:hAnsi="宋体"/>
                <w:kern w:val="0"/>
                <w:szCs w:val="21"/>
              </w:rPr>
            </w:pPr>
            <w:r>
              <w:rPr>
                <w:rFonts w:hAnsi="宋体"/>
                <w:kern w:val="0"/>
                <w:szCs w:val="21"/>
              </w:rPr>
              <w:t>栖于山地森林、平原、水边、墙基和洞穴中。</w:t>
            </w:r>
          </w:p>
        </w:tc>
        <w:tc>
          <w:tcPr>
            <w:tcW w:w="948" w:type="dxa"/>
          </w:tcPr>
          <w:p>
            <w:pPr>
              <w:spacing w:line="280" w:lineRule="exact"/>
              <w:rPr>
                <w:rFonts w:hAnsi="宋体"/>
                <w:kern w:val="0"/>
                <w:szCs w:val="21"/>
              </w:rPr>
            </w:pPr>
            <w:r>
              <w:rPr>
                <w:rFonts w:hAnsi="宋体"/>
                <w:kern w:val="0"/>
                <w:szCs w:val="21"/>
              </w:rPr>
              <w:t>古北种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王锦蛇</w:t>
            </w:r>
          </w:p>
          <w:p>
            <w:pPr>
              <w:pStyle w:val="162"/>
              <w:spacing w:line="280" w:lineRule="exact"/>
              <w:ind w:firstLine="0" w:firstLineChars="0"/>
              <w:jc w:val="left"/>
              <w:rPr>
                <w:rFonts w:hAnsi="宋体"/>
                <w:i/>
                <w:szCs w:val="21"/>
              </w:rPr>
            </w:pPr>
            <w:r>
              <w:rPr>
                <w:rFonts w:hAnsi="宋体"/>
                <w:i/>
                <w:szCs w:val="21"/>
              </w:rPr>
              <w:t>Elaphe carinata</w:t>
            </w:r>
          </w:p>
        </w:tc>
        <w:tc>
          <w:tcPr>
            <w:tcW w:w="3325" w:type="dxa"/>
            <w:vAlign w:val="center"/>
          </w:tcPr>
          <w:p>
            <w:pPr>
              <w:spacing w:line="280" w:lineRule="exact"/>
              <w:rPr>
                <w:rFonts w:hAnsi="宋体"/>
                <w:kern w:val="0"/>
                <w:szCs w:val="21"/>
              </w:rPr>
            </w:pPr>
            <w:r>
              <w:rPr>
                <w:rFonts w:hAnsi="宋体"/>
                <w:kern w:val="0"/>
                <w:szCs w:val="21"/>
              </w:rPr>
              <w:t>栖息于丘陵、山区的树林、灌丛极其附近的农田中</w:t>
            </w:r>
          </w:p>
        </w:tc>
        <w:tc>
          <w:tcPr>
            <w:tcW w:w="948" w:type="dxa"/>
          </w:tcPr>
          <w:p>
            <w:pPr>
              <w:spacing w:line="280" w:lineRule="exact"/>
              <w:rPr>
                <w:rFonts w:hAnsi="宋体"/>
                <w:kern w:val="0"/>
                <w:szCs w:val="21"/>
              </w:rPr>
            </w:pPr>
            <w:r>
              <w:rPr>
                <w:rFonts w:hAnsi="宋体"/>
                <w:kern w:val="0"/>
                <w:szCs w:val="21"/>
              </w:rPr>
              <w:t>广布种</w:t>
            </w:r>
          </w:p>
        </w:tc>
        <w:tc>
          <w:tcPr>
            <w:tcW w:w="816" w:type="dxa"/>
          </w:tcPr>
          <w:p>
            <w:pPr>
              <w:spacing w:line="280" w:lineRule="exact"/>
              <w:jc w:val="center"/>
              <w:rPr>
                <w:kern w:val="0"/>
                <w:szCs w:val="21"/>
              </w:rPr>
            </w:pPr>
            <w:r>
              <w:rPr>
                <w:kern w:val="0"/>
                <w:szCs w:val="21"/>
              </w:rPr>
              <w:t>+++</w:t>
            </w:r>
          </w:p>
        </w:tc>
        <w:tc>
          <w:tcPr>
            <w:tcW w:w="937" w:type="dxa"/>
          </w:tcPr>
          <w:p>
            <w:pPr>
              <w:spacing w:line="280" w:lineRule="exact"/>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红点锦蛇</w:t>
            </w:r>
          </w:p>
          <w:p>
            <w:pPr>
              <w:pStyle w:val="162"/>
              <w:spacing w:line="280" w:lineRule="exact"/>
              <w:ind w:firstLine="0" w:firstLineChars="0"/>
              <w:jc w:val="left"/>
              <w:rPr>
                <w:rFonts w:hAnsi="宋体"/>
                <w:i/>
                <w:szCs w:val="21"/>
              </w:rPr>
            </w:pPr>
            <w:r>
              <w:rPr>
                <w:rFonts w:hAnsi="宋体"/>
                <w:i/>
                <w:szCs w:val="21"/>
              </w:rPr>
              <w:t>E. rufodorsata</w:t>
            </w:r>
          </w:p>
        </w:tc>
        <w:tc>
          <w:tcPr>
            <w:tcW w:w="3325" w:type="dxa"/>
            <w:vAlign w:val="center"/>
          </w:tcPr>
          <w:p>
            <w:pPr>
              <w:spacing w:line="280" w:lineRule="exact"/>
              <w:rPr>
                <w:rFonts w:hAnsi="宋体"/>
                <w:kern w:val="0"/>
                <w:szCs w:val="21"/>
              </w:rPr>
            </w:pPr>
            <w:r>
              <w:rPr>
                <w:rFonts w:ascii="Arial" w:hAnsi="Arial" w:cs="Arial"/>
                <w:color w:val="333333"/>
                <w:szCs w:val="21"/>
              </w:rPr>
              <w:t>半水生性无毒蛇类，常见于河沟、水田、池塘及其附近</w:t>
            </w:r>
            <w:r>
              <w:rPr>
                <w:rFonts w:hAnsi="宋体"/>
                <w:kern w:val="0"/>
                <w:szCs w:val="21"/>
              </w:rPr>
              <w:t>。</w:t>
            </w:r>
          </w:p>
        </w:tc>
        <w:tc>
          <w:tcPr>
            <w:tcW w:w="948" w:type="dxa"/>
          </w:tcPr>
          <w:p>
            <w:pPr>
              <w:spacing w:line="280" w:lineRule="exact"/>
              <w:rPr>
                <w:rFonts w:hAnsi="宋体"/>
                <w:kern w:val="0"/>
                <w:szCs w:val="21"/>
              </w:rPr>
            </w:pPr>
            <w:r>
              <w:rPr>
                <w:rFonts w:hAnsi="宋体"/>
                <w:kern w:val="0"/>
                <w:szCs w:val="21"/>
              </w:rPr>
              <w:t>古北种</w:t>
            </w:r>
          </w:p>
        </w:tc>
        <w:tc>
          <w:tcPr>
            <w:tcW w:w="816" w:type="dxa"/>
          </w:tcPr>
          <w:p>
            <w:pPr>
              <w:spacing w:line="280" w:lineRule="exact"/>
              <w:jc w:val="center"/>
              <w:rPr>
                <w:kern w:val="0"/>
                <w:szCs w:val="21"/>
              </w:rPr>
            </w:pPr>
            <w:r>
              <w:rPr>
                <w:rFonts w:hint="eastAsia"/>
                <w:kern w:val="0"/>
                <w:szCs w:val="21"/>
              </w:rPr>
              <w:t>+</w:t>
            </w:r>
          </w:p>
        </w:tc>
        <w:tc>
          <w:tcPr>
            <w:tcW w:w="937" w:type="dxa"/>
          </w:tcPr>
          <w:p>
            <w:pPr>
              <w:spacing w:line="280" w:lineRule="exact"/>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黑眉锦蛇</w:t>
            </w:r>
          </w:p>
          <w:p>
            <w:pPr>
              <w:pStyle w:val="162"/>
              <w:spacing w:line="280" w:lineRule="exact"/>
              <w:ind w:firstLine="0" w:firstLineChars="0"/>
              <w:jc w:val="left"/>
              <w:rPr>
                <w:rFonts w:hAnsi="宋体"/>
                <w:i/>
                <w:szCs w:val="21"/>
              </w:rPr>
            </w:pPr>
            <w:r>
              <w:rPr>
                <w:rFonts w:hAnsi="宋体"/>
                <w:i/>
                <w:szCs w:val="21"/>
              </w:rPr>
              <w:t>E.</w:t>
            </w:r>
            <w:r>
              <w:rPr>
                <w:rFonts w:hint="eastAsia" w:hAnsi="宋体"/>
                <w:i/>
                <w:szCs w:val="21"/>
              </w:rPr>
              <w:t xml:space="preserve"> </w:t>
            </w:r>
            <w:r>
              <w:rPr>
                <w:rFonts w:hAnsi="宋体"/>
                <w:i/>
                <w:szCs w:val="21"/>
              </w:rPr>
              <w:t>taeniura</w:t>
            </w:r>
          </w:p>
        </w:tc>
        <w:tc>
          <w:tcPr>
            <w:tcW w:w="3325" w:type="dxa"/>
            <w:vAlign w:val="center"/>
          </w:tcPr>
          <w:p>
            <w:pPr>
              <w:spacing w:line="280" w:lineRule="exact"/>
              <w:rPr>
                <w:rFonts w:hAnsi="宋体"/>
                <w:kern w:val="0"/>
                <w:szCs w:val="21"/>
              </w:rPr>
            </w:pPr>
            <w:r>
              <w:rPr>
                <w:rFonts w:hAnsi="宋体"/>
                <w:kern w:val="0"/>
                <w:szCs w:val="21"/>
              </w:rPr>
              <w:t>生活在人类房屋附近，亦在草地田园、丘陵等处活动。</w:t>
            </w:r>
          </w:p>
        </w:tc>
        <w:tc>
          <w:tcPr>
            <w:tcW w:w="948" w:type="dxa"/>
          </w:tcPr>
          <w:p>
            <w:pPr>
              <w:spacing w:line="280" w:lineRule="exact"/>
              <w:rPr>
                <w:rFonts w:hAnsi="宋体"/>
                <w:kern w:val="0"/>
                <w:szCs w:val="21"/>
              </w:rPr>
            </w:pPr>
            <w:r>
              <w:rPr>
                <w:rFonts w:hAnsi="宋体"/>
                <w:kern w:val="0"/>
                <w:szCs w:val="21"/>
              </w:rPr>
              <w:t>广布种</w:t>
            </w:r>
          </w:p>
        </w:tc>
        <w:tc>
          <w:tcPr>
            <w:tcW w:w="816" w:type="dxa"/>
          </w:tcPr>
          <w:p>
            <w:pPr>
              <w:spacing w:line="280" w:lineRule="exact"/>
              <w:jc w:val="center"/>
              <w:rPr>
                <w:kern w:val="0"/>
                <w:szCs w:val="21"/>
              </w:rPr>
            </w:pPr>
            <w:r>
              <w:rPr>
                <w:rFonts w:hint="eastAsia"/>
                <w:kern w:val="0"/>
                <w:szCs w:val="21"/>
              </w:rPr>
              <w:t>+</w:t>
            </w:r>
          </w:p>
        </w:tc>
        <w:tc>
          <w:tcPr>
            <w:tcW w:w="937" w:type="dxa"/>
          </w:tcPr>
          <w:p>
            <w:pPr>
              <w:spacing w:line="280" w:lineRule="exact"/>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96" w:type="dxa"/>
            <w:vAlign w:val="center"/>
          </w:tcPr>
          <w:p>
            <w:pPr>
              <w:pStyle w:val="162"/>
              <w:numPr>
                <w:ilvl w:val="0"/>
                <w:numId w:val="23"/>
              </w:numPr>
              <w:tabs>
                <w:tab w:val="left" w:pos="1162"/>
              </w:tabs>
              <w:spacing w:line="280" w:lineRule="exact"/>
              <w:ind w:firstLine="0" w:firstLineChars="0"/>
              <w:jc w:val="left"/>
              <w:rPr>
                <w:rFonts w:hAnsi="宋体"/>
                <w:szCs w:val="21"/>
              </w:rPr>
            </w:pPr>
            <w:r>
              <w:rPr>
                <w:rFonts w:hAnsi="宋体"/>
                <w:szCs w:val="21"/>
              </w:rPr>
              <w:t>乌梢蛇</w:t>
            </w:r>
            <w:r>
              <w:rPr>
                <w:rFonts w:hAnsi="宋体"/>
                <w:i/>
                <w:szCs w:val="21"/>
              </w:rPr>
              <w:t>Zaocys dhumnades</w:t>
            </w:r>
          </w:p>
        </w:tc>
        <w:tc>
          <w:tcPr>
            <w:tcW w:w="3325" w:type="dxa"/>
            <w:vAlign w:val="center"/>
          </w:tcPr>
          <w:p>
            <w:pPr>
              <w:spacing w:line="280" w:lineRule="exact"/>
              <w:rPr>
                <w:rFonts w:hAnsi="宋体"/>
                <w:kern w:val="0"/>
                <w:szCs w:val="21"/>
              </w:rPr>
            </w:pPr>
            <w:r>
              <w:rPr>
                <w:rFonts w:hAnsi="宋体"/>
                <w:kern w:val="0"/>
                <w:szCs w:val="21"/>
              </w:rPr>
              <w:t>生活在丘陵地带的田野间及路旁草丛或近水边。</w:t>
            </w:r>
          </w:p>
        </w:tc>
        <w:tc>
          <w:tcPr>
            <w:tcW w:w="948" w:type="dxa"/>
          </w:tcPr>
          <w:p>
            <w:pPr>
              <w:spacing w:line="280" w:lineRule="exact"/>
              <w:rPr>
                <w:rFonts w:hAnsi="宋体"/>
                <w:kern w:val="0"/>
                <w:szCs w:val="21"/>
              </w:rPr>
            </w:pPr>
            <w:r>
              <w:rPr>
                <w:rFonts w:hAnsi="宋体"/>
                <w:kern w:val="0"/>
                <w:szCs w:val="21"/>
              </w:rPr>
              <w:t>东洋种</w:t>
            </w:r>
          </w:p>
        </w:tc>
        <w:tc>
          <w:tcPr>
            <w:tcW w:w="816" w:type="dxa"/>
          </w:tcPr>
          <w:p>
            <w:pPr>
              <w:spacing w:line="280" w:lineRule="exact"/>
              <w:jc w:val="center"/>
              <w:rPr>
                <w:kern w:val="0"/>
                <w:szCs w:val="21"/>
              </w:rPr>
            </w:pPr>
            <w:r>
              <w:rPr>
                <w:rFonts w:hint="eastAsia"/>
                <w:kern w:val="0"/>
                <w:szCs w:val="21"/>
              </w:rPr>
              <w:t>++</w:t>
            </w:r>
          </w:p>
        </w:tc>
        <w:tc>
          <w:tcPr>
            <w:tcW w:w="937" w:type="dxa"/>
          </w:tcPr>
          <w:p>
            <w:pPr>
              <w:spacing w:line="280" w:lineRule="exact"/>
              <w:rPr>
                <w:rFonts w:hAnsi="宋体"/>
                <w:kern w:val="0"/>
                <w:szCs w:val="21"/>
              </w:rPr>
            </w:pPr>
            <w:r>
              <w:rPr>
                <w:rFonts w:hAnsi="宋体"/>
                <w:kern w:val="0"/>
                <w:szCs w:val="21"/>
              </w:rPr>
              <w:t>省级</w:t>
            </w:r>
          </w:p>
        </w:tc>
      </w:tr>
    </w:tbl>
    <w:p>
      <w:pPr>
        <w:ind w:firstLine="420"/>
        <w:rPr>
          <w:b/>
          <w:sz w:val="18"/>
          <w:szCs w:val="18"/>
        </w:rPr>
      </w:pPr>
      <w:r>
        <w:rPr>
          <w:rFonts w:hint="eastAsia"/>
          <w:b/>
          <w:sz w:val="18"/>
          <w:szCs w:val="18"/>
          <w:lang w:val="zh-CN"/>
        </w:rPr>
        <w:t>注：分类系统依据</w:t>
      </w:r>
      <w:r>
        <w:rPr>
          <w:rFonts w:hint="eastAsia"/>
          <w:b/>
          <w:sz w:val="18"/>
          <w:szCs w:val="18"/>
        </w:rPr>
        <w:t xml:space="preserve"> </w:t>
      </w:r>
      <w:r>
        <w:rPr>
          <w:b/>
          <w:sz w:val="18"/>
          <w:szCs w:val="18"/>
        </w:rPr>
        <w:t>《中国两栖纲和爬行纲动物校正名录》（赵尔宓,张学文等,2000年）</w:t>
      </w:r>
    </w:p>
    <w:p>
      <w:pPr>
        <w:spacing w:line="360" w:lineRule="auto"/>
        <w:ind w:firstLine="480" w:firstLineChars="200"/>
        <w:rPr>
          <w:sz w:val="24"/>
        </w:rPr>
      </w:pPr>
      <w:r>
        <w:rPr>
          <w:rFonts w:hint="eastAsia"/>
          <w:sz w:val="24"/>
        </w:rPr>
        <w:t>（2）生态类型</w:t>
      </w:r>
    </w:p>
    <w:p>
      <w:pPr>
        <w:widowControl/>
        <w:spacing w:line="360" w:lineRule="auto"/>
        <w:ind w:firstLine="480" w:firstLineChars="200"/>
        <w:textAlignment w:val="baseline"/>
        <w:rPr>
          <w:kern w:val="0"/>
          <w:sz w:val="24"/>
        </w:rPr>
      </w:pPr>
      <w:r>
        <w:rPr>
          <w:kern w:val="0"/>
          <w:sz w:val="24"/>
        </w:rPr>
        <w:t>根据爬行动物生态习性，</w:t>
      </w:r>
      <w:r>
        <w:rPr>
          <w:rFonts w:hint="eastAsia"/>
          <w:kern w:val="0"/>
          <w:sz w:val="24"/>
        </w:rPr>
        <w:t>可</w:t>
      </w:r>
      <w:r>
        <w:rPr>
          <w:kern w:val="0"/>
          <w:sz w:val="24"/>
        </w:rPr>
        <w:t>将评价区内的爬行动物分为</w:t>
      </w:r>
      <w:r>
        <w:rPr>
          <w:rFonts w:hint="eastAsia"/>
          <w:kern w:val="0"/>
          <w:sz w:val="24"/>
        </w:rPr>
        <w:t>以下4</w:t>
      </w:r>
      <w:r>
        <w:rPr>
          <w:kern w:val="0"/>
          <w:sz w:val="24"/>
        </w:rPr>
        <w:t>种生态类型：</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 1 \* GB3</w:instrText>
      </w:r>
      <w:r>
        <w:rPr>
          <w:sz w:val="24"/>
        </w:rPr>
        <w:instrText xml:space="preserve"> </w:instrText>
      </w:r>
      <w:r>
        <w:rPr>
          <w:sz w:val="24"/>
        </w:rPr>
        <w:fldChar w:fldCharType="separate"/>
      </w:r>
      <w:r>
        <w:rPr>
          <w:rFonts w:hint="eastAsia"/>
          <w:sz w:val="24"/>
        </w:rPr>
        <w:t>①</w:t>
      </w:r>
      <w:r>
        <w:rPr>
          <w:sz w:val="24"/>
        </w:rPr>
        <w:fldChar w:fldCharType="end"/>
      </w:r>
      <w:r>
        <w:rPr>
          <w:rFonts w:hint="eastAsia"/>
          <w:sz w:val="24"/>
        </w:rPr>
        <w:t xml:space="preserve"> </w:t>
      </w:r>
      <w:r>
        <w:rPr>
          <w:sz w:val="24"/>
        </w:rPr>
        <w:t>住宅型：多疣壁虎</w:t>
      </w:r>
      <w:r>
        <w:rPr>
          <w:rFonts w:hint="eastAsia"/>
          <w:sz w:val="24"/>
        </w:rPr>
        <w:t>1种，</w:t>
      </w:r>
      <w:r>
        <w:rPr>
          <w:sz w:val="24"/>
        </w:rPr>
        <w:t>主要在评价范围内的住宅区</w:t>
      </w:r>
      <w:r>
        <w:rPr>
          <w:rFonts w:hint="eastAsia"/>
          <w:sz w:val="24"/>
        </w:rPr>
        <w:t>或其周围的灌丛中</w:t>
      </w:r>
      <w:r>
        <w:rPr>
          <w:sz w:val="24"/>
        </w:rPr>
        <w:t>活动</w:t>
      </w:r>
      <w:r>
        <w:rPr>
          <w:rFonts w:hint="eastAsia"/>
          <w:sz w:val="24"/>
        </w:rPr>
        <w:t>，与人类活动关系较为密切</w:t>
      </w:r>
      <w:r>
        <w:rPr>
          <w:sz w:val="24"/>
        </w:rPr>
        <w:t>。</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 2 \* GB3</w:instrText>
      </w:r>
      <w:r>
        <w:rPr>
          <w:sz w:val="24"/>
        </w:rPr>
        <w:instrText xml:space="preserve"> </w:instrText>
      </w:r>
      <w:r>
        <w:rPr>
          <w:sz w:val="24"/>
        </w:rPr>
        <w:fldChar w:fldCharType="separate"/>
      </w:r>
      <w:r>
        <w:rPr>
          <w:rFonts w:hint="eastAsia"/>
          <w:sz w:val="24"/>
        </w:rPr>
        <w:t>②</w:t>
      </w:r>
      <w:r>
        <w:rPr>
          <w:sz w:val="24"/>
        </w:rPr>
        <w:fldChar w:fldCharType="end"/>
      </w:r>
      <w:r>
        <w:rPr>
          <w:rFonts w:hint="eastAsia"/>
          <w:sz w:val="24"/>
        </w:rPr>
        <w:t xml:space="preserve"> </w:t>
      </w:r>
      <w:r>
        <w:rPr>
          <w:sz w:val="24"/>
        </w:rPr>
        <w:t>灌丛石隙型：包括</w:t>
      </w:r>
      <w:r>
        <w:rPr>
          <w:rFonts w:hint="eastAsia"/>
          <w:sz w:val="24"/>
        </w:rPr>
        <w:t>石龙子</w:t>
      </w:r>
      <w:r>
        <w:rPr>
          <w:rFonts w:hint="eastAsia"/>
          <w:iCs/>
          <w:sz w:val="24"/>
        </w:rPr>
        <w:t>、</w:t>
      </w:r>
      <w:r>
        <w:rPr>
          <w:rFonts w:hAnsi="宋体"/>
          <w:kern w:val="0"/>
          <w:sz w:val="24"/>
        </w:rPr>
        <w:t>赤链蛇</w:t>
      </w:r>
      <w:r>
        <w:rPr>
          <w:rFonts w:hint="eastAsia"/>
          <w:kern w:val="0"/>
          <w:sz w:val="24"/>
        </w:rPr>
        <w:t>2</w:t>
      </w:r>
      <w:r>
        <w:rPr>
          <w:rFonts w:hint="eastAsia"/>
          <w:sz w:val="24"/>
        </w:rPr>
        <w:t>种，</w:t>
      </w:r>
      <w:r>
        <w:rPr>
          <w:sz w:val="24"/>
        </w:rPr>
        <w:t>在评价范围内</w:t>
      </w:r>
      <w:r>
        <w:rPr>
          <w:rFonts w:hint="eastAsia"/>
          <w:sz w:val="24"/>
        </w:rPr>
        <w:t>分布较为广泛，主要活动于路旁杂草</w:t>
      </w:r>
      <w:r>
        <w:rPr>
          <w:sz w:val="24"/>
        </w:rPr>
        <w:t>灌丛与人类活动关系较密切。</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 3 \* GB3</w:instrText>
      </w:r>
      <w:r>
        <w:rPr>
          <w:sz w:val="24"/>
        </w:rPr>
        <w:instrText xml:space="preserve"> </w:instrText>
      </w:r>
      <w:r>
        <w:rPr>
          <w:sz w:val="24"/>
        </w:rPr>
        <w:fldChar w:fldCharType="separate"/>
      </w:r>
      <w:r>
        <w:rPr>
          <w:rFonts w:hint="eastAsia"/>
          <w:sz w:val="24"/>
        </w:rPr>
        <w:t>③</w:t>
      </w:r>
      <w:r>
        <w:rPr>
          <w:sz w:val="24"/>
        </w:rPr>
        <w:fldChar w:fldCharType="end"/>
      </w:r>
      <w:r>
        <w:rPr>
          <w:rFonts w:hint="eastAsia"/>
          <w:sz w:val="24"/>
        </w:rPr>
        <w:t xml:space="preserve"> </w:t>
      </w:r>
      <w:r>
        <w:rPr>
          <w:sz w:val="24"/>
        </w:rPr>
        <w:t>水栖型：包括鳖</w:t>
      </w:r>
      <w:r>
        <w:rPr>
          <w:rFonts w:hint="eastAsia"/>
          <w:sz w:val="24"/>
        </w:rPr>
        <w:t>、</w:t>
      </w:r>
      <w:r>
        <w:rPr>
          <w:rFonts w:hint="eastAsia"/>
          <w:kern w:val="0"/>
          <w:sz w:val="24"/>
        </w:rPr>
        <w:t>乌龟2种</w:t>
      </w:r>
      <w:r>
        <w:rPr>
          <w:rFonts w:hint="eastAsia"/>
          <w:sz w:val="24"/>
        </w:rPr>
        <w:t>，</w:t>
      </w:r>
      <w:r>
        <w:rPr>
          <w:sz w:val="24"/>
        </w:rPr>
        <w:t>主要</w:t>
      </w:r>
      <w:r>
        <w:rPr>
          <w:rFonts w:hint="eastAsia"/>
          <w:sz w:val="24"/>
        </w:rPr>
        <w:t>分布于评价区长江沿岸。</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 4 \* GB3</w:instrText>
      </w:r>
      <w:r>
        <w:rPr>
          <w:sz w:val="24"/>
        </w:rPr>
        <w:instrText xml:space="preserve"> </w:instrText>
      </w:r>
      <w:r>
        <w:rPr>
          <w:sz w:val="24"/>
        </w:rPr>
        <w:fldChar w:fldCharType="separate"/>
      </w:r>
      <w:r>
        <w:rPr>
          <w:rFonts w:hint="eastAsia"/>
          <w:sz w:val="24"/>
        </w:rPr>
        <w:t>④</w:t>
      </w:r>
      <w:r>
        <w:rPr>
          <w:sz w:val="24"/>
        </w:rPr>
        <w:fldChar w:fldCharType="end"/>
      </w:r>
      <w:r>
        <w:rPr>
          <w:rFonts w:hint="eastAsia"/>
          <w:sz w:val="24"/>
        </w:rPr>
        <w:t xml:space="preserve"> </w:t>
      </w:r>
      <w:r>
        <w:rPr>
          <w:sz w:val="24"/>
        </w:rPr>
        <w:t>林栖傍水型：</w:t>
      </w:r>
      <w:r>
        <w:rPr>
          <w:rFonts w:hint="eastAsia"/>
          <w:sz w:val="24"/>
        </w:rPr>
        <w:t>包括王锦蛇、红点锦蛇、黑眉</w:t>
      </w:r>
      <w:r>
        <w:rPr>
          <w:sz w:val="24"/>
        </w:rPr>
        <w:t>锦蛇</w:t>
      </w:r>
      <w:r>
        <w:rPr>
          <w:rFonts w:hint="eastAsia"/>
          <w:sz w:val="24"/>
        </w:rPr>
        <w:t>、乌梢蛇4种蛇类，主要分布在评价区靠近水域的灌丛内</w:t>
      </w:r>
      <w:r>
        <w:rPr>
          <w:sz w:val="24"/>
        </w:rPr>
        <w:t>。</w:t>
      </w:r>
    </w:p>
    <w:p>
      <w:pPr>
        <w:spacing w:line="360" w:lineRule="auto"/>
        <w:ind w:firstLine="480" w:firstLineChars="200"/>
        <w:rPr>
          <w:sz w:val="24"/>
        </w:rPr>
      </w:pPr>
      <w:r>
        <w:rPr>
          <w:rFonts w:hint="eastAsia"/>
          <w:sz w:val="24"/>
        </w:rPr>
        <w:t>（3）</w:t>
      </w:r>
      <w:r>
        <w:rPr>
          <w:sz w:val="24"/>
        </w:rPr>
        <w:t>区系类型</w:t>
      </w:r>
    </w:p>
    <w:p>
      <w:pPr>
        <w:spacing w:line="360" w:lineRule="auto"/>
        <w:ind w:firstLine="480" w:firstLineChars="200"/>
        <w:rPr>
          <w:sz w:val="24"/>
        </w:rPr>
      </w:pPr>
      <w:r>
        <w:rPr>
          <w:sz w:val="24"/>
        </w:rPr>
        <w:t>按区系类型分，将以上</w:t>
      </w:r>
      <w:r>
        <w:rPr>
          <w:rFonts w:hint="eastAsia"/>
          <w:sz w:val="24"/>
        </w:rPr>
        <w:t>9</w:t>
      </w:r>
      <w:r>
        <w:rPr>
          <w:sz w:val="24"/>
        </w:rPr>
        <w:t>种两栖类分为3种区系类型：东洋种</w:t>
      </w:r>
      <w:r>
        <w:rPr>
          <w:rFonts w:hint="eastAsia"/>
          <w:sz w:val="24"/>
        </w:rPr>
        <w:t>3</w:t>
      </w:r>
      <w:r>
        <w:rPr>
          <w:sz w:val="24"/>
        </w:rPr>
        <w:t>种，占</w:t>
      </w:r>
      <w:r>
        <w:rPr>
          <w:rFonts w:hint="eastAsia"/>
          <w:sz w:val="24"/>
        </w:rPr>
        <w:t>33.3</w:t>
      </w:r>
      <w:r>
        <w:rPr>
          <w:sz w:val="24"/>
        </w:rPr>
        <w:t>%；广布种</w:t>
      </w:r>
      <w:r>
        <w:rPr>
          <w:rFonts w:hint="eastAsia"/>
          <w:sz w:val="24"/>
        </w:rPr>
        <w:t>4</w:t>
      </w:r>
      <w:r>
        <w:rPr>
          <w:sz w:val="24"/>
        </w:rPr>
        <w:t>种，占</w:t>
      </w:r>
      <w:r>
        <w:rPr>
          <w:rFonts w:hint="eastAsia"/>
          <w:sz w:val="24"/>
        </w:rPr>
        <w:t>44.4</w:t>
      </w:r>
      <w:r>
        <w:rPr>
          <w:sz w:val="24"/>
        </w:rPr>
        <w:t>%；古北种</w:t>
      </w:r>
      <w:r>
        <w:rPr>
          <w:rFonts w:hint="eastAsia"/>
          <w:sz w:val="24"/>
        </w:rPr>
        <w:t>2</w:t>
      </w:r>
      <w:r>
        <w:rPr>
          <w:sz w:val="24"/>
        </w:rPr>
        <w:t>种，占</w:t>
      </w:r>
      <w:r>
        <w:rPr>
          <w:rFonts w:hint="eastAsia"/>
          <w:sz w:val="24"/>
        </w:rPr>
        <w:t>22.2</w:t>
      </w:r>
      <w:r>
        <w:rPr>
          <w:sz w:val="24"/>
        </w:rPr>
        <w:t>%。</w:t>
      </w:r>
    </w:p>
    <w:p>
      <w:pPr>
        <w:spacing w:line="360" w:lineRule="auto"/>
        <w:ind w:firstLine="480" w:firstLineChars="200"/>
        <w:rPr>
          <w:sz w:val="24"/>
        </w:rPr>
      </w:pPr>
      <w:r>
        <w:rPr>
          <w:rFonts w:hint="eastAsia"/>
          <w:sz w:val="24"/>
        </w:rPr>
        <w:t>（4）主要种类介绍</w:t>
      </w:r>
    </w:p>
    <w:p>
      <w:pPr>
        <w:autoSpaceDE w:val="0"/>
        <w:autoSpaceDN w:val="0"/>
        <w:adjustRightInd w:val="0"/>
        <w:spacing w:line="360" w:lineRule="auto"/>
        <w:ind w:firstLine="480" w:firstLineChars="200"/>
        <w:jc w:val="left"/>
        <w:rPr>
          <w:rFonts w:ascii="Arial" w:hAnsi="Arial" w:cs="Arial"/>
          <w:sz w:val="24"/>
        </w:rPr>
      </w:pPr>
      <w:r>
        <w:rPr>
          <w:rFonts w:ascii="Arial" w:hAnsi="Arial" w:cs="Arial"/>
          <w:sz w:val="24"/>
        </w:rPr>
        <w:t>王锦蛇：栖息在山地，平原及丘陵地带，活动于河边、水塘边、库区及其他近水域的地方。在工程评价范围平地有分布，且分布数量多。</w:t>
      </w:r>
    </w:p>
    <w:p>
      <w:pPr>
        <w:autoSpaceDE w:val="0"/>
        <w:autoSpaceDN w:val="0"/>
        <w:adjustRightInd w:val="0"/>
        <w:spacing w:line="360" w:lineRule="auto"/>
        <w:ind w:firstLine="480" w:firstLineChars="200"/>
        <w:jc w:val="left"/>
        <w:rPr>
          <w:rFonts w:ascii="Arial" w:hAnsi="Arial" w:cs="Arial"/>
          <w:sz w:val="24"/>
        </w:rPr>
      </w:pPr>
      <w:r>
        <w:rPr>
          <w:rFonts w:hint="eastAsia" w:ascii="Arial" w:hAnsi="Arial" w:cs="Arial"/>
          <w:sz w:val="24"/>
        </w:rPr>
        <w:t>赤练蛇：栖于山地森林、平原、水边、墙基和洞穴中。评价区分布较为广泛。</w:t>
      </w:r>
    </w:p>
    <w:p>
      <w:pPr>
        <w:widowControl/>
        <w:spacing w:line="360" w:lineRule="auto"/>
        <w:ind w:firstLine="480" w:firstLineChars="200"/>
        <w:textAlignment w:val="baseline"/>
        <w:rPr>
          <w:sz w:val="24"/>
        </w:rPr>
      </w:pPr>
      <w:r>
        <w:rPr>
          <w:rFonts w:ascii="Arial" w:hAnsi="Arial" w:cs="Arial"/>
          <w:sz w:val="24"/>
        </w:rPr>
        <w:t>乌梢蛇</w:t>
      </w:r>
      <w:r>
        <w:rPr>
          <w:rFonts w:ascii="Arial" w:hAnsi="Arial" w:cs="Arial"/>
          <w:bCs/>
          <w:kern w:val="0"/>
          <w:sz w:val="24"/>
          <w:lang w:val="zh-CN"/>
        </w:rPr>
        <w:t>：</w:t>
      </w:r>
      <w:r>
        <w:rPr>
          <w:rFonts w:ascii="Arial" w:hAnsi="Arial" w:cs="Arial"/>
          <w:sz w:val="24"/>
        </w:rPr>
        <w:t>栖息于中低山地带，常在农田、河沟附近，有时也在村落中发现。行动迅速，反应敏捷。性温顺。以</w:t>
      </w:r>
      <w:r>
        <w:fldChar w:fldCharType="begin"/>
      </w:r>
      <w:r>
        <w:instrText xml:space="preserve"> HYPERLINK "http://baike.baidu.com/view/434704.htm" \t "_blank" </w:instrText>
      </w:r>
      <w:r>
        <w:fldChar w:fldCharType="separate"/>
      </w:r>
      <w:r>
        <w:rPr>
          <w:rFonts w:ascii="Arial" w:hAnsi="Arial" w:cs="Arial"/>
          <w:sz w:val="24"/>
        </w:rPr>
        <w:t>蛙类</w:t>
      </w:r>
      <w:r>
        <w:rPr>
          <w:rFonts w:ascii="Arial" w:hAnsi="Arial" w:cs="Arial"/>
          <w:sz w:val="24"/>
        </w:rPr>
        <w:fldChar w:fldCharType="end"/>
      </w:r>
      <w:r>
        <w:rPr>
          <w:rFonts w:ascii="Arial" w:hAnsi="Arial" w:cs="Arial"/>
          <w:sz w:val="24"/>
        </w:rPr>
        <w:t>、</w:t>
      </w:r>
      <w:r>
        <w:fldChar w:fldCharType="begin"/>
      </w:r>
      <w:r>
        <w:instrText xml:space="preserve"> HYPERLINK "http://baike.baidu.com/view/16586.htm" \t "_blank" </w:instrText>
      </w:r>
      <w:r>
        <w:fldChar w:fldCharType="separate"/>
      </w:r>
      <w:r>
        <w:rPr>
          <w:rFonts w:ascii="Arial" w:hAnsi="Arial" w:cs="Arial"/>
          <w:sz w:val="24"/>
        </w:rPr>
        <w:t>蜥蜴</w:t>
      </w:r>
      <w:r>
        <w:rPr>
          <w:rFonts w:ascii="Arial" w:hAnsi="Arial" w:cs="Arial"/>
          <w:sz w:val="24"/>
        </w:rPr>
        <w:fldChar w:fldCharType="end"/>
      </w:r>
      <w:r>
        <w:rPr>
          <w:rFonts w:ascii="Arial" w:hAnsi="Arial" w:cs="Arial"/>
          <w:sz w:val="24"/>
        </w:rPr>
        <w:t>、</w:t>
      </w:r>
      <w:r>
        <w:fldChar w:fldCharType="begin"/>
      </w:r>
      <w:r>
        <w:instrText xml:space="preserve"> HYPERLINK "http://baike.baidu.com/view/27863.htm" \t "_blank" </w:instrText>
      </w:r>
      <w:r>
        <w:fldChar w:fldCharType="separate"/>
      </w:r>
      <w:r>
        <w:rPr>
          <w:rFonts w:ascii="Arial" w:hAnsi="Arial" w:cs="Arial"/>
          <w:sz w:val="24"/>
        </w:rPr>
        <w:t>鱼类</w:t>
      </w:r>
      <w:r>
        <w:rPr>
          <w:rFonts w:ascii="Arial" w:hAnsi="Arial" w:cs="Arial"/>
          <w:sz w:val="24"/>
        </w:rPr>
        <w:fldChar w:fldCharType="end"/>
      </w:r>
      <w:r>
        <w:rPr>
          <w:rFonts w:ascii="Arial" w:hAnsi="Arial" w:cs="Arial"/>
          <w:sz w:val="24"/>
        </w:rPr>
        <w:t>、鼠类等为食。在工程评价范围中平地有分布，且分布数量较多。</w:t>
      </w:r>
    </w:p>
    <w:p>
      <w:pPr>
        <w:spacing w:line="360" w:lineRule="auto"/>
        <w:ind w:firstLine="480" w:firstLineChars="200"/>
        <w:rPr>
          <w:rFonts w:ascii="黑体" w:eastAsia="黑体"/>
          <w:sz w:val="24"/>
        </w:rPr>
      </w:pPr>
      <w:r>
        <w:rPr>
          <w:rFonts w:hint="eastAsia" w:ascii="黑体" w:eastAsia="黑体"/>
          <w:sz w:val="24"/>
        </w:rPr>
        <w:t>（三）鸟类</w:t>
      </w:r>
    </w:p>
    <w:p>
      <w:pPr>
        <w:autoSpaceDE w:val="0"/>
        <w:autoSpaceDN w:val="0"/>
        <w:adjustRightInd w:val="0"/>
        <w:spacing w:line="360" w:lineRule="auto"/>
        <w:ind w:firstLine="480" w:firstLineChars="200"/>
        <w:jc w:val="left"/>
        <w:rPr>
          <w:kern w:val="0"/>
          <w:sz w:val="24"/>
          <w:lang w:val="zh-CN"/>
        </w:rPr>
      </w:pPr>
      <w:r>
        <w:rPr>
          <w:rFonts w:hint="eastAsia"/>
          <w:kern w:val="0"/>
          <w:sz w:val="24"/>
        </w:rPr>
        <w:t>通过对</w:t>
      </w:r>
      <w:r>
        <w:rPr>
          <w:rFonts w:hAnsi="Arial"/>
          <w:kern w:val="0"/>
          <w:sz w:val="24"/>
          <w:lang w:val="zh-CN"/>
        </w:rPr>
        <w:t>评价范围进行</w:t>
      </w:r>
      <w:r>
        <w:rPr>
          <w:rFonts w:hint="eastAsia" w:hAnsi="Arial"/>
          <w:kern w:val="0"/>
          <w:sz w:val="24"/>
          <w:lang w:val="zh-CN"/>
        </w:rPr>
        <w:t>的</w:t>
      </w:r>
      <w:r>
        <w:rPr>
          <w:rFonts w:hAnsi="Arial"/>
          <w:kern w:val="0"/>
          <w:sz w:val="24"/>
          <w:lang w:val="zh-CN"/>
        </w:rPr>
        <w:t>广泛的实地调查和访问调查，并通过查阅相关文献，进行综合判断，得出评价范围内</w:t>
      </w:r>
      <w:r>
        <w:rPr>
          <w:rFonts w:hAnsi="Arial"/>
          <w:bCs/>
          <w:sz w:val="24"/>
        </w:rPr>
        <w:t>鸟类种类、数量及分布</w:t>
      </w:r>
      <w:r>
        <w:rPr>
          <w:rFonts w:hAnsi="Arial"/>
          <w:bCs/>
          <w:kern w:val="0"/>
          <w:sz w:val="24"/>
          <w:lang w:val="zh-CN"/>
        </w:rPr>
        <w:t>现状</w:t>
      </w:r>
      <w:r>
        <w:rPr>
          <w:rFonts w:hAnsi="Arial"/>
          <w:kern w:val="0"/>
          <w:sz w:val="24"/>
          <w:lang w:val="zh-CN"/>
        </w:rPr>
        <w:t>如下：</w:t>
      </w:r>
    </w:p>
    <w:p>
      <w:pPr>
        <w:spacing w:line="360" w:lineRule="auto"/>
        <w:ind w:firstLine="480" w:firstLineChars="200"/>
        <w:rPr>
          <w:kern w:val="0"/>
          <w:sz w:val="24"/>
        </w:rPr>
      </w:pPr>
      <w:r>
        <w:rPr>
          <w:rFonts w:hAnsi="Arial"/>
          <w:sz w:val="24"/>
        </w:rPr>
        <w:t>（</w:t>
      </w:r>
      <w:r>
        <w:rPr>
          <w:sz w:val="24"/>
        </w:rPr>
        <w:t>1</w:t>
      </w:r>
      <w:r>
        <w:rPr>
          <w:rFonts w:hAnsi="Arial"/>
          <w:sz w:val="24"/>
        </w:rPr>
        <w:t>）</w:t>
      </w:r>
      <w:r>
        <w:rPr>
          <w:rFonts w:hAnsi="Arial"/>
          <w:kern w:val="0"/>
          <w:sz w:val="24"/>
          <w:lang w:val="zh-CN"/>
        </w:rPr>
        <w:t>种类、数量及分布</w:t>
      </w:r>
    </w:p>
    <w:p>
      <w:pPr>
        <w:tabs>
          <w:tab w:val="left" w:pos="540"/>
        </w:tabs>
        <w:spacing w:line="360" w:lineRule="auto"/>
        <w:ind w:firstLine="480" w:firstLineChars="200"/>
        <w:rPr>
          <w:sz w:val="24"/>
        </w:rPr>
      </w:pPr>
      <w:r>
        <w:rPr>
          <w:rFonts w:hAnsi="Arial"/>
          <w:kern w:val="0"/>
          <w:sz w:val="24"/>
          <w:lang w:val="zh-CN"/>
        </w:rPr>
        <w:t>评价范围及周边地区鸟类</w:t>
      </w:r>
      <w:r>
        <w:rPr>
          <w:rFonts w:hAnsi="Arial"/>
          <w:kern w:val="0"/>
          <w:sz w:val="24"/>
        </w:rPr>
        <w:t>有</w:t>
      </w:r>
      <w:r>
        <w:rPr>
          <w:rFonts w:hint="eastAsia"/>
          <w:kern w:val="0"/>
          <w:sz w:val="24"/>
        </w:rPr>
        <w:t>21</w:t>
      </w:r>
      <w:r>
        <w:rPr>
          <w:rFonts w:hAnsi="Arial"/>
          <w:kern w:val="0"/>
          <w:sz w:val="24"/>
          <w:lang w:val="zh-CN"/>
        </w:rPr>
        <w:t>种，隶属于</w:t>
      </w:r>
      <w:r>
        <w:rPr>
          <w:rFonts w:hint="eastAsia"/>
          <w:kern w:val="0"/>
          <w:sz w:val="24"/>
        </w:rPr>
        <w:t>9</w:t>
      </w:r>
      <w:r>
        <w:rPr>
          <w:rFonts w:hAnsi="Arial"/>
          <w:kern w:val="0"/>
          <w:sz w:val="24"/>
          <w:lang w:val="zh-CN"/>
        </w:rPr>
        <w:t>目</w:t>
      </w:r>
      <w:r>
        <w:rPr>
          <w:rFonts w:hint="eastAsia"/>
          <w:kern w:val="0"/>
          <w:sz w:val="24"/>
        </w:rPr>
        <w:t>13</w:t>
      </w:r>
      <w:r>
        <w:rPr>
          <w:rFonts w:hAnsi="Arial"/>
          <w:kern w:val="0"/>
          <w:sz w:val="24"/>
          <w:lang w:val="zh-CN"/>
        </w:rPr>
        <w:t>科（名录见表</w:t>
      </w:r>
      <w:r>
        <w:rPr>
          <w:rFonts w:hint="eastAsia"/>
          <w:kern w:val="0"/>
          <w:sz w:val="24"/>
          <w:lang w:val="zh-CN"/>
        </w:rPr>
        <w:t>3.6-6</w:t>
      </w:r>
      <w:r>
        <w:rPr>
          <w:rFonts w:hAnsi="Arial"/>
          <w:kern w:val="0"/>
          <w:sz w:val="24"/>
          <w:lang w:val="zh-CN"/>
        </w:rPr>
        <w:t>）。其中，以雀形目鸟类最多，共</w:t>
      </w:r>
      <w:r>
        <w:rPr>
          <w:rFonts w:hint="eastAsia"/>
          <w:kern w:val="0"/>
          <w:sz w:val="24"/>
        </w:rPr>
        <w:t>8</w:t>
      </w:r>
      <w:r>
        <w:rPr>
          <w:rFonts w:hAnsi="Arial"/>
          <w:kern w:val="0"/>
          <w:sz w:val="24"/>
          <w:lang w:val="zh-CN"/>
        </w:rPr>
        <w:t>种，占</w:t>
      </w:r>
      <w:r>
        <w:rPr>
          <w:rFonts w:hint="eastAsia"/>
          <w:kern w:val="0"/>
          <w:sz w:val="24"/>
          <w:lang w:val="zh-CN"/>
        </w:rPr>
        <w:t>38.1</w:t>
      </w:r>
      <w:r>
        <w:rPr>
          <w:kern w:val="0"/>
          <w:sz w:val="24"/>
          <w:lang w:val="zh-CN"/>
        </w:rPr>
        <w:t>%</w:t>
      </w:r>
      <w:r>
        <w:rPr>
          <w:rFonts w:hAnsi="Arial"/>
          <w:kern w:val="0"/>
          <w:sz w:val="24"/>
          <w:lang w:val="zh-CN"/>
        </w:rPr>
        <w:t>。</w:t>
      </w:r>
      <w:r>
        <w:rPr>
          <w:rFonts w:hint="eastAsia" w:hAnsi="Arial"/>
          <w:kern w:val="0"/>
          <w:sz w:val="24"/>
          <w:lang w:val="zh-CN"/>
        </w:rPr>
        <w:t>无</w:t>
      </w:r>
      <w:r>
        <w:rPr>
          <w:rFonts w:hAnsi="Arial"/>
          <w:kern w:val="0"/>
          <w:sz w:val="24"/>
          <w:lang w:val="zh-CN"/>
        </w:rPr>
        <w:t>国家级保护鸟类</w:t>
      </w:r>
      <w:r>
        <w:rPr>
          <w:rFonts w:hint="eastAsia" w:hAnsi="Arial"/>
          <w:kern w:val="0"/>
          <w:sz w:val="24"/>
          <w:lang w:val="zh-CN"/>
        </w:rPr>
        <w:t>，</w:t>
      </w:r>
      <w:r>
        <w:rPr>
          <w:rFonts w:hAnsi="Arial"/>
          <w:kern w:val="0"/>
          <w:sz w:val="24"/>
          <w:lang w:val="zh-CN"/>
        </w:rPr>
        <w:t>省级保护的种类有</w:t>
      </w:r>
      <w:r>
        <w:rPr>
          <w:rFonts w:hint="eastAsia"/>
          <w:kern w:val="0"/>
          <w:sz w:val="24"/>
          <w:lang w:val="zh-CN"/>
        </w:rPr>
        <w:t>11</w:t>
      </w:r>
      <w:r>
        <w:rPr>
          <w:rFonts w:hAnsi="Arial"/>
          <w:kern w:val="0"/>
          <w:sz w:val="24"/>
          <w:lang w:val="zh-CN"/>
        </w:rPr>
        <w:t>种：</w:t>
      </w:r>
      <w:r>
        <w:rPr>
          <w:rFonts w:hint="eastAsia" w:hAnsi="Arial"/>
          <w:kern w:val="0"/>
          <w:sz w:val="24"/>
          <w:lang w:val="zh-CN"/>
        </w:rPr>
        <w:t>普通鸬鹚、</w:t>
      </w:r>
      <w:r>
        <w:rPr>
          <w:sz w:val="24"/>
        </w:rPr>
        <w:t>白鹭</w:t>
      </w:r>
      <w:r>
        <w:rPr>
          <w:rFonts w:hint="eastAsia"/>
          <w:sz w:val="24"/>
        </w:rPr>
        <w:t>、中白鹭、苍鹭、绿头鸭、环颈雉</w:t>
      </w:r>
      <w:r>
        <w:rPr>
          <w:sz w:val="24"/>
        </w:rPr>
        <w:t>、</w:t>
      </w:r>
      <w:r>
        <w:rPr>
          <w:rFonts w:hint="eastAsia"/>
          <w:sz w:val="24"/>
        </w:rPr>
        <w:t>珠颈斑鸠、</w:t>
      </w:r>
      <w:r>
        <w:rPr>
          <w:sz w:val="24"/>
        </w:rPr>
        <w:t>家燕、大嘴乌鸦、</w:t>
      </w:r>
      <w:r>
        <w:rPr>
          <w:rFonts w:hint="eastAsia"/>
          <w:sz w:val="24"/>
        </w:rPr>
        <w:t>喜鹊、</w:t>
      </w:r>
      <w:r>
        <w:rPr>
          <w:sz w:val="24"/>
        </w:rPr>
        <w:t>画眉</w:t>
      </w:r>
      <w:r>
        <w:rPr>
          <w:rFonts w:hint="eastAsia"/>
          <w:sz w:val="24"/>
        </w:rPr>
        <w:t>。</w:t>
      </w:r>
    </w:p>
    <w:p>
      <w:pPr>
        <w:pStyle w:val="4"/>
        <w:ind w:firstLine="422"/>
        <w:jc w:val="center"/>
        <w:rPr>
          <w:b/>
        </w:rPr>
      </w:pPr>
      <w:r>
        <w:rPr>
          <w:b/>
        </w:rPr>
        <w:t>表</w:t>
      </w:r>
      <w:r>
        <w:rPr>
          <w:rFonts w:hint="eastAsia"/>
          <w:b/>
        </w:rPr>
        <w:t>3.6-6</w:t>
      </w:r>
      <w:r>
        <w:rPr>
          <w:b/>
        </w:rPr>
        <w:t xml:space="preserve"> 评价范围鸟类名录</w:t>
      </w:r>
    </w:p>
    <w:tbl>
      <w:tblPr>
        <w:tblStyle w:val="10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5"/>
        <w:gridCol w:w="1014"/>
        <w:gridCol w:w="3059"/>
        <w:gridCol w:w="900"/>
        <w:gridCol w:w="861"/>
        <w:gridCol w:w="708"/>
        <w:gridCol w:w="7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1255" w:type="dxa"/>
            <w:vAlign w:val="center"/>
          </w:tcPr>
          <w:p>
            <w:pPr>
              <w:spacing w:line="280" w:lineRule="exact"/>
              <w:jc w:val="center"/>
              <w:rPr>
                <w:b/>
                <w:bCs/>
                <w:kern w:val="0"/>
                <w:szCs w:val="21"/>
              </w:rPr>
            </w:pPr>
            <w:r>
              <w:rPr>
                <w:rFonts w:hAnsi="宋体"/>
                <w:b/>
                <w:bCs/>
                <w:kern w:val="0"/>
                <w:szCs w:val="21"/>
              </w:rPr>
              <w:t>中文名</w:t>
            </w:r>
          </w:p>
        </w:tc>
        <w:tc>
          <w:tcPr>
            <w:tcW w:w="1014" w:type="dxa"/>
            <w:vAlign w:val="center"/>
          </w:tcPr>
          <w:p>
            <w:pPr>
              <w:spacing w:line="280" w:lineRule="exact"/>
              <w:jc w:val="center"/>
              <w:rPr>
                <w:b/>
                <w:bCs/>
                <w:kern w:val="0"/>
                <w:szCs w:val="21"/>
              </w:rPr>
            </w:pPr>
            <w:r>
              <w:rPr>
                <w:rFonts w:hAnsi="宋体"/>
                <w:b/>
                <w:bCs/>
                <w:kern w:val="0"/>
                <w:szCs w:val="21"/>
              </w:rPr>
              <w:t>拉丁种名</w:t>
            </w:r>
          </w:p>
        </w:tc>
        <w:tc>
          <w:tcPr>
            <w:tcW w:w="3059" w:type="dxa"/>
            <w:vAlign w:val="center"/>
          </w:tcPr>
          <w:p>
            <w:pPr>
              <w:spacing w:line="280" w:lineRule="exact"/>
              <w:ind w:right="-42" w:rightChars="-20"/>
              <w:jc w:val="center"/>
              <w:rPr>
                <w:b/>
                <w:bCs/>
                <w:kern w:val="0"/>
                <w:szCs w:val="21"/>
              </w:rPr>
            </w:pPr>
            <w:r>
              <w:rPr>
                <w:rFonts w:hAnsi="宋体"/>
                <w:b/>
                <w:kern w:val="0"/>
                <w:szCs w:val="21"/>
              </w:rPr>
              <w:t>生境</w:t>
            </w:r>
          </w:p>
        </w:tc>
        <w:tc>
          <w:tcPr>
            <w:tcW w:w="900" w:type="dxa"/>
            <w:vAlign w:val="center"/>
          </w:tcPr>
          <w:p>
            <w:pPr>
              <w:spacing w:line="280" w:lineRule="exact"/>
              <w:ind w:left="-42" w:leftChars="-20" w:right="-42" w:rightChars="-20"/>
              <w:jc w:val="center"/>
              <w:rPr>
                <w:b/>
                <w:bCs/>
                <w:kern w:val="0"/>
                <w:szCs w:val="21"/>
              </w:rPr>
            </w:pPr>
            <w:r>
              <w:rPr>
                <w:rFonts w:hAnsi="宋体"/>
                <w:b/>
                <w:bCs/>
                <w:kern w:val="0"/>
                <w:szCs w:val="21"/>
              </w:rPr>
              <w:t>居留型</w:t>
            </w:r>
          </w:p>
        </w:tc>
        <w:tc>
          <w:tcPr>
            <w:tcW w:w="861" w:type="dxa"/>
            <w:vAlign w:val="center"/>
          </w:tcPr>
          <w:p>
            <w:pPr>
              <w:spacing w:line="280" w:lineRule="exact"/>
              <w:ind w:left="-42" w:leftChars="-20" w:right="-42" w:rightChars="-20"/>
              <w:jc w:val="center"/>
              <w:rPr>
                <w:b/>
                <w:bCs/>
                <w:kern w:val="0"/>
                <w:szCs w:val="21"/>
              </w:rPr>
            </w:pPr>
            <w:r>
              <w:rPr>
                <w:rFonts w:hAnsi="宋体"/>
                <w:b/>
                <w:bCs/>
                <w:kern w:val="0"/>
                <w:szCs w:val="21"/>
              </w:rPr>
              <w:t>区系</w:t>
            </w:r>
          </w:p>
        </w:tc>
        <w:tc>
          <w:tcPr>
            <w:tcW w:w="708" w:type="dxa"/>
            <w:vAlign w:val="center"/>
          </w:tcPr>
          <w:p>
            <w:pPr>
              <w:spacing w:line="280" w:lineRule="exact"/>
              <w:ind w:right="-42" w:rightChars="-20"/>
              <w:jc w:val="center"/>
              <w:rPr>
                <w:rFonts w:hAnsi="宋体"/>
                <w:b/>
                <w:bCs/>
                <w:kern w:val="0"/>
                <w:szCs w:val="21"/>
              </w:rPr>
            </w:pPr>
            <w:r>
              <w:rPr>
                <w:rFonts w:hAnsi="宋体"/>
                <w:b/>
                <w:bCs/>
                <w:kern w:val="0"/>
                <w:szCs w:val="21"/>
              </w:rPr>
              <w:t>种群</w:t>
            </w:r>
          </w:p>
          <w:p>
            <w:pPr>
              <w:spacing w:line="280" w:lineRule="exact"/>
              <w:ind w:right="-42" w:rightChars="-20"/>
              <w:jc w:val="center"/>
              <w:rPr>
                <w:b/>
                <w:bCs/>
                <w:kern w:val="0"/>
                <w:szCs w:val="21"/>
              </w:rPr>
            </w:pPr>
            <w:r>
              <w:rPr>
                <w:rFonts w:hint="eastAsia" w:hAnsi="宋体"/>
                <w:b/>
                <w:bCs/>
                <w:kern w:val="0"/>
                <w:szCs w:val="21"/>
              </w:rPr>
              <w:t>数量</w:t>
            </w:r>
          </w:p>
        </w:tc>
        <w:tc>
          <w:tcPr>
            <w:tcW w:w="725" w:type="dxa"/>
            <w:vAlign w:val="center"/>
          </w:tcPr>
          <w:p>
            <w:pPr>
              <w:spacing w:line="280" w:lineRule="exact"/>
              <w:ind w:left="-42" w:leftChars="-20" w:right="-42" w:rightChars="-20"/>
              <w:jc w:val="center"/>
              <w:rPr>
                <w:b/>
                <w:bCs/>
                <w:kern w:val="0"/>
                <w:szCs w:val="21"/>
              </w:rPr>
            </w:pPr>
            <w:r>
              <w:rPr>
                <w:rFonts w:hint="eastAsia"/>
                <w:b/>
                <w:bCs/>
                <w:kern w:val="0"/>
                <w:szCs w:val="21"/>
              </w:rPr>
              <w:t>保护</w:t>
            </w:r>
            <w:r>
              <w:rPr>
                <w:rFonts w:hAnsi="宋体"/>
                <w:b/>
                <w:bCs/>
                <w:kern w:val="0"/>
                <w:szCs w:val="21"/>
              </w:rPr>
              <w:t>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ind w:left="35" w:firstLine="0"/>
              <w:jc w:val="left"/>
              <w:rPr>
                <w:rFonts w:hAnsi="宋体"/>
                <w:b/>
                <w:kern w:val="0"/>
                <w:szCs w:val="21"/>
              </w:rPr>
            </w:pPr>
            <w:r>
              <w:rPr>
                <w:rFonts w:hint="eastAsia"/>
                <w:sz w:val="18"/>
              </w:rPr>
              <w:t>鸊鷉目</w:t>
            </w:r>
            <w:r>
              <w:rPr>
                <w:sz w:val="18"/>
              </w:rPr>
              <w:t>PODICIPEDIFORMES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hAnsi="宋体"/>
                <w:b/>
                <w:kern w:val="0"/>
                <w:szCs w:val="21"/>
              </w:rPr>
            </w:pPr>
            <w:r>
              <w:rPr>
                <w:rFonts w:hint="eastAsia"/>
                <w:sz w:val="18"/>
              </w:rPr>
              <w:t>鸊鷉科</w:t>
            </w:r>
            <w:r>
              <w:rPr>
                <w:sz w:val="18"/>
              </w:rPr>
              <w:t xml:space="preserve"> Podicipedidae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小</w:t>
            </w:r>
          </w:p>
          <w:p>
            <w:pPr>
              <w:widowControl/>
              <w:rPr>
                <w:kern w:val="0"/>
                <w:szCs w:val="21"/>
              </w:rPr>
            </w:pPr>
            <w:r>
              <w:rPr>
                <w:i/>
                <w:kern w:val="0"/>
                <w:szCs w:val="21"/>
              </w:rPr>
              <w:t>Podiceps</w:t>
            </w:r>
            <w:r>
              <w:rPr>
                <w:kern w:val="0"/>
                <w:szCs w:val="21"/>
              </w:rPr>
              <w:t xml:space="preserve"> </w:t>
            </w:r>
            <w:r>
              <w:rPr>
                <w:i/>
                <w:kern w:val="0"/>
                <w:szCs w:val="21"/>
              </w:rPr>
              <w:t>ruficollis</w:t>
            </w:r>
          </w:p>
        </w:tc>
        <w:tc>
          <w:tcPr>
            <w:tcW w:w="3059" w:type="dxa"/>
            <w:vAlign w:val="center"/>
          </w:tcPr>
          <w:p>
            <w:pPr>
              <w:widowControl/>
              <w:rPr>
                <w:kern w:val="0"/>
                <w:szCs w:val="21"/>
              </w:rPr>
            </w:pPr>
            <w:r>
              <w:rPr>
                <w:rFonts w:hint="eastAsia"/>
                <w:kern w:val="0"/>
                <w:szCs w:val="21"/>
              </w:rPr>
              <w:t>栖息于有芦苇、水草的湖泊、江河、水库和水塘中。</w:t>
            </w:r>
          </w:p>
        </w:tc>
        <w:tc>
          <w:tcPr>
            <w:tcW w:w="900" w:type="dxa"/>
            <w:vAlign w:val="center"/>
          </w:tcPr>
          <w:p>
            <w:pPr>
              <w:spacing w:line="280" w:lineRule="exact"/>
              <w:ind w:left="-42" w:leftChars="-20" w:right="-42" w:rightChars="-20"/>
              <w:jc w:val="center"/>
              <w:rPr>
                <w:rFonts w:hAnsi="宋体"/>
                <w:bCs/>
                <w:kern w:val="0"/>
                <w:szCs w:val="21"/>
              </w:rPr>
            </w:pPr>
            <w:r>
              <w:rPr>
                <w:rFonts w:hint="eastAsia" w:hAnsi="宋体"/>
                <w:bCs/>
                <w:kern w:val="0"/>
                <w:szCs w:val="21"/>
              </w:rPr>
              <w:t>留鸟</w:t>
            </w:r>
          </w:p>
        </w:tc>
        <w:tc>
          <w:tcPr>
            <w:tcW w:w="861" w:type="dxa"/>
            <w:vAlign w:val="center"/>
          </w:tcPr>
          <w:p>
            <w:pPr>
              <w:spacing w:line="280" w:lineRule="exact"/>
              <w:ind w:left="-42" w:leftChars="-20" w:right="-42" w:rightChars="-20"/>
              <w:jc w:val="center"/>
              <w:rPr>
                <w:rFonts w:hAnsi="宋体"/>
                <w:bCs/>
                <w:kern w:val="0"/>
                <w:szCs w:val="21"/>
              </w:rPr>
            </w:pPr>
            <w:r>
              <w:rPr>
                <w:rFonts w:hint="eastAsia" w:hAnsi="宋体"/>
                <w:bCs/>
                <w:kern w:val="0"/>
                <w:szCs w:val="21"/>
              </w:rPr>
              <w:t>广布种</w:t>
            </w:r>
          </w:p>
        </w:tc>
        <w:tc>
          <w:tcPr>
            <w:tcW w:w="708" w:type="dxa"/>
            <w:vAlign w:val="center"/>
          </w:tcPr>
          <w:p>
            <w:pPr>
              <w:spacing w:line="280" w:lineRule="exact"/>
              <w:ind w:right="-42" w:rightChars="-20"/>
              <w:jc w:val="center"/>
              <w:rPr>
                <w:rFonts w:hAnsi="宋体"/>
                <w:b/>
                <w:bCs/>
                <w:kern w:val="0"/>
                <w:szCs w:val="21"/>
              </w:rPr>
            </w:pPr>
            <w:r>
              <w:rPr>
                <w:rFonts w:hint="eastAsia" w:hAnsi="宋体"/>
                <w:b/>
                <w:bCs/>
                <w:kern w:val="0"/>
                <w:szCs w:val="21"/>
              </w:rPr>
              <w:t>++</w:t>
            </w:r>
          </w:p>
        </w:tc>
        <w:tc>
          <w:tcPr>
            <w:tcW w:w="725" w:type="dxa"/>
            <w:vAlign w:val="center"/>
          </w:tcPr>
          <w:p>
            <w:pPr>
              <w:spacing w:line="280" w:lineRule="exact"/>
              <w:ind w:left="-94" w:leftChars="-45" w:right="-42" w:rightChars="-20"/>
              <w:rPr>
                <w:b/>
                <w:bCs/>
                <w:kern w:val="0"/>
                <w:szCs w:val="21"/>
              </w:rPr>
            </w:pPr>
            <w:r>
              <w:rPr>
                <w:rFonts w:hint="eastAsia" w:hAnsi="宋体"/>
                <w:kern w:val="0"/>
                <w:szCs w:val="21"/>
              </w:rPr>
              <w:t>未流入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ind w:left="35" w:firstLine="0"/>
              <w:jc w:val="left"/>
              <w:rPr>
                <w:kern w:val="0"/>
                <w:szCs w:val="21"/>
              </w:rPr>
            </w:pPr>
            <w:r>
              <w:rPr>
                <w:rFonts w:hint="eastAsia" w:hAnsi="宋体"/>
                <w:b/>
                <w:kern w:val="0"/>
                <w:szCs w:val="21"/>
              </w:rPr>
              <w:t>鹈形目</w:t>
            </w:r>
            <w:r>
              <w:rPr>
                <w:rFonts w:hAnsi="宋体"/>
                <w:b/>
                <w:kern w:val="0"/>
                <w:szCs w:val="21"/>
              </w:rPr>
              <w:t>PELECANIFORMES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kern w:val="0"/>
                <w:szCs w:val="21"/>
              </w:rPr>
            </w:pPr>
            <w:r>
              <w:rPr>
                <w:rFonts w:hint="eastAsia" w:hAnsi="宋体"/>
                <w:kern w:val="0"/>
                <w:szCs w:val="21"/>
              </w:rPr>
              <w:t>鸬鹚科</w:t>
            </w:r>
            <w:r>
              <w:rPr>
                <w:rFonts w:hAnsi="宋体"/>
                <w:kern w:val="0"/>
                <w:szCs w:val="21"/>
              </w:rPr>
              <w:t>Phalacrocoracidae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Ansi="宋体"/>
                <w:szCs w:val="21"/>
              </w:rPr>
              <w:t>[普通]鸬鹚</w:t>
            </w:r>
          </w:p>
          <w:p>
            <w:pPr>
              <w:spacing w:line="280" w:lineRule="exact"/>
              <w:jc w:val="center"/>
              <w:rPr>
                <w:rFonts w:hAnsi="宋体"/>
                <w:b/>
                <w:bCs/>
                <w:kern w:val="0"/>
                <w:szCs w:val="21"/>
              </w:rPr>
            </w:pPr>
            <w:r>
              <w:rPr>
                <w:i/>
                <w:iCs/>
                <w:szCs w:val="21"/>
              </w:rPr>
              <w:t>Phalacrocorax carbo</w:t>
            </w:r>
          </w:p>
        </w:tc>
        <w:tc>
          <w:tcPr>
            <w:tcW w:w="3059" w:type="dxa"/>
            <w:vAlign w:val="center"/>
          </w:tcPr>
          <w:p>
            <w:pPr>
              <w:spacing w:line="280" w:lineRule="exact"/>
              <w:ind w:right="-42" w:rightChars="-20"/>
              <w:jc w:val="center"/>
              <w:rPr>
                <w:rFonts w:hAnsi="宋体"/>
                <w:b/>
                <w:kern w:val="0"/>
                <w:szCs w:val="21"/>
              </w:rPr>
            </w:pPr>
            <w:r>
              <w:rPr>
                <w:rFonts w:ascii="Arial" w:hAnsi="Arial" w:cs="Arial"/>
                <w:color w:val="333333"/>
                <w:szCs w:val="21"/>
              </w:rPr>
              <w:t>栖息于河流、湖泊、池塘、水库、河口及其沼泽地带</w:t>
            </w:r>
          </w:p>
        </w:tc>
        <w:tc>
          <w:tcPr>
            <w:tcW w:w="900" w:type="dxa"/>
            <w:vAlign w:val="center"/>
          </w:tcPr>
          <w:p>
            <w:pPr>
              <w:spacing w:line="280" w:lineRule="exact"/>
              <w:ind w:left="-42" w:leftChars="-20" w:right="-42" w:rightChars="-20"/>
              <w:jc w:val="center"/>
              <w:rPr>
                <w:rFonts w:hAnsi="宋体"/>
                <w:bCs/>
                <w:kern w:val="0"/>
                <w:szCs w:val="21"/>
              </w:rPr>
            </w:pPr>
            <w:r>
              <w:rPr>
                <w:rFonts w:hint="eastAsia" w:hAnsi="宋体"/>
                <w:bCs/>
                <w:kern w:val="0"/>
                <w:szCs w:val="21"/>
              </w:rPr>
              <w:t>留鸟</w:t>
            </w:r>
          </w:p>
        </w:tc>
        <w:tc>
          <w:tcPr>
            <w:tcW w:w="861" w:type="dxa"/>
            <w:vAlign w:val="center"/>
          </w:tcPr>
          <w:p>
            <w:pPr>
              <w:spacing w:line="280" w:lineRule="exact"/>
              <w:ind w:left="-42" w:leftChars="-20" w:right="-42" w:rightChars="-20"/>
              <w:jc w:val="center"/>
              <w:rPr>
                <w:rFonts w:hAnsi="宋体"/>
                <w:bCs/>
                <w:kern w:val="0"/>
                <w:szCs w:val="21"/>
              </w:rPr>
            </w:pPr>
            <w:r>
              <w:rPr>
                <w:rFonts w:hint="eastAsia" w:hAnsi="宋体"/>
                <w:bCs/>
                <w:kern w:val="0"/>
                <w:szCs w:val="21"/>
              </w:rPr>
              <w:t>广布种</w:t>
            </w:r>
          </w:p>
        </w:tc>
        <w:tc>
          <w:tcPr>
            <w:tcW w:w="708" w:type="dxa"/>
            <w:vAlign w:val="center"/>
          </w:tcPr>
          <w:p>
            <w:pPr>
              <w:spacing w:line="280" w:lineRule="exact"/>
              <w:ind w:right="-42" w:rightChars="-20"/>
              <w:jc w:val="center"/>
              <w:rPr>
                <w:rFonts w:hAnsi="宋体"/>
                <w:b/>
                <w:bCs/>
                <w:kern w:val="0"/>
                <w:szCs w:val="21"/>
              </w:rPr>
            </w:pPr>
            <w:r>
              <w:rPr>
                <w:rFonts w:hint="eastAsia" w:hAnsi="宋体"/>
                <w:b/>
                <w:bCs/>
                <w:kern w:val="0"/>
                <w:szCs w:val="21"/>
              </w:rPr>
              <w:t>++</w:t>
            </w:r>
          </w:p>
        </w:tc>
        <w:tc>
          <w:tcPr>
            <w:tcW w:w="725" w:type="dxa"/>
            <w:vAlign w:val="center"/>
          </w:tcPr>
          <w:p>
            <w:pPr>
              <w:spacing w:line="280" w:lineRule="exact"/>
              <w:ind w:left="-42" w:leftChars="-20" w:right="-42" w:rightChars="-20"/>
              <w:jc w:val="center"/>
              <w:rPr>
                <w:b/>
                <w:bCs/>
                <w:kern w:val="0"/>
                <w:szCs w:val="21"/>
              </w:rPr>
            </w:pPr>
            <w:r>
              <w:rPr>
                <w:rFonts w:hint="eastAsia"/>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ind w:left="35" w:firstLine="0"/>
              <w:jc w:val="left"/>
              <w:rPr>
                <w:rFonts w:hAnsi="宋体"/>
                <w:b/>
                <w:kern w:val="0"/>
                <w:szCs w:val="21"/>
              </w:rPr>
            </w:pPr>
            <w:r>
              <w:rPr>
                <w:rFonts w:hAnsi="宋体"/>
                <w:b/>
                <w:kern w:val="0"/>
                <w:szCs w:val="21"/>
              </w:rPr>
              <w:t>鹳形目</w:t>
            </w:r>
            <w:r>
              <w:rPr>
                <w:b/>
                <w:iCs/>
                <w:caps/>
                <w:szCs w:val="21"/>
              </w:rPr>
              <w:t>Ciconidformes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kern w:val="0"/>
                <w:szCs w:val="21"/>
              </w:rPr>
            </w:pPr>
            <w:r>
              <w:rPr>
                <w:rFonts w:hAnsi="宋体"/>
                <w:kern w:val="0"/>
                <w:szCs w:val="21"/>
              </w:rPr>
              <w:t>鹭科</w:t>
            </w:r>
            <w:r>
              <w:rPr>
                <w:kern w:val="0"/>
                <w:szCs w:val="21"/>
              </w:rPr>
              <w:t>Ardeidae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kern w:val="0"/>
                <w:szCs w:val="21"/>
              </w:rPr>
            </w:pPr>
            <w:r>
              <w:rPr>
                <w:rFonts w:hAnsi="宋体"/>
                <w:szCs w:val="21"/>
              </w:rPr>
              <w:t>白鹭</w:t>
            </w:r>
          </w:p>
          <w:p>
            <w:pPr>
              <w:pStyle w:val="162"/>
              <w:spacing w:line="280" w:lineRule="exact"/>
              <w:ind w:firstLine="0" w:firstLineChars="0"/>
              <w:jc w:val="left"/>
              <w:rPr>
                <w:kern w:val="0"/>
                <w:szCs w:val="21"/>
              </w:rPr>
            </w:pPr>
            <w:r>
              <w:rPr>
                <w:i/>
                <w:iCs/>
                <w:szCs w:val="21"/>
              </w:rPr>
              <w:t>Egretta garzetta</w:t>
            </w:r>
          </w:p>
        </w:tc>
        <w:tc>
          <w:tcPr>
            <w:tcW w:w="3059" w:type="dxa"/>
          </w:tcPr>
          <w:p>
            <w:pPr>
              <w:spacing w:line="280" w:lineRule="exact"/>
              <w:ind w:left="-42" w:leftChars="-20" w:right="-42" w:rightChars="-20"/>
              <w:rPr>
                <w:kern w:val="0"/>
                <w:szCs w:val="21"/>
              </w:rPr>
            </w:pPr>
            <w:r>
              <w:rPr>
                <w:rFonts w:hAnsi="宋体"/>
                <w:kern w:val="0"/>
                <w:szCs w:val="21"/>
              </w:rPr>
              <w:t>水田、池塘、江河、湖泊、水库和溪流等处的浅水中。</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夏候鸟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东洋种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42" w:leftChars="-20" w:right="-42" w:rightChars="-20"/>
              <w:rPr>
                <w:kern w:val="0"/>
                <w:szCs w:val="21"/>
              </w:rPr>
            </w:pPr>
            <w:r>
              <w:rPr>
                <w:rFonts w:hint="eastAsia"/>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中白鹭</w:t>
            </w:r>
            <w:r>
              <w:rPr>
                <w:i/>
                <w:szCs w:val="21"/>
              </w:rPr>
              <w:t>E.i.intermedia</w:t>
            </w:r>
          </w:p>
        </w:tc>
        <w:tc>
          <w:tcPr>
            <w:tcW w:w="3059" w:type="dxa"/>
          </w:tcPr>
          <w:p>
            <w:pPr>
              <w:spacing w:line="280" w:lineRule="exact"/>
              <w:ind w:left="-42" w:leftChars="-20" w:right="-42" w:rightChars="-20"/>
              <w:rPr>
                <w:rFonts w:hAnsi="宋体"/>
                <w:kern w:val="0"/>
                <w:szCs w:val="21"/>
              </w:rPr>
            </w:pPr>
            <w:r>
              <w:rPr>
                <w:rFonts w:hint="eastAsia"/>
                <w:sz w:val="18"/>
                <w:szCs w:val="18"/>
              </w:rPr>
              <w:t>生活在</w:t>
            </w:r>
            <w:r>
              <w:rPr>
                <w:sz w:val="18"/>
                <w:szCs w:val="18"/>
              </w:rPr>
              <w:t>溪流、水田、池塘</w:t>
            </w:r>
            <w:r>
              <w:rPr>
                <w:rFonts w:hint="eastAsia"/>
                <w:sz w:val="18"/>
                <w:szCs w:val="18"/>
              </w:rPr>
              <w:t>中</w:t>
            </w:r>
          </w:p>
        </w:tc>
        <w:tc>
          <w:tcPr>
            <w:tcW w:w="900" w:type="dxa"/>
            <w:vAlign w:val="center"/>
          </w:tcPr>
          <w:p>
            <w:pPr>
              <w:spacing w:line="280" w:lineRule="exact"/>
              <w:ind w:left="-42" w:leftChars="-20" w:right="-42" w:rightChars="-20"/>
              <w:rPr>
                <w:rFonts w:hAnsi="宋体"/>
                <w:kern w:val="0"/>
                <w:szCs w:val="21"/>
              </w:rPr>
            </w:pPr>
            <w:r>
              <w:rPr>
                <w:rFonts w:hint="eastAsia" w:hAnsi="宋体"/>
                <w:kern w:val="0"/>
                <w:szCs w:val="21"/>
              </w:rPr>
              <w:t>冬候鸟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广布种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42" w:leftChars="-20" w:right="-42" w:rightChars="-20"/>
              <w:rPr>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 xml:space="preserve">苍鹭          </w:t>
            </w:r>
            <w:r>
              <w:rPr>
                <w:i/>
                <w:kern w:val="0"/>
                <w:szCs w:val="21"/>
              </w:rPr>
              <w:t>Ardea</w:t>
            </w:r>
            <w:r>
              <w:rPr>
                <w:kern w:val="0"/>
                <w:szCs w:val="21"/>
              </w:rPr>
              <w:t xml:space="preserve"> </w:t>
            </w:r>
            <w:r>
              <w:rPr>
                <w:i/>
                <w:kern w:val="0"/>
                <w:szCs w:val="21"/>
              </w:rPr>
              <w:t>cinerea</w:t>
            </w:r>
          </w:p>
        </w:tc>
        <w:tc>
          <w:tcPr>
            <w:tcW w:w="3059" w:type="dxa"/>
          </w:tcPr>
          <w:p>
            <w:pPr>
              <w:spacing w:line="280" w:lineRule="exact"/>
              <w:ind w:left="-42" w:leftChars="-20" w:right="-42" w:rightChars="-20"/>
              <w:rPr>
                <w:rFonts w:hAnsi="宋体"/>
                <w:kern w:val="0"/>
                <w:szCs w:val="21"/>
              </w:rPr>
            </w:pPr>
            <w:r>
              <w:rPr>
                <w:rFonts w:hint="eastAsia"/>
                <w:kern w:val="0"/>
                <w:szCs w:val="21"/>
              </w:rPr>
              <w:t>栖息于沼泽、海滩、江河、湖岸边的浅水处，营群巢。</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int="eastAsia" w:hAnsi="宋体"/>
                <w:kern w:val="0"/>
                <w:szCs w:val="21"/>
              </w:rPr>
              <w:t>东洋种</w:t>
            </w:r>
          </w:p>
        </w:tc>
        <w:tc>
          <w:tcPr>
            <w:tcW w:w="708" w:type="dxa"/>
            <w:vAlign w:val="center"/>
          </w:tcPr>
          <w:p>
            <w:pPr>
              <w:spacing w:line="280" w:lineRule="exact"/>
              <w:ind w:right="-42" w:rightChars="-20"/>
              <w:jc w:val="center"/>
              <w:rPr>
                <w:kern w:val="0"/>
                <w:szCs w:val="21"/>
              </w:rPr>
            </w:pPr>
            <w:r>
              <w:rPr>
                <w:kern w:val="0"/>
                <w:szCs w:val="21"/>
              </w:rPr>
              <w:t>+</w:t>
            </w:r>
            <w:r>
              <w:rPr>
                <w:rFonts w:hint="eastAsia"/>
                <w:kern w:val="0"/>
                <w:szCs w:val="21"/>
              </w:rPr>
              <w:t>++</w:t>
            </w:r>
          </w:p>
        </w:tc>
        <w:tc>
          <w:tcPr>
            <w:tcW w:w="725" w:type="dxa"/>
            <w:vAlign w:val="center"/>
          </w:tcPr>
          <w:p>
            <w:pPr>
              <w:spacing w:line="280" w:lineRule="exact"/>
              <w:ind w:left="-42" w:leftChars="-20" w:right="-42" w:rightChars="-20"/>
              <w:rPr>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草鹭</w:t>
            </w:r>
          </w:p>
          <w:p>
            <w:pPr>
              <w:rPr>
                <w:kern w:val="0"/>
                <w:szCs w:val="21"/>
              </w:rPr>
            </w:pPr>
            <w:r>
              <w:rPr>
                <w:i/>
                <w:kern w:val="0"/>
                <w:szCs w:val="21"/>
              </w:rPr>
              <w:t>Ardea</w:t>
            </w:r>
            <w:r>
              <w:rPr>
                <w:kern w:val="0"/>
                <w:szCs w:val="21"/>
              </w:rPr>
              <w:t xml:space="preserve"> </w:t>
            </w:r>
            <w:r>
              <w:rPr>
                <w:i/>
                <w:kern w:val="0"/>
                <w:szCs w:val="21"/>
              </w:rPr>
              <w:t>purpurea</w:t>
            </w:r>
          </w:p>
        </w:tc>
        <w:tc>
          <w:tcPr>
            <w:tcW w:w="3059" w:type="dxa"/>
            <w:vAlign w:val="center"/>
          </w:tcPr>
          <w:p>
            <w:pPr>
              <w:widowControl/>
              <w:rPr>
                <w:kern w:val="0"/>
                <w:szCs w:val="21"/>
              </w:rPr>
            </w:pPr>
            <w:r>
              <w:rPr>
                <w:rFonts w:hint="eastAsia"/>
                <w:kern w:val="0"/>
                <w:szCs w:val="21"/>
              </w:rPr>
              <w:t>栖息于沼泽、江河、水库等岸边浅水处。</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夏候鸟</w:t>
            </w:r>
          </w:p>
        </w:tc>
        <w:tc>
          <w:tcPr>
            <w:tcW w:w="861" w:type="dxa"/>
            <w:vAlign w:val="center"/>
          </w:tcPr>
          <w:p>
            <w:pPr>
              <w:spacing w:line="280" w:lineRule="exact"/>
              <w:ind w:left="-42" w:leftChars="-20" w:right="-42" w:rightChars="-20"/>
              <w:rPr>
                <w:rFonts w:hAnsi="宋体"/>
                <w:kern w:val="0"/>
                <w:szCs w:val="21"/>
              </w:rPr>
            </w:pPr>
            <w:r>
              <w:rPr>
                <w:rFonts w:hint="eastAsia" w:hAnsi="宋体"/>
                <w:kern w:val="0"/>
                <w:szCs w:val="21"/>
              </w:rPr>
              <w:t>古北种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94" w:leftChars="-45" w:right="-42" w:rightChars="-20"/>
              <w:rPr>
                <w:rFonts w:hAnsi="宋体"/>
                <w:kern w:val="0"/>
                <w:szCs w:val="21"/>
              </w:rPr>
            </w:pPr>
            <w:r>
              <w:rPr>
                <w:rFonts w:hint="eastAsia"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ind w:left="35" w:firstLine="0"/>
              <w:jc w:val="left"/>
              <w:rPr>
                <w:rFonts w:hAnsi="宋体"/>
                <w:kern w:val="0"/>
                <w:szCs w:val="21"/>
              </w:rPr>
            </w:pPr>
            <w:r>
              <w:rPr>
                <w:rFonts w:hint="eastAsia" w:hAnsi="宋体"/>
                <w:b/>
                <w:kern w:val="0"/>
                <w:szCs w:val="21"/>
              </w:rPr>
              <w:t>鹤形目</w:t>
            </w:r>
            <w:r>
              <w:rPr>
                <w:rFonts w:hAnsi="宋体"/>
                <w:b/>
                <w:kern w:val="0"/>
                <w:szCs w:val="21"/>
              </w:rPr>
              <w:t>GRUIFORMES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hAnsi="宋体"/>
                <w:b/>
                <w:kern w:val="0"/>
                <w:szCs w:val="21"/>
              </w:rPr>
            </w:pPr>
            <w:r>
              <w:rPr>
                <w:rFonts w:hint="eastAsia" w:hAnsi="宋体"/>
                <w:kern w:val="0"/>
                <w:szCs w:val="21"/>
              </w:rPr>
              <w:t>秧鸡科</w:t>
            </w:r>
            <w:r>
              <w:rPr>
                <w:rFonts w:hAnsi="宋体"/>
                <w:kern w:val="0"/>
                <w:szCs w:val="21"/>
              </w:rPr>
              <w:t>Rallidae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白胸苦恶鸟</w:t>
            </w:r>
          </w:p>
          <w:p>
            <w:pPr>
              <w:spacing w:line="280" w:lineRule="exact"/>
              <w:ind w:right="-92" w:rightChars="-44"/>
              <w:jc w:val="left"/>
              <w:rPr>
                <w:rFonts w:hAnsi="宋体"/>
                <w:szCs w:val="21"/>
              </w:rPr>
            </w:pPr>
            <w:r>
              <w:rPr>
                <w:i/>
                <w:kern w:val="0"/>
                <w:szCs w:val="21"/>
              </w:rPr>
              <w:t>Amaurornis</w:t>
            </w:r>
            <w:r>
              <w:rPr>
                <w:kern w:val="0"/>
                <w:szCs w:val="21"/>
              </w:rPr>
              <w:t xml:space="preserve"> </w:t>
            </w:r>
            <w:r>
              <w:rPr>
                <w:i/>
                <w:kern w:val="0"/>
                <w:szCs w:val="21"/>
              </w:rPr>
              <w:t>phoeicurus</w:t>
            </w:r>
          </w:p>
        </w:tc>
        <w:tc>
          <w:tcPr>
            <w:tcW w:w="3059" w:type="dxa"/>
            <w:vAlign w:val="center"/>
          </w:tcPr>
          <w:p>
            <w:pPr>
              <w:widowControl/>
              <w:rPr>
                <w:kern w:val="0"/>
                <w:szCs w:val="21"/>
              </w:rPr>
            </w:pPr>
            <w:r>
              <w:rPr>
                <w:rFonts w:hint="eastAsia"/>
                <w:kern w:val="0"/>
                <w:szCs w:val="21"/>
              </w:rPr>
              <w:t>栖于沼泽、池塘、水田、溪边和近水灌丛中</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夏候鸟</w:t>
            </w:r>
          </w:p>
        </w:tc>
        <w:tc>
          <w:tcPr>
            <w:tcW w:w="861" w:type="dxa"/>
            <w:vAlign w:val="center"/>
          </w:tcPr>
          <w:p>
            <w:pPr>
              <w:spacing w:line="280" w:lineRule="exact"/>
              <w:ind w:left="-42" w:leftChars="-20" w:right="-42" w:rightChars="-20"/>
              <w:rPr>
                <w:rFonts w:hAnsi="宋体"/>
                <w:kern w:val="0"/>
                <w:szCs w:val="21"/>
              </w:rPr>
            </w:pPr>
            <w:r>
              <w:rPr>
                <w:rFonts w:hint="eastAsia" w:hAnsi="宋体"/>
                <w:kern w:val="0"/>
                <w:szCs w:val="21"/>
              </w:rPr>
              <w:t>古北种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94" w:leftChars="-45" w:right="-42" w:rightChars="-20"/>
              <w:rPr>
                <w:rFonts w:hAnsi="宋体"/>
                <w:kern w:val="0"/>
                <w:szCs w:val="21"/>
              </w:rPr>
            </w:pPr>
            <w:r>
              <w:rPr>
                <w:rFonts w:hint="eastAsia"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ind w:left="35" w:firstLine="0"/>
              <w:jc w:val="left"/>
              <w:rPr>
                <w:rFonts w:hAnsi="宋体"/>
                <w:kern w:val="0"/>
                <w:szCs w:val="21"/>
              </w:rPr>
            </w:pPr>
            <w:r>
              <w:rPr>
                <w:rFonts w:hint="eastAsia" w:hAnsi="宋体"/>
                <w:b/>
                <w:kern w:val="0"/>
                <w:szCs w:val="21"/>
              </w:rPr>
              <w:t>雁形目</w:t>
            </w:r>
            <w:r>
              <w:rPr>
                <w:rFonts w:cs="宋体-方正超大字符集"/>
                <w:b/>
                <w:kern w:val="0"/>
                <w:szCs w:val="21"/>
              </w:rPr>
              <w:t>ANSERIFORMES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cs="宋体-方正超大字符集"/>
                <w:b/>
                <w:kern w:val="0"/>
                <w:szCs w:val="21"/>
              </w:rPr>
            </w:pPr>
            <w:r>
              <w:rPr>
                <w:rFonts w:hint="eastAsia" w:hAnsi="宋体"/>
                <w:kern w:val="0"/>
                <w:szCs w:val="21"/>
              </w:rPr>
              <w:t>鸭科</w:t>
            </w:r>
            <w:r>
              <w:rPr>
                <w:rFonts w:hAnsi="宋体"/>
                <w:kern w:val="0"/>
                <w:szCs w:val="21"/>
              </w:rPr>
              <w:t>Anatidae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 xml:space="preserve">绿头鸭     </w:t>
            </w:r>
            <w:r>
              <w:rPr>
                <w:i/>
                <w:kern w:val="0"/>
                <w:szCs w:val="21"/>
              </w:rPr>
              <w:t>Anas</w:t>
            </w:r>
            <w:r>
              <w:rPr>
                <w:kern w:val="0"/>
                <w:szCs w:val="21"/>
              </w:rPr>
              <w:t xml:space="preserve"> </w:t>
            </w:r>
            <w:r>
              <w:rPr>
                <w:i/>
                <w:kern w:val="0"/>
                <w:szCs w:val="21"/>
              </w:rPr>
              <w:t>platyrhynchos</w:t>
            </w:r>
          </w:p>
        </w:tc>
        <w:tc>
          <w:tcPr>
            <w:tcW w:w="3059" w:type="dxa"/>
            <w:vAlign w:val="center"/>
          </w:tcPr>
          <w:p>
            <w:pPr>
              <w:widowControl/>
              <w:rPr>
                <w:kern w:val="0"/>
                <w:szCs w:val="21"/>
              </w:rPr>
            </w:pPr>
            <w:r>
              <w:rPr>
                <w:rFonts w:hint="eastAsia"/>
                <w:kern w:val="0"/>
                <w:szCs w:val="21"/>
              </w:rPr>
              <w:t>栖息于湖泊、河流、吃糖、沼泽等水域。</w:t>
            </w:r>
          </w:p>
        </w:tc>
        <w:tc>
          <w:tcPr>
            <w:tcW w:w="900" w:type="dxa"/>
            <w:vAlign w:val="center"/>
          </w:tcPr>
          <w:p>
            <w:pPr>
              <w:widowControl/>
              <w:rPr>
                <w:kern w:val="0"/>
                <w:szCs w:val="21"/>
              </w:rPr>
            </w:pPr>
            <w:r>
              <w:rPr>
                <w:rFonts w:hint="eastAsia"/>
                <w:kern w:val="0"/>
                <w:szCs w:val="21"/>
              </w:rPr>
              <w:t>冬侯鸟</w:t>
            </w:r>
          </w:p>
        </w:tc>
        <w:tc>
          <w:tcPr>
            <w:tcW w:w="861" w:type="dxa"/>
            <w:vAlign w:val="center"/>
          </w:tcPr>
          <w:p>
            <w:pPr>
              <w:widowControl/>
              <w:rPr>
                <w:kern w:val="0"/>
                <w:szCs w:val="21"/>
              </w:rPr>
            </w:pPr>
            <w:r>
              <w:rPr>
                <w:rFonts w:hint="eastAsia"/>
                <w:kern w:val="0"/>
                <w:szCs w:val="21"/>
              </w:rPr>
              <w:t>古北种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42" w:leftChars="-20"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kern w:val="0"/>
                <w:szCs w:val="21"/>
              </w:rPr>
            </w:pPr>
            <w:r>
              <w:rPr>
                <w:rFonts w:hint="eastAsia"/>
                <w:kern w:val="0"/>
                <w:szCs w:val="21"/>
              </w:rPr>
              <w:t>绿翅鸭</w:t>
            </w:r>
          </w:p>
          <w:p>
            <w:pPr>
              <w:pStyle w:val="162"/>
              <w:spacing w:line="280" w:lineRule="exact"/>
              <w:ind w:firstLine="0" w:firstLineChars="0"/>
              <w:jc w:val="left"/>
              <w:rPr>
                <w:rFonts w:hAnsi="宋体"/>
                <w:szCs w:val="21"/>
              </w:rPr>
            </w:pPr>
            <w:r>
              <w:rPr>
                <w:i/>
                <w:kern w:val="0"/>
                <w:szCs w:val="21"/>
              </w:rPr>
              <w:t>Anas</w:t>
            </w:r>
            <w:r>
              <w:rPr>
                <w:kern w:val="0"/>
                <w:szCs w:val="21"/>
              </w:rPr>
              <w:t xml:space="preserve"> </w:t>
            </w:r>
            <w:r>
              <w:rPr>
                <w:i/>
                <w:kern w:val="0"/>
                <w:szCs w:val="21"/>
              </w:rPr>
              <w:t>creca</w:t>
            </w:r>
          </w:p>
        </w:tc>
        <w:tc>
          <w:tcPr>
            <w:tcW w:w="3059" w:type="dxa"/>
            <w:vAlign w:val="center"/>
          </w:tcPr>
          <w:p>
            <w:pPr>
              <w:widowControl/>
              <w:rPr>
                <w:kern w:val="0"/>
                <w:szCs w:val="21"/>
              </w:rPr>
            </w:pPr>
            <w:r>
              <w:rPr>
                <w:rFonts w:hint="eastAsia"/>
                <w:kern w:val="0"/>
                <w:szCs w:val="21"/>
              </w:rPr>
              <w:t>栖息于江河、湖泊、沼泽地带。</w:t>
            </w:r>
          </w:p>
        </w:tc>
        <w:tc>
          <w:tcPr>
            <w:tcW w:w="900" w:type="dxa"/>
            <w:vAlign w:val="center"/>
          </w:tcPr>
          <w:p>
            <w:pPr>
              <w:widowControl/>
              <w:rPr>
                <w:kern w:val="0"/>
                <w:szCs w:val="21"/>
              </w:rPr>
            </w:pPr>
            <w:r>
              <w:rPr>
                <w:rFonts w:hint="eastAsia"/>
                <w:kern w:val="0"/>
                <w:szCs w:val="21"/>
              </w:rPr>
              <w:t>冬侯鸟</w:t>
            </w:r>
          </w:p>
        </w:tc>
        <w:tc>
          <w:tcPr>
            <w:tcW w:w="861" w:type="dxa"/>
            <w:vAlign w:val="center"/>
          </w:tcPr>
          <w:p>
            <w:pPr>
              <w:widowControl/>
              <w:rPr>
                <w:kern w:val="0"/>
                <w:szCs w:val="21"/>
              </w:rPr>
            </w:pPr>
            <w:r>
              <w:rPr>
                <w:rFonts w:hint="eastAsia"/>
                <w:kern w:val="0"/>
                <w:szCs w:val="21"/>
              </w:rPr>
              <w:t>古北种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94" w:leftChars="-45" w:right="-42" w:rightChars="-20"/>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kern w:val="0"/>
                <w:szCs w:val="21"/>
              </w:rPr>
            </w:pPr>
            <w:r>
              <w:rPr>
                <w:rFonts w:hint="eastAsia"/>
                <w:kern w:val="0"/>
                <w:szCs w:val="21"/>
              </w:rPr>
              <w:t>斑嘴鸭</w:t>
            </w:r>
          </w:p>
          <w:p>
            <w:pPr>
              <w:rPr>
                <w:kern w:val="0"/>
                <w:szCs w:val="21"/>
              </w:rPr>
            </w:pPr>
            <w:r>
              <w:rPr>
                <w:i/>
                <w:kern w:val="0"/>
                <w:szCs w:val="21"/>
              </w:rPr>
              <w:t>Anas</w:t>
            </w:r>
            <w:r>
              <w:rPr>
                <w:kern w:val="0"/>
                <w:szCs w:val="21"/>
              </w:rPr>
              <w:t xml:space="preserve"> </w:t>
            </w:r>
            <w:r>
              <w:rPr>
                <w:i/>
                <w:kern w:val="0"/>
                <w:szCs w:val="21"/>
              </w:rPr>
              <w:t>poecilorhyncha</w:t>
            </w:r>
          </w:p>
        </w:tc>
        <w:tc>
          <w:tcPr>
            <w:tcW w:w="3059" w:type="dxa"/>
            <w:vAlign w:val="center"/>
          </w:tcPr>
          <w:p>
            <w:pPr>
              <w:widowControl/>
              <w:rPr>
                <w:kern w:val="0"/>
                <w:szCs w:val="21"/>
              </w:rPr>
            </w:pPr>
            <w:r>
              <w:rPr>
                <w:rFonts w:hint="eastAsia"/>
                <w:kern w:val="0"/>
                <w:szCs w:val="21"/>
              </w:rPr>
              <w:t>栖息于江河、湖泊、沙洲和沼泽地带。</w:t>
            </w:r>
          </w:p>
        </w:tc>
        <w:tc>
          <w:tcPr>
            <w:tcW w:w="900" w:type="dxa"/>
            <w:vAlign w:val="center"/>
          </w:tcPr>
          <w:p>
            <w:pPr>
              <w:widowControl/>
              <w:rPr>
                <w:kern w:val="0"/>
                <w:szCs w:val="21"/>
              </w:rPr>
            </w:pPr>
            <w:r>
              <w:rPr>
                <w:rFonts w:hAnsi="宋体"/>
                <w:kern w:val="0"/>
                <w:szCs w:val="21"/>
              </w:rPr>
              <w:t>夏候鸟</w:t>
            </w:r>
          </w:p>
        </w:tc>
        <w:tc>
          <w:tcPr>
            <w:tcW w:w="861" w:type="dxa"/>
            <w:vAlign w:val="center"/>
          </w:tcPr>
          <w:p>
            <w:pPr>
              <w:widowControl/>
              <w:rPr>
                <w:kern w:val="0"/>
                <w:szCs w:val="21"/>
              </w:rPr>
            </w:pPr>
            <w:r>
              <w:rPr>
                <w:rFonts w:hint="eastAsia"/>
                <w:kern w:val="0"/>
                <w:szCs w:val="21"/>
              </w:rPr>
              <w:t>东洋种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left="-94" w:leftChars="-45" w:right="-42" w:rightChars="-20"/>
              <w:rPr>
                <w:rFonts w:hAnsi="宋体"/>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jc w:val="left"/>
              <w:rPr>
                <w:b/>
                <w:kern w:val="0"/>
                <w:szCs w:val="21"/>
              </w:rPr>
            </w:pPr>
            <w:r>
              <w:rPr>
                <w:rFonts w:hAnsi="宋体"/>
                <w:b/>
                <w:szCs w:val="21"/>
              </w:rPr>
              <w:t>鸡形目</w:t>
            </w:r>
            <w:r>
              <w:rPr>
                <w:b/>
                <w:szCs w:val="21"/>
              </w:rPr>
              <w:t>GALLIFORMES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kern w:val="0"/>
                <w:szCs w:val="21"/>
              </w:rPr>
            </w:pPr>
            <w:r>
              <w:rPr>
                <w:rFonts w:hAnsi="宋体"/>
                <w:szCs w:val="21"/>
              </w:rPr>
              <w:t>雉科</w:t>
            </w:r>
            <w:r>
              <w:rPr>
                <w:kern w:val="0"/>
                <w:szCs w:val="21"/>
              </w:rPr>
              <w:t>Phasianidae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kern w:val="0"/>
                <w:szCs w:val="21"/>
              </w:rPr>
            </w:pPr>
            <w:r>
              <w:rPr>
                <w:szCs w:val="21"/>
              </w:rPr>
              <w:t>环颈雉</w:t>
            </w:r>
            <w:r>
              <w:rPr>
                <w:i/>
                <w:szCs w:val="21"/>
              </w:rPr>
              <w:t>Phasianus colchicus</w:t>
            </w:r>
          </w:p>
        </w:tc>
        <w:tc>
          <w:tcPr>
            <w:tcW w:w="3059" w:type="dxa"/>
          </w:tcPr>
          <w:p>
            <w:pPr>
              <w:spacing w:line="280" w:lineRule="exact"/>
              <w:ind w:right="-42" w:rightChars="-20"/>
              <w:rPr>
                <w:rFonts w:hAnsi="宋体"/>
                <w:kern w:val="0"/>
                <w:szCs w:val="21"/>
              </w:rPr>
            </w:pPr>
            <w:r>
              <w:rPr>
                <w:sz w:val="18"/>
                <w:szCs w:val="18"/>
              </w:rPr>
              <w:t>灌草丛、竹林、旱地</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广布种</w:t>
            </w:r>
          </w:p>
        </w:tc>
        <w:tc>
          <w:tcPr>
            <w:tcW w:w="708" w:type="dxa"/>
            <w:vAlign w:val="center"/>
          </w:tcPr>
          <w:p>
            <w:pPr>
              <w:spacing w:line="280" w:lineRule="exact"/>
              <w:ind w:right="-42" w:rightChars="-20"/>
              <w:jc w:val="center"/>
              <w:rPr>
                <w:kern w:val="0"/>
                <w:szCs w:val="21"/>
              </w:rPr>
            </w:pPr>
            <w:r>
              <w:rPr>
                <w:kern w:val="0"/>
                <w:szCs w:val="21"/>
              </w:rPr>
              <w:t>+</w:t>
            </w:r>
          </w:p>
        </w:tc>
        <w:tc>
          <w:tcPr>
            <w:tcW w:w="725" w:type="dxa"/>
            <w:vAlign w:val="center"/>
          </w:tcPr>
          <w:p>
            <w:pPr>
              <w:spacing w:line="280" w:lineRule="exact"/>
              <w:ind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jc w:val="left"/>
              <w:rPr>
                <w:rFonts w:hAnsi="宋体"/>
                <w:kern w:val="0"/>
                <w:szCs w:val="21"/>
              </w:rPr>
            </w:pPr>
            <w:r>
              <w:rPr>
                <w:rFonts w:hint="eastAsia" w:cs="宋体-方正超大字符集"/>
                <w:b/>
                <w:kern w:val="0"/>
                <w:szCs w:val="21"/>
              </w:rPr>
              <w:t>鸻形目</w:t>
            </w:r>
            <w:r>
              <w:rPr>
                <w:rFonts w:cs="宋体-方正超大字符集"/>
                <w:b/>
                <w:kern w:val="0"/>
                <w:szCs w:val="21"/>
              </w:rPr>
              <w:t>CHARADRIIFORMES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cs="宋体-方正超大字符集"/>
                <w:b/>
                <w:kern w:val="0"/>
                <w:szCs w:val="21"/>
              </w:rPr>
            </w:pPr>
            <w:r>
              <w:rPr>
                <w:rFonts w:hint="eastAsia" w:cs="宋体-方正超大字符集"/>
                <w:kern w:val="0"/>
                <w:szCs w:val="21"/>
              </w:rPr>
              <w:t>燕鸥科</w:t>
            </w:r>
            <w:r>
              <w:rPr>
                <w:rFonts w:cs="宋体-方正超大字符集"/>
                <w:kern w:val="0"/>
                <w:szCs w:val="21"/>
              </w:rPr>
              <w:t>Sternidae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int="eastAsia"/>
                <w:szCs w:val="21"/>
              </w:rPr>
              <w:t>灰翅浮鸥</w:t>
            </w:r>
          </w:p>
          <w:p>
            <w:pPr>
              <w:pStyle w:val="162"/>
              <w:spacing w:line="280" w:lineRule="exact"/>
              <w:ind w:firstLine="0" w:firstLineChars="0"/>
              <w:jc w:val="left"/>
              <w:rPr>
                <w:szCs w:val="21"/>
              </w:rPr>
            </w:pPr>
            <w:r>
              <w:rPr>
                <w:i/>
                <w:kern w:val="0"/>
                <w:szCs w:val="21"/>
              </w:rPr>
              <w:t>Chlidonias</w:t>
            </w:r>
            <w:r>
              <w:rPr>
                <w:kern w:val="0"/>
                <w:szCs w:val="21"/>
              </w:rPr>
              <w:t xml:space="preserve"> </w:t>
            </w:r>
            <w:r>
              <w:rPr>
                <w:i/>
                <w:kern w:val="0"/>
                <w:szCs w:val="21"/>
              </w:rPr>
              <w:t>hybrida</w:t>
            </w:r>
          </w:p>
        </w:tc>
        <w:tc>
          <w:tcPr>
            <w:tcW w:w="3059" w:type="dxa"/>
            <w:vAlign w:val="center"/>
          </w:tcPr>
          <w:p>
            <w:pPr>
              <w:widowControl/>
              <w:rPr>
                <w:kern w:val="0"/>
                <w:szCs w:val="21"/>
              </w:rPr>
            </w:pPr>
            <w:r>
              <w:rPr>
                <w:rFonts w:hint="eastAsia"/>
                <w:kern w:val="0"/>
                <w:szCs w:val="21"/>
              </w:rPr>
              <w:t>栖息于沼泽湿地、河湖岸边及水田。</w:t>
            </w:r>
          </w:p>
        </w:tc>
        <w:tc>
          <w:tcPr>
            <w:tcW w:w="900" w:type="dxa"/>
            <w:vAlign w:val="center"/>
          </w:tcPr>
          <w:p>
            <w:pPr>
              <w:widowControl/>
              <w:rPr>
                <w:kern w:val="0"/>
                <w:szCs w:val="21"/>
              </w:rPr>
            </w:pPr>
            <w:r>
              <w:rPr>
                <w:rFonts w:hint="eastAsia"/>
                <w:kern w:val="0"/>
                <w:szCs w:val="21"/>
              </w:rPr>
              <w:t>夏候鸟</w:t>
            </w:r>
          </w:p>
        </w:tc>
        <w:tc>
          <w:tcPr>
            <w:tcW w:w="861" w:type="dxa"/>
            <w:vAlign w:val="center"/>
          </w:tcPr>
          <w:p>
            <w:pPr>
              <w:widowControl/>
              <w:rPr>
                <w:kern w:val="0"/>
                <w:szCs w:val="21"/>
              </w:rPr>
            </w:pPr>
            <w:r>
              <w:rPr>
                <w:rFonts w:hint="eastAsia"/>
                <w:kern w:val="0"/>
                <w:szCs w:val="21"/>
              </w:rPr>
              <w:t>广布种</w:t>
            </w:r>
          </w:p>
        </w:tc>
        <w:tc>
          <w:tcPr>
            <w:tcW w:w="708" w:type="dxa"/>
            <w:vAlign w:val="center"/>
          </w:tcPr>
          <w:p>
            <w:pPr>
              <w:widowControl/>
              <w:rPr>
                <w:kern w:val="0"/>
                <w:szCs w:val="21"/>
              </w:rPr>
            </w:pPr>
            <w:r>
              <w:rPr>
                <w:kern w:val="0"/>
                <w:szCs w:val="21"/>
              </w:rPr>
              <w:t>+</w:t>
            </w:r>
            <w:r>
              <w:rPr>
                <w:rFonts w:hint="eastAsia"/>
                <w:kern w:val="0"/>
                <w:szCs w:val="21"/>
              </w:rPr>
              <w:t>+</w:t>
            </w:r>
            <w:r>
              <w:rPr>
                <w:kern w:val="0"/>
                <w:szCs w:val="21"/>
              </w:rPr>
              <w:t xml:space="preserve"> </w:t>
            </w:r>
          </w:p>
        </w:tc>
        <w:tc>
          <w:tcPr>
            <w:tcW w:w="725" w:type="dxa"/>
            <w:vAlign w:val="center"/>
          </w:tcPr>
          <w:p>
            <w:pPr>
              <w:spacing w:line="280" w:lineRule="exact"/>
              <w:ind w:left="-94" w:leftChars="-45" w:right="-42" w:rightChars="-20"/>
              <w:rPr>
                <w:rFonts w:hAnsi="宋体"/>
                <w:kern w:val="0"/>
                <w:szCs w:val="21"/>
              </w:rPr>
            </w:pPr>
            <w:r>
              <w:rPr>
                <w:rFonts w:hint="eastAsia"/>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jc w:val="left"/>
              <w:rPr>
                <w:b/>
                <w:szCs w:val="21"/>
              </w:rPr>
            </w:pPr>
            <w:r>
              <w:rPr>
                <w:rFonts w:hAnsi="宋体"/>
                <w:b/>
                <w:szCs w:val="21"/>
              </w:rPr>
              <w:t>鸽形目</w:t>
            </w:r>
            <w:r>
              <w:rPr>
                <w:b/>
                <w:szCs w:val="21"/>
              </w:rPr>
              <w:t>COLUMBIFORMES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szCs w:val="21"/>
              </w:rPr>
            </w:pPr>
            <w:r>
              <w:rPr>
                <w:rFonts w:hAnsi="宋体"/>
                <w:szCs w:val="21"/>
              </w:rPr>
              <w:t>鸠鸽科</w:t>
            </w:r>
            <w:r>
              <w:rPr>
                <w:szCs w:val="21"/>
              </w:rPr>
              <w:t>Columbidae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int="eastAsia"/>
                <w:szCs w:val="21"/>
              </w:rPr>
              <w:t>珠颈斑鸠</w:t>
            </w:r>
          </w:p>
          <w:p>
            <w:pPr>
              <w:spacing w:line="280" w:lineRule="exact"/>
              <w:jc w:val="left"/>
              <w:rPr>
                <w:szCs w:val="21"/>
              </w:rPr>
            </w:pPr>
            <w:r>
              <w:rPr>
                <w:i/>
                <w:iCs/>
                <w:szCs w:val="21"/>
              </w:rPr>
              <w:t>S</w:t>
            </w:r>
            <w:r>
              <w:rPr>
                <w:rFonts w:hint="eastAsia"/>
                <w:i/>
                <w:iCs/>
                <w:szCs w:val="21"/>
              </w:rPr>
              <w:t>.</w:t>
            </w:r>
            <w:r>
              <w:rPr>
                <w:i/>
                <w:iCs/>
                <w:szCs w:val="21"/>
              </w:rPr>
              <w:t xml:space="preserve"> chinensis</w:t>
            </w:r>
          </w:p>
        </w:tc>
        <w:tc>
          <w:tcPr>
            <w:tcW w:w="3059" w:type="dxa"/>
          </w:tcPr>
          <w:p>
            <w:pPr>
              <w:spacing w:line="280" w:lineRule="exact"/>
              <w:ind w:right="-42" w:rightChars="-20"/>
              <w:rPr>
                <w:rFonts w:hAnsi="宋体"/>
                <w:kern w:val="0"/>
                <w:szCs w:val="21"/>
              </w:rPr>
            </w:pPr>
            <w:r>
              <w:rPr>
                <w:rFonts w:hAnsi="宋体"/>
                <w:kern w:val="0"/>
                <w:szCs w:val="21"/>
              </w:rPr>
              <w:t>栖息于丘陵山地树林和多树的平原郊野、农田附近，秋季通常结成小群活动。</w:t>
            </w:r>
          </w:p>
        </w:tc>
        <w:tc>
          <w:tcPr>
            <w:tcW w:w="900" w:type="dxa"/>
            <w:vAlign w:val="center"/>
          </w:tcPr>
          <w:p>
            <w:pPr>
              <w:spacing w:line="280" w:lineRule="exact"/>
              <w:ind w:left="-42" w:leftChars="-20" w:right="-42" w:rightChars="-20"/>
              <w:rPr>
                <w:rFonts w:hAnsi="宋体"/>
                <w:kern w:val="0"/>
                <w:szCs w:val="21"/>
              </w:rPr>
            </w:pPr>
            <w:r>
              <w:rPr>
                <w:rFonts w:hint="eastAsia"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int="eastAsia" w:hAnsi="宋体"/>
                <w:kern w:val="0"/>
                <w:szCs w:val="21"/>
              </w:rPr>
              <w:t>东洋种</w:t>
            </w:r>
          </w:p>
        </w:tc>
        <w:tc>
          <w:tcPr>
            <w:tcW w:w="708" w:type="dxa"/>
            <w:vAlign w:val="center"/>
          </w:tcPr>
          <w:p>
            <w:pPr>
              <w:spacing w:line="280" w:lineRule="exact"/>
              <w:ind w:right="-42" w:rightChars="-20"/>
              <w:jc w:val="center"/>
              <w:rPr>
                <w:kern w:val="0"/>
                <w:szCs w:val="21"/>
              </w:rPr>
            </w:pPr>
            <w:r>
              <w:rPr>
                <w:rFonts w:hint="eastAsia"/>
                <w:kern w:val="0"/>
                <w:szCs w:val="21"/>
              </w:rPr>
              <w:t>+</w:t>
            </w:r>
          </w:p>
        </w:tc>
        <w:tc>
          <w:tcPr>
            <w:tcW w:w="725" w:type="dxa"/>
            <w:vAlign w:val="center"/>
          </w:tcPr>
          <w:p>
            <w:pPr>
              <w:spacing w:line="280" w:lineRule="exact"/>
              <w:ind w:right="-42" w:rightChars="-20"/>
              <w:rPr>
                <w:rFonts w:hAnsi="宋体"/>
                <w:kern w:val="0"/>
                <w:szCs w:val="21"/>
              </w:rPr>
            </w:pPr>
            <w:r>
              <w:rPr>
                <w:rFonts w:hint="eastAsia"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4"/>
              </w:numPr>
              <w:spacing w:line="280" w:lineRule="exact"/>
              <w:jc w:val="left"/>
              <w:rPr>
                <w:b/>
                <w:szCs w:val="21"/>
              </w:rPr>
            </w:pPr>
            <w:r>
              <w:rPr>
                <w:rFonts w:hAnsi="宋体"/>
                <w:b/>
                <w:szCs w:val="21"/>
              </w:rPr>
              <w:t>雀形目</w:t>
            </w:r>
            <w:r>
              <w:rPr>
                <w:b/>
                <w:szCs w:val="21"/>
              </w:rPr>
              <w:t>PASSERIFORMES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szCs w:val="21"/>
              </w:rPr>
            </w:pPr>
            <w:r>
              <w:rPr>
                <w:rFonts w:hAnsi="宋体"/>
                <w:szCs w:val="21"/>
              </w:rPr>
              <w:t>燕科</w:t>
            </w:r>
            <w:r>
              <w:rPr>
                <w:szCs w:val="21"/>
              </w:rPr>
              <w:t>Hirundinidae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Ansi="宋体"/>
                <w:szCs w:val="21"/>
              </w:rPr>
              <w:t>家燕</w:t>
            </w:r>
            <w:r>
              <w:rPr>
                <w:i/>
                <w:iCs/>
                <w:szCs w:val="21"/>
              </w:rPr>
              <w:t>Hirundo rustica</w:t>
            </w:r>
          </w:p>
        </w:tc>
        <w:tc>
          <w:tcPr>
            <w:tcW w:w="3059" w:type="dxa"/>
          </w:tcPr>
          <w:p>
            <w:pPr>
              <w:spacing w:line="280" w:lineRule="exact"/>
              <w:ind w:right="-42" w:rightChars="-20"/>
              <w:rPr>
                <w:rFonts w:hAnsi="宋体"/>
                <w:kern w:val="0"/>
                <w:szCs w:val="21"/>
              </w:rPr>
            </w:pPr>
            <w:r>
              <w:rPr>
                <w:rFonts w:hAnsi="宋体"/>
                <w:kern w:val="0"/>
                <w:szCs w:val="21"/>
              </w:rPr>
              <w:t>常在田间回翔，尤喜在刚犁过的田地上空结群飞行和捕食昆虫。在房壁和屋檐下营巢。</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夏候鸟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古北种</w:t>
            </w:r>
          </w:p>
        </w:tc>
        <w:tc>
          <w:tcPr>
            <w:tcW w:w="708" w:type="dxa"/>
            <w:vAlign w:val="center"/>
          </w:tcPr>
          <w:p>
            <w:pPr>
              <w:spacing w:line="280" w:lineRule="exact"/>
              <w:ind w:left="-42" w:leftChars="-20" w:right="-42" w:rightChars="-20"/>
              <w:jc w:val="center"/>
              <w:rPr>
                <w:kern w:val="0"/>
                <w:szCs w:val="21"/>
              </w:rPr>
            </w:pPr>
            <w:r>
              <w:rPr>
                <w:kern w:val="0"/>
                <w:szCs w:val="21"/>
              </w:rPr>
              <w:t>++</w:t>
            </w:r>
          </w:p>
        </w:tc>
        <w:tc>
          <w:tcPr>
            <w:tcW w:w="725" w:type="dxa"/>
            <w:vAlign w:val="center"/>
          </w:tcPr>
          <w:p>
            <w:pPr>
              <w:spacing w:line="280" w:lineRule="exact"/>
              <w:ind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hAnsi="宋体"/>
                <w:kern w:val="0"/>
                <w:szCs w:val="21"/>
              </w:rPr>
            </w:pPr>
            <w:r>
              <w:rPr>
                <w:rFonts w:hint="eastAsia" w:cs="宋体-方正超大字符集"/>
                <w:kern w:val="0"/>
                <w:szCs w:val="21"/>
              </w:rPr>
              <w:t>鹡鸰科</w:t>
            </w:r>
            <w:r>
              <w:rPr>
                <w:rFonts w:cs="宋体-方正超大字符集"/>
                <w:kern w:val="0"/>
                <w:szCs w:val="21"/>
              </w:rPr>
              <w:t>Motacillidae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灰鹡鸰</w:t>
            </w:r>
          </w:p>
          <w:p>
            <w:pPr>
              <w:rPr>
                <w:kern w:val="0"/>
                <w:szCs w:val="21"/>
              </w:rPr>
            </w:pPr>
            <w:r>
              <w:rPr>
                <w:i/>
                <w:kern w:val="0"/>
                <w:szCs w:val="21"/>
              </w:rPr>
              <w:t>Motacilla</w:t>
            </w:r>
            <w:r>
              <w:rPr>
                <w:kern w:val="0"/>
                <w:szCs w:val="21"/>
              </w:rPr>
              <w:t xml:space="preserve"> </w:t>
            </w:r>
            <w:r>
              <w:rPr>
                <w:i/>
                <w:kern w:val="0"/>
                <w:szCs w:val="21"/>
              </w:rPr>
              <w:t>cinerea</w:t>
            </w:r>
          </w:p>
        </w:tc>
        <w:tc>
          <w:tcPr>
            <w:tcW w:w="3059" w:type="dxa"/>
            <w:vAlign w:val="center"/>
          </w:tcPr>
          <w:p>
            <w:pPr>
              <w:widowControl/>
              <w:rPr>
                <w:kern w:val="0"/>
                <w:szCs w:val="21"/>
              </w:rPr>
            </w:pPr>
            <w:r>
              <w:rPr>
                <w:rFonts w:hint="eastAsia"/>
                <w:kern w:val="0"/>
                <w:szCs w:val="21"/>
              </w:rPr>
              <w:t>栖息于近水的多种生境中。</w:t>
            </w:r>
          </w:p>
        </w:tc>
        <w:tc>
          <w:tcPr>
            <w:tcW w:w="900" w:type="dxa"/>
            <w:vAlign w:val="center"/>
          </w:tcPr>
          <w:p>
            <w:pPr>
              <w:widowControl/>
              <w:rPr>
                <w:kern w:val="0"/>
                <w:szCs w:val="21"/>
              </w:rPr>
            </w:pPr>
            <w:r>
              <w:rPr>
                <w:rFonts w:hint="eastAsia"/>
                <w:kern w:val="0"/>
                <w:szCs w:val="21"/>
              </w:rPr>
              <w:t>冬候鸟</w:t>
            </w:r>
          </w:p>
        </w:tc>
        <w:tc>
          <w:tcPr>
            <w:tcW w:w="861" w:type="dxa"/>
            <w:vAlign w:val="center"/>
          </w:tcPr>
          <w:p>
            <w:pPr>
              <w:widowControl/>
              <w:rPr>
                <w:kern w:val="0"/>
                <w:szCs w:val="21"/>
              </w:rPr>
            </w:pPr>
            <w:r>
              <w:rPr>
                <w:rFonts w:hint="eastAsia"/>
                <w:kern w:val="0"/>
                <w:szCs w:val="21"/>
              </w:rPr>
              <w:t>广布种</w:t>
            </w:r>
          </w:p>
        </w:tc>
        <w:tc>
          <w:tcPr>
            <w:tcW w:w="708" w:type="dxa"/>
            <w:vAlign w:val="center"/>
          </w:tcPr>
          <w:p>
            <w:pPr>
              <w:widowControl/>
              <w:rPr>
                <w:kern w:val="0"/>
                <w:szCs w:val="21"/>
              </w:rPr>
            </w:pPr>
            <w:r>
              <w:rPr>
                <w:kern w:val="0"/>
                <w:szCs w:val="21"/>
              </w:rPr>
              <w:t>++</w:t>
            </w:r>
          </w:p>
        </w:tc>
        <w:tc>
          <w:tcPr>
            <w:tcW w:w="725" w:type="dxa"/>
            <w:vAlign w:val="center"/>
          </w:tcPr>
          <w:p>
            <w:pPr>
              <w:spacing w:line="280" w:lineRule="exact"/>
              <w:ind w:left="-94" w:leftChars="-45" w:right="-42" w:rightChars="-20"/>
              <w:rPr>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rFonts w:hint="eastAsia" w:hAnsi="宋体"/>
                <w:szCs w:val="21"/>
              </w:rPr>
              <w:t>白鹡鸰</w:t>
            </w:r>
          </w:p>
          <w:p>
            <w:pPr>
              <w:rPr>
                <w:kern w:val="0"/>
                <w:szCs w:val="21"/>
              </w:rPr>
            </w:pPr>
            <w:r>
              <w:rPr>
                <w:i/>
                <w:kern w:val="0"/>
                <w:szCs w:val="21"/>
              </w:rPr>
              <w:t>Motacilla</w:t>
            </w:r>
            <w:r>
              <w:rPr>
                <w:kern w:val="0"/>
                <w:szCs w:val="21"/>
              </w:rPr>
              <w:t xml:space="preserve"> </w:t>
            </w:r>
            <w:r>
              <w:rPr>
                <w:i/>
                <w:kern w:val="0"/>
                <w:szCs w:val="21"/>
              </w:rPr>
              <w:t>alba</w:t>
            </w:r>
          </w:p>
        </w:tc>
        <w:tc>
          <w:tcPr>
            <w:tcW w:w="3059" w:type="dxa"/>
            <w:vAlign w:val="center"/>
          </w:tcPr>
          <w:p>
            <w:pPr>
              <w:widowControl/>
              <w:rPr>
                <w:kern w:val="0"/>
                <w:szCs w:val="21"/>
              </w:rPr>
            </w:pPr>
            <w:r>
              <w:rPr>
                <w:rFonts w:hint="eastAsia"/>
                <w:kern w:val="0"/>
                <w:szCs w:val="21"/>
              </w:rPr>
              <w:t>栖息于离水较近的耕地附近、草地、荒坡、路边等处，不到林间活动。</w:t>
            </w:r>
          </w:p>
        </w:tc>
        <w:tc>
          <w:tcPr>
            <w:tcW w:w="900" w:type="dxa"/>
            <w:vAlign w:val="center"/>
          </w:tcPr>
          <w:p>
            <w:pPr>
              <w:widowControl/>
              <w:rPr>
                <w:kern w:val="0"/>
                <w:szCs w:val="21"/>
              </w:rPr>
            </w:pPr>
            <w:r>
              <w:rPr>
                <w:rFonts w:hint="eastAsia"/>
                <w:kern w:val="0"/>
                <w:szCs w:val="21"/>
              </w:rPr>
              <w:t>留鸟</w:t>
            </w:r>
          </w:p>
        </w:tc>
        <w:tc>
          <w:tcPr>
            <w:tcW w:w="861" w:type="dxa"/>
            <w:vAlign w:val="center"/>
          </w:tcPr>
          <w:p>
            <w:pPr>
              <w:widowControl/>
              <w:rPr>
                <w:kern w:val="0"/>
                <w:szCs w:val="21"/>
              </w:rPr>
            </w:pPr>
            <w:r>
              <w:rPr>
                <w:rFonts w:hint="eastAsia"/>
                <w:kern w:val="0"/>
                <w:szCs w:val="21"/>
              </w:rPr>
              <w:t>广布种</w:t>
            </w:r>
          </w:p>
        </w:tc>
        <w:tc>
          <w:tcPr>
            <w:tcW w:w="708" w:type="dxa"/>
            <w:vAlign w:val="center"/>
          </w:tcPr>
          <w:p>
            <w:pPr>
              <w:widowControl/>
              <w:rPr>
                <w:kern w:val="0"/>
                <w:szCs w:val="21"/>
              </w:rPr>
            </w:pPr>
            <w:r>
              <w:rPr>
                <w:kern w:val="0"/>
                <w:szCs w:val="21"/>
              </w:rPr>
              <w:t>++</w:t>
            </w:r>
          </w:p>
        </w:tc>
        <w:tc>
          <w:tcPr>
            <w:tcW w:w="725" w:type="dxa"/>
            <w:vAlign w:val="center"/>
          </w:tcPr>
          <w:p>
            <w:pPr>
              <w:spacing w:line="280" w:lineRule="exact"/>
              <w:ind w:left="-94" w:leftChars="-45" w:right="-42" w:rightChars="-20"/>
              <w:rPr>
                <w:kern w:val="0"/>
                <w:szCs w:val="21"/>
              </w:rPr>
            </w:pPr>
            <w:r>
              <w:rPr>
                <w:rFonts w:hAnsi="宋体"/>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13" w:leftChars="-44" w:hanging="105" w:hangingChars="50"/>
              <w:jc w:val="left"/>
              <w:rPr>
                <w:rFonts w:hAnsi="宋体"/>
                <w:szCs w:val="21"/>
              </w:rPr>
            </w:pPr>
            <w:r>
              <w:rPr>
                <w:rFonts w:hint="eastAsia" w:hAnsi="宋体"/>
                <w:szCs w:val="21"/>
              </w:rPr>
              <w:t xml:space="preserve">水鹨            </w:t>
            </w:r>
            <w:r>
              <w:rPr>
                <w:i/>
                <w:kern w:val="0"/>
                <w:szCs w:val="21"/>
              </w:rPr>
              <w:t>Anthus</w:t>
            </w:r>
            <w:r>
              <w:rPr>
                <w:i/>
                <w:iCs/>
                <w:kern w:val="0"/>
                <w:szCs w:val="21"/>
              </w:rPr>
              <w:t xml:space="preserve"> </w:t>
            </w:r>
            <w:r>
              <w:rPr>
                <w:i/>
                <w:kern w:val="0"/>
                <w:szCs w:val="21"/>
              </w:rPr>
              <w:t>spinoletta</w:t>
            </w:r>
          </w:p>
        </w:tc>
        <w:tc>
          <w:tcPr>
            <w:tcW w:w="3059" w:type="dxa"/>
            <w:vAlign w:val="center"/>
          </w:tcPr>
          <w:p>
            <w:pPr>
              <w:widowControl/>
              <w:rPr>
                <w:kern w:val="0"/>
                <w:szCs w:val="21"/>
              </w:rPr>
            </w:pPr>
            <w:r>
              <w:rPr>
                <w:rFonts w:hint="eastAsia"/>
                <w:kern w:val="0"/>
                <w:szCs w:val="21"/>
              </w:rPr>
              <w:t>栖息于低山丘陵、山脚平原、沼泽或溪流两岸的草地及耕地上。</w:t>
            </w:r>
          </w:p>
        </w:tc>
        <w:tc>
          <w:tcPr>
            <w:tcW w:w="900" w:type="dxa"/>
            <w:vAlign w:val="center"/>
          </w:tcPr>
          <w:p>
            <w:pPr>
              <w:widowControl/>
              <w:rPr>
                <w:kern w:val="0"/>
                <w:szCs w:val="21"/>
              </w:rPr>
            </w:pPr>
            <w:r>
              <w:rPr>
                <w:rFonts w:hint="eastAsia"/>
                <w:kern w:val="0"/>
                <w:szCs w:val="21"/>
              </w:rPr>
              <w:t>冬侯鸟</w:t>
            </w:r>
          </w:p>
        </w:tc>
        <w:tc>
          <w:tcPr>
            <w:tcW w:w="861" w:type="dxa"/>
            <w:vAlign w:val="center"/>
          </w:tcPr>
          <w:p>
            <w:pPr>
              <w:widowControl/>
              <w:rPr>
                <w:kern w:val="0"/>
                <w:szCs w:val="21"/>
              </w:rPr>
            </w:pPr>
            <w:r>
              <w:rPr>
                <w:rFonts w:hint="eastAsia"/>
                <w:kern w:val="0"/>
                <w:szCs w:val="21"/>
              </w:rPr>
              <w:t>广布种</w:t>
            </w:r>
          </w:p>
        </w:tc>
        <w:tc>
          <w:tcPr>
            <w:tcW w:w="708" w:type="dxa"/>
            <w:vAlign w:val="center"/>
          </w:tcPr>
          <w:p>
            <w:pPr>
              <w:widowControl/>
              <w:rPr>
                <w:kern w:val="0"/>
                <w:szCs w:val="21"/>
              </w:rPr>
            </w:pPr>
            <w:r>
              <w:rPr>
                <w:kern w:val="0"/>
                <w:szCs w:val="21"/>
              </w:rPr>
              <w:t xml:space="preserve">+ </w:t>
            </w:r>
          </w:p>
        </w:tc>
        <w:tc>
          <w:tcPr>
            <w:tcW w:w="725" w:type="dxa"/>
            <w:vAlign w:val="center"/>
          </w:tcPr>
          <w:p>
            <w:pPr>
              <w:spacing w:line="280" w:lineRule="exact"/>
              <w:ind w:left="-94" w:leftChars="-45" w:right="-42" w:rightChars="-20"/>
              <w:rPr>
                <w:rFonts w:hAnsi="宋体"/>
                <w:kern w:val="0"/>
                <w:szCs w:val="21"/>
              </w:rPr>
            </w:pPr>
            <w:r>
              <w:rPr>
                <w:rFonts w:hint="eastAsia"/>
                <w:kern w:val="0"/>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szCs w:val="21"/>
              </w:rPr>
            </w:pPr>
            <w:r>
              <w:rPr>
                <w:rFonts w:hAnsi="宋体"/>
                <w:szCs w:val="21"/>
              </w:rPr>
              <w:t>鸦科</w:t>
            </w:r>
            <w:r>
              <w:rPr>
                <w:szCs w:val="21"/>
              </w:rPr>
              <w:t>Corvidae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Ansi="宋体"/>
                <w:szCs w:val="21"/>
              </w:rPr>
              <w:t>大嘴乌鸦</w:t>
            </w:r>
            <w:r>
              <w:rPr>
                <w:i/>
                <w:iCs/>
                <w:szCs w:val="21"/>
              </w:rPr>
              <w:t xml:space="preserve"> Corvus macrorhynchos</w:t>
            </w:r>
          </w:p>
        </w:tc>
        <w:tc>
          <w:tcPr>
            <w:tcW w:w="3059" w:type="dxa"/>
          </w:tcPr>
          <w:p>
            <w:pPr>
              <w:spacing w:line="280" w:lineRule="exact"/>
              <w:ind w:right="-42" w:rightChars="-20"/>
              <w:rPr>
                <w:rFonts w:hAnsi="宋体"/>
                <w:kern w:val="0"/>
                <w:szCs w:val="21"/>
              </w:rPr>
            </w:pPr>
            <w:r>
              <w:rPr>
                <w:rFonts w:hAnsi="宋体"/>
                <w:kern w:val="0"/>
                <w:szCs w:val="21"/>
              </w:rPr>
              <w:t>栖息于平原、丘陵、山区；常集群在农田边、村旁、河滩活动。</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古北种</w:t>
            </w:r>
          </w:p>
        </w:tc>
        <w:tc>
          <w:tcPr>
            <w:tcW w:w="708" w:type="dxa"/>
            <w:vAlign w:val="center"/>
          </w:tcPr>
          <w:p>
            <w:pPr>
              <w:spacing w:line="280" w:lineRule="exact"/>
              <w:ind w:right="-42" w:rightChars="-20"/>
              <w:jc w:val="center"/>
              <w:rPr>
                <w:kern w:val="0"/>
                <w:szCs w:val="21"/>
              </w:rPr>
            </w:pPr>
            <w:r>
              <w:rPr>
                <w:kern w:val="0"/>
                <w:szCs w:val="21"/>
              </w:rPr>
              <w:t>+</w:t>
            </w:r>
          </w:p>
        </w:tc>
        <w:tc>
          <w:tcPr>
            <w:tcW w:w="725" w:type="dxa"/>
            <w:vAlign w:val="center"/>
          </w:tcPr>
          <w:p>
            <w:pPr>
              <w:spacing w:line="280" w:lineRule="exact"/>
              <w:ind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rFonts w:hAnsi="宋体"/>
                <w:szCs w:val="21"/>
              </w:rPr>
            </w:pPr>
            <w:r>
              <w:rPr>
                <w:sz w:val="18"/>
                <w:szCs w:val="18"/>
              </w:rPr>
              <w:t>喜鹊</w:t>
            </w:r>
            <w:r>
              <w:rPr>
                <w:i/>
                <w:sz w:val="18"/>
                <w:szCs w:val="18"/>
              </w:rPr>
              <w:t>Pica pica</w:t>
            </w:r>
          </w:p>
        </w:tc>
        <w:tc>
          <w:tcPr>
            <w:tcW w:w="3059" w:type="dxa"/>
          </w:tcPr>
          <w:p>
            <w:pPr>
              <w:spacing w:line="280" w:lineRule="exact"/>
              <w:ind w:right="-42" w:rightChars="-20"/>
              <w:rPr>
                <w:rFonts w:hAnsi="宋体"/>
                <w:kern w:val="0"/>
                <w:szCs w:val="21"/>
              </w:rPr>
            </w:pPr>
            <w:r>
              <w:rPr>
                <w:sz w:val="18"/>
                <w:szCs w:val="18"/>
              </w:rPr>
              <w:t>山地林缘、耕地或村落</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广布种</w:t>
            </w:r>
          </w:p>
        </w:tc>
        <w:tc>
          <w:tcPr>
            <w:tcW w:w="708" w:type="dxa"/>
            <w:vAlign w:val="center"/>
          </w:tcPr>
          <w:p>
            <w:pPr>
              <w:spacing w:line="280" w:lineRule="exact"/>
              <w:ind w:left="-42" w:leftChars="-20" w:right="-42" w:rightChars="-20"/>
              <w:jc w:val="center"/>
              <w:rPr>
                <w:kern w:val="0"/>
                <w:szCs w:val="21"/>
              </w:rPr>
            </w:pPr>
            <w:r>
              <w:rPr>
                <w:kern w:val="0"/>
                <w:szCs w:val="21"/>
              </w:rPr>
              <w:t>++</w:t>
            </w:r>
          </w:p>
        </w:tc>
        <w:tc>
          <w:tcPr>
            <w:tcW w:w="725" w:type="dxa"/>
            <w:vAlign w:val="center"/>
          </w:tcPr>
          <w:p>
            <w:pPr>
              <w:spacing w:line="280" w:lineRule="exact"/>
              <w:ind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hAnsi="宋体"/>
                <w:kern w:val="0"/>
                <w:szCs w:val="21"/>
              </w:rPr>
            </w:pPr>
            <w:r>
              <w:rPr>
                <w:rFonts w:hint="eastAsia" w:hAnsi="宋体"/>
                <w:kern w:val="0"/>
                <w:szCs w:val="21"/>
              </w:rPr>
              <w:t>画眉</w:t>
            </w:r>
            <w:r>
              <w:rPr>
                <w:rFonts w:hAnsi="宋体"/>
                <w:szCs w:val="21"/>
              </w:rPr>
              <w:t>科</w:t>
            </w:r>
            <w:r>
              <w:rPr>
                <w:rFonts w:hint="eastAsia" w:hAnsi="宋体"/>
                <w:szCs w:val="21"/>
              </w:rPr>
              <w:t xml:space="preserve"> Timaliidae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Ansi="宋体"/>
                <w:szCs w:val="21"/>
              </w:rPr>
              <w:t>画眉</w:t>
            </w:r>
            <w:r>
              <w:rPr>
                <w:i/>
                <w:iCs/>
                <w:szCs w:val="21"/>
              </w:rPr>
              <w:t>Garrulax canorus</w:t>
            </w:r>
          </w:p>
        </w:tc>
        <w:tc>
          <w:tcPr>
            <w:tcW w:w="3059" w:type="dxa"/>
          </w:tcPr>
          <w:p>
            <w:pPr>
              <w:spacing w:line="280" w:lineRule="exact"/>
              <w:ind w:right="-42" w:rightChars="-20"/>
              <w:rPr>
                <w:rFonts w:hAnsi="宋体"/>
                <w:kern w:val="0"/>
                <w:szCs w:val="21"/>
              </w:rPr>
            </w:pPr>
            <w:r>
              <w:rPr>
                <w:rFonts w:hAnsi="宋体"/>
                <w:kern w:val="0"/>
                <w:szCs w:val="21"/>
              </w:rPr>
              <w:t>丘陵、山区的矮树林和灌木丛或村镇附近的竹林和庭园中。</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Ansi="宋体"/>
                <w:kern w:val="0"/>
                <w:szCs w:val="21"/>
              </w:rPr>
              <w:t>东洋种</w:t>
            </w:r>
          </w:p>
        </w:tc>
        <w:tc>
          <w:tcPr>
            <w:tcW w:w="708" w:type="dxa"/>
            <w:vAlign w:val="center"/>
          </w:tcPr>
          <w:p>
            <w:pPr>
              <w:spacing w:line="280" w:lineRule="exact"/>
              <w:ind w:right="-42" w:rightChars="-20"/>
              <w:jc w:val="center"/>
              <w:rPr>
                <w:kern w:val="0"/>
                <w:szCs w:val="21"/>
              </w:rPr>
            </w:pPr>
            <w:r>
              <w:rPr>
                <w:kern w:val="0"/>
                <w:szCs w:val="21"/>
              </w:rPr>
              <w:t>++</w:t>
            </w:r>
          </w:p>
        </w:tc>
        <w:tc>
          <w:tcPr>
            <w:tcW w:w="725" w:type="dxa"/>
            <w:vAlign w:val="center"/>
          </w:tcPr>
          <w:p>
            <w:pPr>
              <w:spacing w:line="280" w:lineRule="exact"/>
              <w:ind w:right="-42" w:rightChars="-20"/>
              <w:rPr>
                <w:rFonts w:hAnsi="宋体"/>
                <w:kern w:val="0"/>
                <w:szCs w:val="21"/>
              </w:rPr>
            </w:pPr>
            <w:r>
              <w:rPr>
                <w:rFonts w:hAnsi="宋体"/>
                <w:kern w:val="0"/>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522" w:type="dxa"/>
            <w:gridSpan w:val="7"/>
            <w:vAlign w:val="center"/>
          </w:tcPr>
          <w:p>
            <w:pPr>
              <w:numPr>
                <w:ilvl w:val="0"/>
                <w:numId w:val="25"/>
              </w:numPr>
              <w:spacing w:line="280" w:lineRule="exact"/>
              <w:jc w:val="left"/>
              <w:rPr>
                <w:rFonts w:hAnsi="宋体"/>
                <w:kern w:val="0"/>
                <w:szCs w:val="21"/>
              </w:rPr>
            </w:pPr>
            <w:r>
              <w:rPr>
                <w:rFonts w:hint="eastAsia" w:hAnsi="宋体"/>
                <w:kern w:val="0"/>
                <w:szCs w:val="21"/>
              </w:rPr>
              <w:t>雀科</w:t>
            </w:r>
            <w:r>
              <w:rPr>
                <w:szCs w:val="21"/>
              </w:rPr>
              <w:t>Passeridae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269" w:type="dxa"/>
            <w:gridSpan w:val="2"/>
            <w:vAlign w:val="center"/>
          </w:tcPr>
          <w:p>
            <w:pPr>
              <w:pStyle w:val="162"/>
              <w:numPr>
                <w:ilvl w:val="0"/>
                <w:numId w:val="26"/>
              </w:numPr>
              <w:spacing w:line="280" w:lineRule="exact"/>
              <w:ind w:left="0" w:firstLine="0" w:firstLineChars="0"/>
              <w:jc w:val="left"/>
              <w:rPr>
                <w:szCs w:val="21"/>
              </w:rPr>
            </w:pPr>
            <w:r>
              <w:rPr>
                <w:rFonts w:hAnsi="宋体"/>
                <w:szCs w:val="21"/>
              </w:rPr>
              <w:t>麻雀</w:t>
            </w:r>
            <w:r>
              <w:rPr>
                <w:i/>
                <w:szCs w:val="21"/>
              </w:rPr>
              <w:t>Passer montanu</w:t>
            </w:r>
          </w:p>
        </w:tc>
        <w:tc>
          <w:tcPr>
            <w:tcW w:w="3059" w:type="dxa"/>
          </w:tcPr>
          <w:p>
            <w:pPr>
              <w:spacing w:line="280" w:lineRule="exact"/>
              <w:ind w:right="-42" w:rightChars="-20"/>
              <w:rPr>
                <w:rFonts w:hAnsi="宋体"/>
                <w:kern w:val="0"/>
                <w:szCs w:val="21"/>
              </w:rPr>
            </w:pPr>
            <w:r>
              <w:rPr>
                <w:rFonts w:hAnsi="宋体"/>
                <w:kern w:val="0"/>
                <w:szCs w:val="21"/>
              </w:rPr>
              <w:t>多栖于山区村落附近、沟谷、河边、农田等地。</w:t>
            </w:r>
          </w:p>
        </w:tc>
        <w:tc>
          <w:tcPr>
            <w:tcW w:w="900" w:type="dxa"/>
            <w:vAlign w:val="center"/>
          </w:tcPr>
          <w:p>
            <w:pPr>
              <w:spacing w:line="280" w:lineRule="exact"/>
              <w:ind w:left="-42" w:leftChars="-20" w:right="-42" w:rightChars="-20"/>
              <w:rPr>
                <w:rFonts w:hAnsi="宋体"/>
                <w:kern w:val="0"/>
                <w:szCs w:val="21"/>
              </w:rPr>
            </w:pPr>
            <w:r>
              <w:rPr>
                <w:rFonts w:hAnsi="宋体"/>
                <w:kern w:val="0"/>
                <w:szCs w:val="21"/>
              </w:rPr>
              <w:t>留鸟</w:t>
            </w:r>
          </w:p>
        </w:tc>
        <w:tc>
          <w:tcPr>
            <w:tcW w:w="861" w:type="dxa"/>
            <w:vAlign w:val="center"/>
          </w:tcPr>
          <w:p>
            <w:pPr>
              <w:spacing w:line="280" w:lineRule="exact"/>
              <w:ind w:left="-42" w:leftChars="-20" w:right="-42" w:rightChars="-20"/>
              <w:rPr>
                <w:rFonts w:hAnsi="宋体"/>
                <w:kern w:val="0"/>
                <w:szCs w:val="21"/>
              </w:rPr>
            </w:pPr>
            <w:r>
              <w:rPr>
                <w:rFonts w:hint="eastAsia" w:hAnsi="宋体"/>
                <w:kern w:val="0"/>
                <w:szCs w:val="21"/>
              </w:rPr>
              <w:t>广布种</w:t>
            </w:r>
          </w:p>
        </w:tc>
        <w:tc>
          <w:tcPr>
            <w:tcW w:w="708" w:type="dxa"/>
            <w:vAlign w:val="center"/>
          </w:tcPr>
          <w:p>
            <w:pPr>
              <w:spacing w:line="280" w:lineRule="exact"/>
              <w:ind w:left="-42" w:leftChars="-20" w:right="-42" w:rightChars="-20"/>
              <w:jc w:val="center"/>
              <w:rPr>
                <w:kern w:val="0"/>
                <w:szCs w:val="21"/>
              </w:rPr>
            </w:pPr>
            <w:r>
              <w:rPr>
                <w:kern w:val="0"/>
                <w:szCs w:val="21"/>
              </w:rPr>
              <w:t>++</w:t>
            </w:r>
            <w:r>
              <w:rPr>
                <w:rFonts w:hint="eastAsia"/>
                <w:kern w:val="0"/>
                <w:szCs w:val="21"/>
              </w:rPr>
              <w:t>+</w:t>
            </w:r>
          </w:p>
        </w:tc>
        <w:tc>
          <w:tcPr>
            <w:tcW w:w="725" w:type="dxa"/>
            <w:vAlign w:val="center"/>
          </w:tcPr>
          <w:p>
            <w:pPr>
              <w:spacing w:line="280" w:lineRule="exact"/>
              <w:ind w:left="-94" w:leftChars="-45" w:right="-42" w:rightChars="-20"/>
              <w:rPr>
                <w:rFonts w:hAnsi="宋体"/>
                <w:kern w:val="0"/>
                <w:szCs w:val="21"/>
              </w:rPr>
            </w:pPr>
            <w:r>
              <w:rPr>
                <w:rFonts w:hAnsi="宋体"/>
                <w:kern w:val="0"/>
                <w:szCs w:val="21"/>
              </w:rPr>
              <w:t>未列入</w:t>
            </w:r>
          </w:p>
        </w:tc>
      </w:tr>
    </w:tbl>
    <w:p>
      <w:pPr>
        <w:ind w:firstLine="420"/>
        <w:rPr>
          <w:b/>
          <w:sz w:val="18"/>
          <w:szCs w:val="18"/>
        </w:rPr>
      </w:pPr>
      <w:r>
        <w:rPr>
          <w:rFonts w:hint="eastAsia"/>
          <w:b/>
          <w:sz w:val="18"/>
          <w:szCs w:val="18"/>
        </w:rPr>
        <w:t>注：分类系统依据《中国鸟类分类与分布名录(第2版)》（郑光美,2011年）</w:t>
      </w:r>
    </w:p>
    <w:p>
      <w:pPr>
        <w:spacing w:line="360" w:lineRule="auto"/>
        <w:ind w:firstLine="480" w:firstLineChars="200"/>
        <w:rPr>
          <w:rFonts w:ascii="黑体" w:eastAsia="黑体"/>
          <w:sz w:val="24"/>
        </w:rPr>
      </w:pPr>
      <w:r>
        <w:rPr>
          <w:rFonts w:hint="eastAsia" w:ascii="黑体" w:eastAsia="黑体"/>
          <w:sz w:val="24"/>
        </w:rPr>
        <w:t>（四）兽类</w:t>
      </w:r>
    </w:p>
    <w:p>
      <w:pPr>
        <w:autoSpaceDE w:val="0"/>
        <w:autoSpaceDN w:val="0"/>
        <w:adjustRightInd w:val="0"/>
        <w:spacing w:line="360" w:lineRule="auto"/>
        <w:ind w:firstLine="480" w:firstLineChars="200"/>
        <w:jc w:val="left"/>
        <w:rPr>
          <w:kern w:val="0"/>
          <w:sz w:val="24"/>
          <w:lang w:val="zh-CN"/>
        </w:rPr>
      </w:pPr>
      <w:r>
        <w:rPr>
          <w:rFonts w:hAnsi="宋体"/>
          <w:kern w:val="0"/>
          <w:sz w:val="24"/>
          <w:lang w:val="zh-CN"/>
        </w:rPr>
        <w:t>通过野外勘查、调查访问和发表在</w:t>
      </w:r>
      <w:r>
        <w:rPr>
          <w:rFonts w:hint="eastAsia" w:hAnsi="宋体"/>
          <w:kern w:val="0"/>
          <w:sz w:val="24"/>
          <w:lang w:val="zh-CN"/>
        </w:rPr>
        <w:t>该区域</w:t>
      </w:r>
      <w:r>
        <w:rPr>
          <w:rFonts w:hAnsi="宋体"/>
          <w:kern w:val="0"/>
          <w:sz w:val="24"/>
          <w:lang w:val="zh-CN"/>
        </w:rPr>
        <w:t>的相关文献，对评价范围内的兽类种类、数量及分布现状进行了全面调查，得出如下结论：</w:t>
      </w:r>
    </w:p>
    <w:p>
      <w:pPr>
        <w:spacing w:line="360" w:lineRule="auto"/>
        <w:ind w:firstLine="480" w:firstLineChars="200"/>
        <w:rPr>
          <w:sz w:val="24"/>
        </w:rPr>
      </w:pPr>
      <w:r>
        <w:rPr>
          <w:rFonts w:hAnsi="宋体"/>
          <w:kern w:val="0"/>
          <w:sz w:val="24"/>
          <w:lang w:val="zh-CN"/>
        </w:rPr>
        <w:t>评价范围兽类共有</w:t>
      </w:r>
      <w:r>
        <w:rPr>
          <w:rFonts w:hint="eastAsia"/>
          <w:kern w:val="0"/>
          <w:sz w:val="24"/>
          <w:lang w:val="zh-CN"/>
        </w:rPr>
        <w:t>5</w:t>
      </w:r>
      <w:r>
        <w:rPr>
          <w:rFonts w:hAnsi="宋体"/>
          <w:kern w:val="0"/>
          <w:sz w:val="24"/>
          <w:lang w:val="zh-CN"/>
        </w:rPr>
        <w:t>目</w:t>
      </w:r>
      <w:r>
        <w:rPr>
          <w:rFonts w:hint="eastAsia"/>
          <w:kern w:val="0"/>
          <w:sz w:val="24"/>
          <w:lang w:val="zh-CN"/>
        </w:rPr>
        <w:t>6</w:t>
      </w:r>
      <w:r>
        <w:rPr>
          <w:rFonts w:hAnsi="宋体"/>
          <w:kern w:val="0"/>
          <w:sz w:val="24"/>
          <w:lang w:val="zh-CN"/>
        </w:rPr>
        <w:t>科</w:t>
      </w:r>
      <w:r>
        <w:rPr>
          <w:rFonts w:hint="eastAsia"/>
          <w:kern w:val="0"/>
          <w:sz w:val="24"/>
          <w:lang w:val="zh-CN"/>
        </w:rPr>
        <w:t>10</w:t>
      </w:r>
      <w:r>
        <w:rPr>
          <w:rFonts w:hAnsi="宋体"/>
          <w:kern w:val="0"/>
          <w:sz w:val="24"/>
          <w:lang w:val="zh-CN"/>
        </w:rPr>
        <w:t>种（名录见表</w:t>
      </w:r>
      <w:r>
        <w:rPr>
          <w:rFonts w:hint="eastAsia"/>
          <w:kern w:val="0"/>
          <w:sz w:val="24"/>
        </w:rPr>
        <w:t>3.6-7</w:t>
      </w:r>
      <w:r>
        <w:rPr>
          <w:rFonts w:hAnsi="宋体"/>
          <w:kern w:val="0"/>
          <w:sz w:val="24"/>
          <w:lang w:val="zh-CN"/>
        </w:rPr>
        <w:t>）。湖北省省级保护动物</w:t>
      </w:r>
      <w:r>
        <w:rPr>
          <w:rFonts w:hint="eastAsia"/>
          <w:kern w:val="0"/>
          <w:sz w:val="24"/>
          <w:lang w:val="zh-CN"/>
        </w:rPr>
        <w:t>2</w:t>
      </w:r>
      <w:r>
        <w:rPr>
          <w:rFonts w:hAnsi="宋体"/>
          <w:kern w:val="0"/>
          <w:sz w:val="24"/>
          <w:lang w:val="zh-CN"/>
        </w:rPr>
        <w:t>种</w:t>
      </w:r>
      <w:r>
        <w:rPr>
          <w:rFonts w:hint="eastAsia" w:hAnsi="宋体"/>
          <w:kern w:val="0"/>
          <w:sz w:val="24"/>
          <w:lang w:val="zh-CN"/>
        </w:rPr>
        <w:t>：</w:t>
      </w:r>
      <w:r>
        <w:rPr>
          <w:rFonts w:hAnsi="宋体"/>
          <w:kern w:val="0"/>
          <w:sz w:val="24"/>
        </w:rPr>
        <w:t>华南兔</w:t>
      </w:r>
      <w:r>
        <w:rPr>
          <w:rFonts w:hint="eastAsia" w:hAnsi="宋体"/>
          <w:kern w:val="0"/>
          <w:sz w:val="24"/>
        </w:rPr>
        <w:t>、黄腹鼬。</w:t>
      </w:r>
    </w:p>
    <w:p>
      <w:pPr>
        <w:pStyle w:val="4"/>
        <w:ind w:firstLine="422"/>
        <w:jc w:val="center"/>
        <w:rPr>
          <w:b/>
        </w:rPr>
      </w:pPr>
      <w:r>
        <w:rPr>
          <w:b/>
        </w:rPr>
        <w:t>表</w:t>
      </w:r>
      <w:r>
        <w:rPr>
          <w:rFonts w:hint="eastAsia"/>
          <w:b/>
        </w:rPr>
        <w:t>3.6-7</w:t>
      </w:r>
      <w:r>
        <w:rPr>
          <w:b/>
        </w:rPr>
        <w:t>评价范围兽类名录</w:t>
      </w:r>
    </w:p>
    <w:tbl>
      <w:tblPr>
        <w:tblStyle w:val="10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8"/>
        <w:gridCol w:w="3433"/>
        <w:gridCol w:w="890"/>
        <w:gridCol w:w="784"/>
        <w:gridCol w:w="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spacing w:line="280" w:lineRule="exact"/>
              <w:rPr>
                <w:b/>
                <w:bCs/>
                <w:kern w:val="0"/>
                <w:szCs w:val="21"/>
              </w:rPr>
            </w:pPr>
            <w:r>
              <w:rPr>
                <w:rFonts w:hAnsi="宋体"/>
                <w:b/>
                <w:bCs/>
                <w:kern w:val="0"/>
                <w:szCs w:val="21"/>
              </w:rPr>
              <w:t>种名</w:t>
            </w:r>
          </w:p>
        </w:tc>
        <w:tc>
          <w:tcPr>
            <w:tcW w:w="3433" w:type="dxa"/>
            <w:vAlign w:val="center"/>
          </w:tcPr>
          <w:p>
            <w:pPr>
              <w:spacing w:line="280" w:lineRule="exact"/>
              <w:ind w:firstLine="420" w:firstLineChars="199"/>
              <w:rPr>
                <w:b/>
                <w:bCs/>
                <w:kern w:val="0"/>
                <w:szCs w:val="21"/>
              </w:rPr>
            </w:pPr>
            <w:r>
              <w:rPr>
                <w:rFonts w:hAnsi="宋体"/>
                <w:b/>
                <w:kern w:val="0"/>
                <w:szCs w:val="21"/>
              </w:rPr>
              <w:t>生境</w:t>
            </w:r>
          </w:p>
        </w:tc>
        <w:tc>
          <w:tcPr>
            <w:tcW w:w="890" w:type="dxa"/>
            <w:vAlign w:val="center"/>
          </w:tcPr>
          <w:p>
            <w:pPr>
              <w:spacing w:line="280" w:lineRule="exact"/>
              <w:ind w:left="-21" w:leftChars="-10" w:right="-21" w:rightChars="-10"/>
              <w:jc w:val="center"/>
              <w:rPr>
                <w:b/>
                <w:bCs/>
                <w:kern w:val="0"/>
                <w:szCs w:val="21"/>
              </w:rPr>
            </w:pPr>
            <w:r>
              <w:rPr>
                <w:rFonts w:hAnsi="宋体"/>
                <w:b/>
                <w:bCs/>
                <w:kern w:val="0"/>
                <w:szCs w:val="21"/>
              </w:rPr>
              <w:t>区系</w:t>
            </w:r>
          </w:p>
        </w:tc>
        <w:tc>
          <w:tcPr>
            <w:tcW w:w="784" w:type="dxa"/>
            <w:vAlign w:val="center"/>
          </w:tcPr>
          <w:p>
            <w:pPr>
              <w:spacing w:line="280" w:lineRule="exact"/>
              <w:ind w:left="-115" w:leftChars="-55" w:right="-130" w:rightChars="-62"/>
              <w:jc w:val="center"/>
              <w:rPr>
                <w:rFonts w:hAnsi="宋体"/>
                <w:b/>
                <w:bCs/>
                <w:kern w:val="0"/>
                <w:szCs w:val="21"/>
              </w:rPr>
            </w:pPr>
            <w:r>
              <w:rPr>
                <w:rFonts w:hAnsi="宋体"/>
                <w:b/>
                <w:bCs/>
                <w:kern w:val="0"/>
                <w:szCs w:val="21"/>
              </w:rPr>
              <w:t>种群</w:t>
            </w:r>
          </w:p>
          <w:p>
            <w:pPr>
              <w:spacing w:line="280" w:lineRule="exact"/>
              <w:ind w:left="-115" w:leftChars="-55" w:right="-130" w:rightChars="-62"/>
              <w:jc w:val="center"/>
              <w:rPr>
                <w:b/>
                <w:bCs/>
                <w:kern w:val="0"/>
                <w:szCs w:val="21"/>
              </w:rPr>
            </w:pPr>
            <w:r>
              <w:rPr>
                <w:rFonts w:hint="eastAsia" w:hAnsi="宋体"/>
                <w:b/>
                <w:bCs/>
                <w:kern w:val="0"/>
                <w:szCs w:val="21"/>
              </w:rPr>
              <w:t>数量</w:t>
            </w:r>
          </w:p>
        </w:tc>
        <w:tc>
          <w:tcPr>
            <w:tcW w:w="767" w:type="dxa"/>
            <w:vAlign w:val="center"/>
          </w:tcPr>
          <w:p>
            <w:pPr>
              <w:spacing w:line="280" w:lineRule="exact"/>
              <w:ind w:left="-21" w:leftChars="-10" w:right="-21" w:rightChars="-10"/>
              <w:jc w:val="center"/>
              <w:rPr>
                <w:b/>
                <w:bCs/>
                <w:kern w:val="0"/>
                <w:szCs w:val="21"/>
              </w:rPr>
            </w:pPr>
            <w:r>
              <w:rPr>
                <w:rFonts w:hAnsi="宋体"/>
                <w:b/>
                <w:bCs/>
                <w:kern w:val="0"/>
                <w:szCs w:val="21"/>
              </w:rPr>
              <w:t>保护</w:t>
            </w:r>
          </w:p>
          <w:p>
            <w:pPr>
              <w:spacing w:line="280" w:lineRule="exact"/>
              <w:ind w:left="-21" w:leftChars="-10" w:right="-21" w:rightChars="-10"/>
              <w:jc w:val="center"/>
              <w:rPr>
                <w:b/>
                <w:bCs/>
                <w:kern w:val="0"/>
                <w:szCs w:val="21"/>
              </w:rPr>
            </w:pPr>
            <w:r>
              <w:rPr>
                <w:rFonts w:hAnsi="宋体"/>
                <w:b/>
                <w:bCs/>
                <w:kern w:val="0"/>
                <w:szCs w:val="21"/>
              </w:rPr>
              <w:t>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b/>
                <w:kern w:val="0"/>
                <w:szCs w:val="21"/>
              </w:rPr>
              <w:t>一、食虫目</w:t>
            </w:r>
            <w:r>
              <w:rPr>
                <w:b/>
                <w:caps/>
                <w:kern w:val="0"/>
                <w:szCs w:val="21"/>
              </w:rPr>
              <w:t>Insectivora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szCs w:val="21"/>
              </w:rPr>
              <w:t>（一）猬科</w:t>
            </w:r>
            <w:r>
              <w:rPr>
                <w:szCs w:val="21"/>
              </w:rPr>
              <w:t>Erinaceidae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kern w:val="0"/>
                <w:szCs w:val="21"/>
              </w:rPr>
            </w:pPr>
            <w:r>
              <w:rPr>
                <w:rFonts w:hAnsi="宋体"/>
                <w:szCs w:val="21"/>
              </w:rPr>
              <w:t>刺猬</w:t>
            </w:r>
          </w:p>
          <w:p>
            <w:pPr>
              <w:spacing w:line="280" w:lineRule="exact"/>
              <w:rPr>
                <w:kern w:val="0"/>
                <w:szCs w:val="21"/>
              </w:rPr>
            </w:pPr>
            <w:r>
              <w:rPr>
                <w:i/>
                <w:szCs w:val="21"/>
              </w:rPr>
              <w:t>Erinaceus europaeus</w:t>
            </w:r>
          </w:p>
        </w:tc>
        <w:tc>
          <w:tcPr>
            <w:tcW w:w="3433" w:type="dxa"/>
            <w:vAlign w:val="center"/>
          </w:tcPr>
          <w:p>
            <w:pPr>
              <w:spacing w:line="280" w:lineRule="exact"/>
              <w:ind w:right="-21" w:rightChars="-10"/>
              <w:rPr>
                <w:kern w:val="0"/>
                <w:szCs w:val="21"/>
              </w:rPr>
            </w:pPr>
            <w:r>
              <w:rPr>
                <w:rFonts w:hAnsi="宋体"/>
                <w:kern w:val="0"/>
                <w:szCs w:val="21"/>
              </w:rPr>
              <w:t>生境多样，在树根、倒木、石隙、灌丛等处做窝。</w:t>
            </w:r>
          </w:p>
        </w:tc>
        <w:tc>
          <w:tcPr>
            <w:tcW w:w="890" w:type="dxa"/>
            <w:vAlign w:val="center"/>
          </w:tcPr>
          <w:p>
            <w:pPr>
              <w:spacing w:line="280" w:lineRule="exact"/>
              <w:ind w:left="-21" w:leftChars="-10" w:right="-21" w:rightChars="-10"/>
              <w:rPr>
                <w:kern w:val="0"/>
                <w:szCs w:val="21"/>
              </w:rPr>
            </w:pPr>
            <w:r>
              <w:rPr>
                <w:rFonts w:hAnsi="宋体"/>
                <w:kern w:val="0"/>
                <w:szCs w:val="21"/>
              </w:rPr>
              <w:t>古北种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szCs w:val="21"/>
              </w:rPr>
              <w:t>（二）鼩鼱科</w:t>
            </w:r>
            <w:r>
              <w:rPr>
                <w:szCs w:val="21"/>
              </w:rPr>
              <w:t>Soricidae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短尾鼩</w:t>
            </w:r>
          </w:p>
          <w:p>
            <w:pPr>
              <w:spacing w:line="280" w:lineRule="exact"/>
              <w:rPr>
                <w:rFonts w:hAnsi="宋体"/>
                <w:szCs w:val="21"/>
              </w:rPr>
            </w:pPr>
            <w:r>
              <w:rPr>
                <w:i/>
                <w:szCs w:val="21"/>
              </w:rPr>
              <w:t>Anourosorex squamipes</w:t>
            </w:r>
          </w:p>
        </w:tc>
        <w:tc>
          <w:tcPr>
            <w:tcW w:w="3433" w:type="dxa"/>
            <w:vAlign w:val="center"/>
          </w:tcPr>
          <w:p>
            <w:pPr>
              <w:spacing w:line="280" w:lineRule="exact"/>
              <w:ind w:right="-21" w:rightChars="-10"/>
              <w:rPr>
                <w:rFonts w:hAnsi="宋体"/>
                <w:szCs w:val="21"/>
              </w:rPr>
            </w:pPr>
            <w:r>
              <w:rPr>
                <w:rFonts w:hAnsi="宋体"/>
                <w:szCs w:val="21"/>
              </w:rPr>
              <w:t>栖息于林地、草地、田野及村屯。</w:t>
            </w:r>
          </w:p>
        </w:tc>
        <w:tc>
          <w:tcPr>
            <w:tcW w:w="890" w:type="dxa"/>
            <w:vAlign w:val="center"/>
          </w:tcPr>
          <w:p>
            <w:pPr>
              <w:spacing w:line="280" w:lineRule="exact"/>
              <w:ind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b/>
                <w:szCs w:val="21"/>
              </w:rPr>
              <w:t>二、翼手目</w:t>
            </w:r>
            <w:r>
              <w:rPr>
                <w:b/>
                <w:szCs w:val="21"/>
              </w:rPr>
              <w:t xml:space="preserve"> CHIROPTERA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szCs w:val="21"/>
              </w:rPr>
              <w:t>（三）蝙蝠科</w:t>
            </w:r>
            <w:r>
              <w:rPr>
                <w:szCs w:val="21"/>
              </w:rPr>
              <w:t>Hipposiderid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szCs w:val="21"/>
              </w:rPr>
              <w:t>普通伏翼</w:t>
            </w:r>
          </w:p>
          <w:p>
            <w:pPr>
              <w:spacing w:line="280" w:lineRule="exact"/>
              <w:rPr>
                <w:rFonts w:hAnsi="宋体"/>
                <w:szCs w:val="21"/>
              </w:rPr>
            </w:pPr>
            <w:r>
              <w:rPr>
                <w:i/>
                <w:szCs w:val="21"/>
              </w:rPr>
              <w:t>Pipistrellus abramus</w:t>
            </w:r>
          </w:p>
        </w:tc>
        <w:tc>
          <w:tcPr>
            <w:tcW w:w="3433" w:type="dxa"/>
            <w:vAlign w:val="center"/>
          </w:tcPr>
          <w:p>
            <w:pPr>
              <w:spacing w:line="280" w:lineRule="exact"/>
              <w:ind w:right="-21" w:rightChars="-10"/>
              <w:rPr>
                <w:rFonts w:hAnsi="宋体"/>
                <w:szCs w:val="21"/>
              </w:rPr>
            </w:pPr>
            <w:r>
              <w:rPr>
                <w:rFonts w:hint="eastAsia" w:hAnsi="宋体"/>
                <w:szCs w:val="21"/>
              </w:rPr>
              <w:t xml:space="preserve">栖息在住宅附近 </w:t>
            </w:r>
          </w:p>
        </w:tc>
        <w:tc>
          <w:tcPr>
            <w:tcW w:w="890" w:type="dxa"/>
            <w:vAlign w:val="center"/>
          </w:tcPr>
          <w:p>
            <w:pPr>
              <w:spacing w:line="280" w:lineRule="exact"/>
              <w:ind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left="-57" w:leftChars="-27" w:right="-78" w:rightChars="-37"/>
              <w:jc w:val="center"/>
              <w:rPr>
                <w:kern w:val="0"/>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rFonts w:hAnsi="宋体"/>
                <w:kern w:val="0"/>
                <w:szCs w:val="21"/>
              </w:rPr>
            </w:pPr>
            <w:r>
              <w:rPr>
                <w:rFonts w:hint="eastAsia" w:hAnsi="宋体"/>
                <w:b/>
                <w:szCs w:val="21"/>
              </w:rPr>
              <w:t>三</w:t>
            </w:r>
            <w:r>
              <w:rPr>
                <w:rFonts w:hAnsi="宋体"/>
                <w:b/>
                <w:szCs w:val="21"/>
              </w:rPr>
              <w:t>、兔形目</w:t>
            </w:r>
            <w:r>
              <w:rPr>
                <w:b/>
                <w:szCs w:val="21"/>
              </w:rPr>
              <w:t xml:space="preserve"> LAGOMORPHA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rFonts w:hAnsi="宋体"/>
                <w:kern w:val="0"/>
                <w:szCs w:val="21"/>
              </w:rPr>
            </w:pPr>
            <w:r>
              <w:rPr>
                <w:rFonts w:hAnsi="宋体"/>
                <w:szCs w:val="21"/>
              </w:rPr>
              <w:t>（四）兔科</w:t>
            </w:r>
            <w:r>
              <w:rPr>
                <w:szCs w:val="21"/>
              </w:rPr>
              <w:t>Leporidae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草兔</w:t>
            </w:r>
            <w:r>
              <w:rPr>
                <w:i/>
                <w:szCs w:val="21"/>
              </w:rPr>
              <w:t>Lepus capensis</w:t>
            </w:r>
          </w:p>
        </w:tc>
        <w:tc>
          <w:tcPr>
            <w:tcW w:w="3433" w:type="dxa"/>
            <w:vAlign w:val="center"/>
          </w:tcPr>
          <w:p>
            <w:pPr>
              <w:spacing w:line="280" w:lineRule="exact"/>
              <w:ind w:right="-21" w:rightChars="-10"/>
              <w:rPr>
                <w:rFonts w:hAnsi="宋体"/>
                <w:szCs w:val="21"/>
              </w:rPr>
            </w:pPr>
            <w:r>
              <w:rPr>
                <w:rFonts w:hAnsi="宋体"/>
                <w:szCs w:val="21"/>
              </w:rPr>
              <w:t>主要栖息于农田或农田附近沟渠两岸的灌丛、草丛，山坡灌丛及林缘。</w:t>
            </w:r>
          </w:p>
        </w:tc>
        <w:tc>
          <w:tcPr>
            <w:tcW w:w="890" w:type="dxa"/>
            <w:vAlign w:val="center"/>
          </w:tcPr>
          <w:p>
            <w:pPr>
              <w:spacing w:line="280" w:lineRule="exact"/>
              <w:ind w:left="-21" w:leftChars="-10"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r>
              <w:rPr>
                <w:rFonts w:hint="eastAsia"/>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华南兔</w:t>
            </w:r>
            <w:r>
              <w:rPr>
                <w:i/>
                <w:szCs w:val="21"/>
              </w:rPr>
              <w:t>L.</w:t>
            </w:r>
            <w:r>
              <w:rPr>
                <w:rFonts w:hint="eastAsia"/>
                <w:i/>
                <w:szCs w:val="21"/>
              </w:rPr>
              <w:t xml:space="preserve"> </w:t>
            </w:r>
            <w:r>
              <w:rPr>
                <w:i/>
                <w:szCs w:val="21"/>
              </w:rPr>
              <w:t>sinensis</w:t>
            </w:r>
          </w:p>
        </w:tc>
        <w:tc>
          <w:tcPr>
            <w:tcW w:w="3433" w:type="dxa"/>
            <w:vAlign w:val="center"/>
          </w:tcPr>
          <w:p>
            <w:pPr>
              <w:spacing w:line="280" w:lineRule="exact"/>
              <w:ind w:right="-21" w:rightChars="-10"/>
              <w:rPr>
                <w:rFonts w:hAnsi="宋体"/>
                <w:szCs w:val="21"/>
              </w:rPr>
            </w:pPr>
            <w:r>
              <w:rPr>
                <w:rFonts w:hAnsi="宋体"/>
                <w:szCs w:val="21"/>
              </w:rPr>
              <w:t>主要栖息在山麓的浅草坡和灌丛地带及农田附近。</w:t>
            </w:r>
          </w:p>
        </w:tc>
        <w:tc>
          <w:tcPr>
            <w:tcW w:w="890" w:type="dxa"/>
            <w:vAlign w:val="center"/>
          </w:tcPr>
          <w:p>
            <w:pPr>
              <w:spacing w:line="280" w:lineRule="exact"/>
              <w:ind w:left="-21" w:leftChars="-10"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right="-21" w:rightChars="-10"/>
              <w:rPr>
                <w:rFonts w:hAnsi="宋体"/>
                <w:szCs w:val="21"/>
              </w:rPr>
            </w:pPr>
            <w:r>
              <w:rPr>
                <w:rFonts w:hAnsi="宋体"/>
                <w:szCs w:val="21"/>
              </w:rPr>
              <w:t>省级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int="eastAsia" w:hAnsi="宋体"/>
                <w:b/>
                <w:szCs w:val="21"/>
              </w:rPr>
              <w:t>四</w:t>
            </w:r>
            <w:r>
              <w:rPr>
                <w:rFonts w:hAnsi="宋体"/>
                <w:b/>
                <w:szCs w:val="21"/>
              </w:rPr>
              <w:t>、啮齿目</w:t>
            </w:r>
            <w:r>
              <w:rPr>
                <w:b/>
                <w:szCs w:val="21"/>
              </w:rPr>
              <w:t xml:space="preserve"> RODENTIA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szCs w:val="21"/>
              </w:rPr>
              <w:t>（</w:t>
            </w:r>
            <w:r>
              <w:rPr>
                <w:rFonts w:hint="eastAsia" w:hAnsi="宋体"/>
                <w:szCs w:val="21"/>
              </w:rPr>
              <w:t>五</w:t>
            </w:r>
            <w:r>
              <w:rPr>
                <w:rFonts w:hAnsi="宋体"/>
                <w:szCs w:val="21"/>
              </w:rPr>
              <w:t>）鼠科</w:t>
            </w:r>
            <w:r>
              <w:rPr>
                <w:szCs w:val="21"/>
              </w:rPr>
              <w:t xml:space="preserve"> Muridae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szCs w:val="21"/>
              </w:rPr>
              <w:t>褐家鼠</w:t>
            </w:r>
          </w:p>
          <w:p>
            <w:pPr>
              <w:spacing w:line="280" w:lineRule="exact"/>
              <w:rPr>
                <w:rFonts w:hAnsi="宋体"/>
                <w:szCs w:val="21"/>
              </w:rPr>
            </w:pPr>
            <w:r>
              <w:rPr>
                <w:i/>
                <w:szCs w:val="21"/>
              </w:rPr>
              <w:t>Rattus .norvegeicus</w:t>
            </w:r>
          </w:p>
        </w:tc>
        <w:tc>
          <w:tcPr>
            <w:tcW w:w="3433" w:type="dxa"/>
            <w:vAlign w:val="center"/>
          </w:tcPr>
          <w:p>
            <w:pPr>
              <w:spacing w:line="280" w:lineRule="exact"/>
              <w:ind w:right="-21" w:rightChars="-10"/>
              <w:rPr>
                <w:rFonts w:hAnsi="宋体"/>
                <w:szCs w:val="21"/>
              </w:rPr>
            </w:pPr>
            <w:r>
              <w:rPr>
                <w:rFonts w:hint="eastAsia" w:hAnsi="宋体"/>
                <w:szCs w:val="21"/>
              </w:rPr>
              <w:t>分布广泛</w:t>
            </w:r>
          </w:p>
        </w:tc>
        <w:tc>
          <w:tcPr>
            <w:tcW w:w="890" w:type="dxa"/>
            <w:vAlign w:val="center"/>
          </w:tcPr>
          <w:p>
            <w:pPr>
              <w:spacing w:line="280" w:lineRule="exact"/>
              <w:ind w:right="-21" w:rightChars="-10"/>
              <w:rPr>
                <w:rFonts w:hAnsi="宋体"/>
                <w:szCs w:val="21"/>
              </w:rPr>
            </w:pPr>
            <w:r>
              <w:rPr>
                <w:szCs w:val="21"/>
              </w:rPr>
              <w:t>东洋种</w:t>
            </w:r>
          </w:p>
        </w:tc>
        <w:tc>
          <w:tcPr>
            <w:tcW w:w="784" w:type="dxa"/>
            <w:vAlign w:val="center"/>
          </w:tcPr>
          <w:p>
            <w:pPr>
              <w:spacing w:line="280" w:lineRule="exact"/>
              <w:ind w:right="-21" w:rightChars="-10"/>
              <w:jc w:val="center"/>
              <w:rPr>
                <w:kern w:val="0"/>
                <w:szCs w:val="21"/>
              </w:rPr>
            </w:pPr>
            <w:r>
              <w:rPr>
                <w:rFonts w:hint="eastAsia"/>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社鼠</w:t>
            </w:r>
            <w:r>
              <w:rPr>
                <w:rFonts w:hAnsi="宋体"/>
                <w:i/>
                <w:szCs w:val="21"/>
              </w:rPr>
              <w:t>R.</w:t>
            </w:r>
            <w:r>
              <w:rPr>
                <w:rFonts w:hint="eastAsia" w:hAnsi="宋体"/>
                <w:i/>
                <w:szCs w:val="21"/>
              </w:rPr>
              <w:t xml:space="preserve"> </w:t>
            </w:r>
            <w:r>
              <w:rPr>
                <w:rFonts w:hAnsi="宋体"/>
                <w:i/>
                <w:szCs w:val="21"/>
              </w:rPr>
              <w:t>niviventer</w:t>
            </w:r>
          </w:p>
        </w:tc>
        <w:tc>
          <w:tcPr>
            <w:tcW w:w="3433" w:type="dxa"/>
            <w:vAlign w:val="center"/>
          </w:tcPr>
          <w:p>
            <w:pPr>
              <w:spacing w:line="280" w:lineRule="exact"/>
              <w:ind w:right="-21" w:rightChars="-10"/>
              <w:rPr>
                <w:rFonts w:hAnsi="宋体"/>
                <w:szCs w:val="21"/>
              </w:rPr>
            </w:pPr>
            <w:r>
              <w:rPr>
                <w:rFonts w:hAnsi="宋体"/>
                <w:szCs w:val="21"/>
              </w:rPr>
              <w:t>栖息林地、灌丛、作物区及石缝、溪旁草丛中。</w:t>
            </w:r>
          </w:p>
        </w:tc>
        <w:tc>
          <w:tcPr>
            <w:tcW w:w="890" w:type="dxa"/>
            <w:vAlign w:val="center"/>
          </w:tcPr>
          <w:p>
            <w:pPr>
              <w:spacing w:line="280" w:lineRule="exact"/>
              <w:ind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szCs w:val="21"/>
              </w:rPr>
              <w:t>小家鼠Mus musculus</w:t>
            </w:r>
          </w:p>
        </w:tc>
        <w:tc>
          <w:tcPr>
            <w:tcW w:w="3433" w:type="dxa"/>
            <w:vAlign w:val="center"/>
          </w:tcPr>
          <w:p>
            <w:pPr>
              <w:spacing w:line="280" w:lineRule="exact"/>
              <w:ind w:right="-21" w:rightChars="-10"/>
              <w:rPr>
                <w:rFonts w:hAnsi="宋体"/>
                <w:szCs w:val="21"/>
              </w:rPr>
            </w:pPr>
            <w:r>
              <w:rPr>
                <w:rFonts w:hint="eastAsia" w:hAnsi="宋体"/>
                <w:szCs w:val="21"/>
              </w:rPr>
              <w:t>村落</w:t>
            </w:r>
          </w:p>
        </w:tc>
        <w:tc>
          <w:tcPr>
            <w:tcW w:w="890" w:type="dxa"/>
            <w:vAlign w:val="center"/>
          </w:tcPr>
          <w:p>
            <w:pPr>
              <w:spacing w:line="280" w:lineRule="exact"/>
              <w:ind w:right="-21" w:rightChars="-10"/>
              <w:rPr>
                <w:rFonts w:hAnsi="宋体"/>
                <w:szCs w:val="21"/>
              </w:rPr>
            </w:pPr>
            <w:r>
              <w:rPr>
                <w:rFonts w:hint="eastAsia" w:hAnsi="宋体"/>
                <w:szCs w:val="21"/>
              </w:rPr>
              <w:t>广布种</w:t>
            </w:r>
          </w:p>
        </w:tc>
        <w:tc>
          <w:tcPr>
            <w:tcW w:w="784" w:type="dxa"/>
            <w:vAlign w:val="center"/>
          </w:tcPr>
          <w:p>
            <w:pPr>
              <w:spacing w:line="280" w:lineRule="exact"/>
              <w:ind w:right="-21" w:rightChars="-10"/>
              <w:jc w:val="center"/>
              <w:rPr>
                <w:kern w:val="0"/>
                <w:szCs w:val="21"/>
              </w:rPr>
            </w:pPr>
            <w:r>
              <w:rPr>
                <w:rFonts w:hint="eastAsia"/>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int="eastAsia" w:hAnsi="宋体"/>
                <w:b/>
                <w:szCs w:val="21"/>
              </w:rPr>
              <w:t>五</w:t>
            </w:r>
            <w:r>
              <w:rPr>
                <w:rFonts w:hAnsi="宋体"/>
                <w:b/>
                <w:szCs w:val="21"/>
              </w:rPr>
              <w:t>、食肉目</w:t>
            </w:r>
            <w:r>
              <w:rPr>
                <w:b/>
                <w:szCs w:val="21"/>
              </w:rPr>
              <w:t xml:space="preserve"> CARNIVORA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8522" w:type="dxa"/>
            <w:gridSpan w:val="5"/>
            <w:vAlign w:val="center"/>
          </w:tcPr>
          <w:p>
            <w:pPr>
              <w:spacing w:line="280" w:lineRule="exact"/>
              <w:rPr>
                <w:kern w:val="0"/>
                <w:szCs w:val="21"/>
              </w:rPr>
            </w:pPr>
            <w:r>
              <w:rPr>
                <w:rFonts w:hAnsi="宋体"/>
                <w:szCs w:val="21"/>
              </w:rPr>
              <w:t>（</w:t>
            </w:r>
            <w:r>
              <w:rPr>
                <w:rFonts w:hint="eastAsia" w:hAnsi="宋体"/>
                <w:szCs w:val="21"/>
              </w:rPr>
              <w:t>六</w:t>
            </w:r>
            <w:r>
              <w:rPr>
                <w:rFonts w:hAnsi="宋体"/>
                <w:szCs w:val="21"/>
              </w:rPr>
              <w:t>）鼬科</w:t>
            </w:r>
            <w:r>
              <w:rPr>
                <w:szCs w:val="21"/>
              </w:rPr>
              <w:t xml:space="preserve"> Mustelidae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黄鼬</w:t>
            </w:r>
            <w:r>
              <w:rPr>
                <w:rFonts w:hAnsi="宋体"/>
                <w:i/>
                <w:szCs w:val="21"/>
              </w:rPr>
              <w:t>Mustela sibirica</w:t>
            </w:r>
          </w:p>
        </w:tc>
        <w:tc>
          <w:tcPr>
            <w:tcW w:w="3433" w:type="dxa"/>
            <w:vAlign w:val="center"/>
          </w:tcPr>
          <w:p>
            <w:pPr>
              <w:spacing w:line="280" w:lineRule="exact"/>
              <w:ind w:right="-21" w:rightChars="-10"/>
              <w:rPr>
                <w:rFonts w:hAnsi="宋体"/>
                <w:szCs w:val="21"/>
              </w:rPr>
            </w:pPr>
            <w:r>
              <w:rPr>
                <w:rFonts w:hAnsi="宋体"/>
                <w:szCs w:val="21"/>
              </w:rPr>
              <w:t>栖息环境极其广泛，常见于森林林缘、灌丛、沼泽、河谷、丘陵和平原等地。</w:t>
            </w:r>
          </w:p>
        </w:tc>
        <w:tc>
          <w:tcPr>
            <w:tcW w:w="890" w:type="dxa"/>
            <w:vAlign w:val="center"/>
          </w:tcPr>
          <w:p>
            <w:pPr>
              <w:spacing w:line="280" w:lineRule="exact"/>
              <w:ind w:right="-21" w:rightChars="-10"/>
              <w:rPr>
                <w:rFonts w:hAnsi="宋体"/>
                <w:szCs w:val="21"/>
              </w:rPr>
            </w:pPr>
            <w:r>
              <w:rPr>
                <w:rFonts w:hAnsi="宋体"/>
                <w:szCs w:val="21"/>
              </w:rPr>
              <w:t>广布种</w:t>
            </w:r>
          </w:p>
        </w:tc>
        <w:tc>
          <w:tcPr>
            <w:tcW w:w="784" w:type="dxa"/>
            <w:vAlign w:val="center"/>
          </w:tcPr>
          <w:p>
            <w:pPr>
              <w:spacing w:line="280" w:lineRule="exact"/>
              <w:ind w:right="-21" w:rightChars="-10"/>
              <w:jc w:val="center"/>
              <w:rPr>
                <w:kern w:val="0"/>
                <w:szCs w:val="21"/>
              </w:rPr>
            </w:pPr>
            <w:r>
              <w:rPr>
                <w:kern w:val="0"/>
                <w:szCs w:val="21"/>
              </w:rPr>
              <w:t>+</w:t>
            </w:r>
            <w:r>
              <w:rPr>
                <w:rFonts w:hint="eastAsia"/>
                <w:kern w:val="0"/>
                <w:szCs w:val="21"/>
              </w:rPr>
              <w:t>+</w:t>
            </w:r>
          </w:p>
        </w:tc>
        <w:tc>
          <w:tcPr>
            <w:tcW w:w="767" w:type="dxa"/>
            <w:vAlign w:val="center"/>
          </w:tcPr>
          <w:p>
            <w:pPr>
              <w:spacing w:line="280" w:lineRule="exact"/>
              <w:ind w:left="-57" w:leftChars="-27" w:right="-78" w:rightChars="-37"/>
              <w:jc w:val="center"/>
              <w:rPr>
                <w:rFonts w:hAnsi="宋体"/>
                <w:szCs w:val="21"/>
              </w:rPr>
            </w:pPr>
            <w:r>
              <w:rPr>
                <w:rFonts w:hAnsi="宋体"/>
                <w:szCs w:val="21"/>
              </w:rPr>
              <w:t>未列入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648" w:type="dxa"/>
            <w:vAlign w:val="center"/>
          </w:tcPr>
          <w:p>
            <w:pPr>
              <w:numPr>
                <w:ilvl w:val="0"/>
                <w:numId w:val="27"/>
              </w:numPr>
              <w:spacing w:line="280" w:lineRule="exact"/>
              <w:ind w:left="0" w:firstLine="0"/>
              <w:rPr>
                <w:rFonts w:hAnsi="宋体"/>
                <w:szCs w:val="21"/>
              </w:rPr>
            </w:pPr>
            <w:r>
              <w:rPr>
                <w:rFonts w:hAnsi="宋体"/>
                <w:szCs w:val="21"/>
              </w:rPr>
              <w:t>黄腹鼬</w:t>
            </w:r>
            <w:r>
              <w:rPr>
                <w:rFonts w:hAnsi="宋体"/>
                <w:i/>
                <w:szCs w:val="21"/>
              </w:rPr>
              <w:t>M. kathiah</w:t>
            </w:r>
          </w:p>
        </w:tc>
        <w:tc>
          <w:tcPr>
            <w:tcW w:w="3433" w:type="dxa"/>
            <w:vAlign w:val="center"/>
          </w:tcPr>
          <w:p>
            <w:pPr>
              <w:spacing w:line="280" w:lineRule="exact"/>
              <w:ind w:right="-21" w:rightChars="-10"/>
              <w:rPr>
                <w:rFonts w:hAnsi="宋体"/>
                <w:szCs w:val="21"/>
              </w:rPr>
            </w:pPr>
            <w:r>
              <w:rPr>
                <w:rFonts w:hAnsi="宋体"/>
                <w:szCs w:val="21"/>
              </w:rPr>
              <w:t>多栖息于山地森林、草丛、低山丘陵、农田及村庄附近。</w:t>
            </w:r>
          </w:p>
        </w:tc>
        <w:tc>
          <w:tcPr>
            <w:tcW w:w="890" w:type="dxa"/>
            <w:vAlign w:val="center"/>
          </w:tcPr>
          <w:p>
            <w:pPr>
              <w:spacing w:line="280" w:lineRule="exact"/>
              <w:ind w:right="-21" w:rightChars="-10"/>
              <w:rPr>
                <w:rFonts w:hAnsi="宋体"/>
                <w:szCs w:val="21"/>
              </w:rPr>
            </w:pPr>
            <w:r>
              <w:rPr>
                <w:rFonts w:hAnsi="宋体"/>
                <w:szCs w:val="21"/>
              </w:rPr>
              <w:t>东洋种</w:t>
            </w:r>
          </w:p>
        </w:tc>
        <w:tc>
          <w:tcPr>
            <w:tcW w:w="784" w:type="dxa"/>
            <w:vAlign w:val="center"/>
          </w:tcPr>
          <w:p>
            <w:pPr>
              <w:spacing w:line="280" w:lineRule="exact"/>
              <w:ind w:right="-21" w:rightChars="-10"/>
              <w:jc w:val="center"/>
              <w:rPr>
                <w:kern w:val="0"/>
                <w:szCs w:val="21"/>
              </w:rPr>
            </w:pPr>
            <w:r>
              <w:rPr>
                <w:kern w:val="0"/>
                <w:szCs w:val="21"/>
              </w:rPr>
              <w:t>++</w:t>
            </w:r>
          </w:p>
        </w:tc>
        <w:tc>
          <w:tcPr>
            <w:tcW w:w="767" w:type="dxa"/>
            <w:vAlign w:val="center"/>
          </w:tcPr>
          <w:p>
            <w:pPr>
              <w:spacing w:line="280" w:lineRule="exact"/>
              <w:ind w:right="-21" w:rightChars="-10"/>
              <w:rPr>
                <w:rFonts w:hAnsi="宋体"/>
                <w:szCs w:val="21"/>
              </w:rPr>
            </w:pPr>
            <w:r>
              <w:rPr>
                <w:rFonts w:hAnsi="宋体"/>
                <w:szCs w:val="21"/>
              </w:rPr>
              <w:t>省级</w:t>
            </w:r>
          </w:p>
        </w:tc>
      </w:tr>
    </w:tbl>
    <w:p>
      <w:pPr>
        <w:ind w:firstLine="420"/>
        <w:rPr>
          <w:b/>
          <w:sz w:val="18"/>
          <w:szCs w:val="18"/>
        </w:rPr>
      </w:pPr>
      <w:r>
        <w:rPr>
          <w:rFonts w:hint="eastAsia"/>
          <w:b/>
          <w:sz w:val="18"/>
          <w:szCs w:val="18"/>
        </w:rPr>
        <w:t>注：分类系统依据 《中国脊椎动物大全》（刘明玉 主编 2000年）</w:t>
      </w:r>
    </w:p>
    <w:p>
      <w:pPr>
        <w:spacing w:line="360" w:lineRule="auto"/>
        <w:ind w:firstLine="480" w:firstLineChars="200"/>
        <w:rPr>
          <w:rFonts w:ascii="黑体" w:eastAsia="黑体"/>
          <w:sz w:val="24"/>
        </w:rPr>
      </w:pPr>
      <w:r>
        <w:rPr>
          <w:rFonts w:hint="eastAsia" w:ascii="黑体" w:eastAsia="黑体"/>
          <w:sz w:val="24"/>
        </w:rPr>
        <w:t>（五）重点保护陆生动物</w:t>
      </w:r>
    </w:p>
    <w:p>
      <w:pPr>
        <w:spacing w:line="360" w:lineRule="auto"/>
        <w:ind w:firstLine="480" w:firstLineChars="200"/>
        <w:rPr>
          <w:kern w:val="0"/>
          <w:sz w:val="24"/>
          <w:lang w:val="zh-CN"/>
        </w:rPr>
      </w:pPr>
      <w:r>
        <w:rPr>
          <w:rFonts w:hint="eastAsia"/>
          <w:sz w:val="24"/>
        </w:rPr>
        <w:t>生态评价区内</w:t>
      </w:r>
      <w:r>
        <w:rPr>
          <w:rFonts w:hint="eastAsia"/>
          <w:kern w:val="0"/>
          <w:sz w:val="24"/>
          <w:lang w:val="zh-CN"/>
        </w:rPr>
        <w:t>无</w:t>
      </w:r>
      <w:r>
        <w:rPr>
          <w:rFonts w:hint="eastAsia"/>
          <w:sz w:val="24"/>
        </w:rPr>
        <w:t>国家重点保护陆生动物，有21种湖北省级保护动物，</w:t>
      </w:r>
      <w:r>
        <w:rPr>
          <w:rFonts w:hint="eastAsia"/>
          <w:kern w:val="0"/>
          <w:sz w:val="24"/>
          <w:lang w:val="zh-CN"/>
        </w:rPr>
        <w:t>见表4.4-8。</w:t>
      </w:r>
    </w:p>
    <w:p>
      <w:pPr>
        <w:pStyle w:val="4"/>
        <w:ind w:firstLine="422"/>
        <w:jc w:val="center"/>
        <w:rPr>
          <w:b/>
        </w:rPr>
      </w:pPr>
      <w:r>
        <w:rPr>
          <w:rFonts w:hint="eastAsia"/>
          <w:b/>
        </w:rPr>
        <w:t>表3.6-8  评价区内的重点保护陆生动物名录</w:t>
      </w:r>
    </w:p>
    <w:tbl>
      <w:tblPr>
        <w:tblStyle w:val="104"/>
        <w:tblW w:w="9048"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468"/>
        <w:gridCol w:w="2816"/>
        <w:gridCol w:w="1176"/>
        <w:gridCol w:w="1176"/>
        <w:gridCol w:w="241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tcBorders>
              <w:bottom w:val="single" w:color="auto" w:sz="12" w:space="0"/>
            </w:tcBorders>
            <w:shd w:val="clear" w:color="auto" w:fill="auto"/>
            <w:vAlign w:val="center"/>
          </w:tcPr>
          <w:p>
            <w:pPr>
              <w:jc w:val="center"/>
              <w:rPr>
                <w:b/>
                <w:szCs w:val="21"/>
              </w:rPr>
            </w:pPr>
            <w:r>
              <w:rPr>
                <w:b/>
                <w:szCs w:val="21"/>
              </w:rPr>
              <w:t>种  类</w:t>
            </w:r>
          </w:p>
        </w:tc>
        <w:tc>
          <w:tcPr>
            <w:tcW w:w="2816" w:type="dxa"/>
            <w:tcBorders>
              <w:bottom w:val="single" w:color="auto" w:sz="12" w:space="0"/>
            </w:tcBorders>
            <w:shd w:val="clear" w:color="auto" w:fill="auto"/>
            <w:vAlign w:val="center"/>
          </w:tcPr>
          <w:p>
            <w:pPr>
              <w:jc w:val="center"/>
              <w:rPr>
                <w:b/>
                <w:szCs w:val="21"/>
              </w:rPr>
            </w:pPr>
            <w:r>
              <w:rPr>
                <w:b/>
                <w:szCs w:val="21"/>
              </w:rPr>
              <w:t>生  境</w:t>
            </w:r>
          </w:p>
        </w:tc>
        <w:tc>
          <w:tcPr>
            <w:tcW w:w="1176" w:type="dxa"/>
            <w:tcBorders>
              <w:bottom w:val="single" w:color="auto" w:sz="12" w:space="0"/>
            </w:tcBorders>
            <w:shd w:val="clear" w:color="auto" w:fill="auto"/>
            <w:vAlign w:val="center"/>
          </w:tcPr>
          <w:p>
            <w:pPr>
              <w:jc w:val="center"/>
              <w:rPr>
                <w:b/>
                <w:szCs w:val="21"/>
              </w:rPr>
            </w:pPr>
            <w:r>
              <w:rPr>
                <w:b/>
                <w:szCs w:val="21"/>
              </w:rPr>
              <w:t>保护级别</w:t>
            </w:r>
          </w:p>
        </w:tc>
        <w:tc>
          <w:tcPr>
            <w:tcW w:w="1176" w:type="dxa"/>
            <w:tcBorders>
              <w:bottom w:val="single" w:color="auto" w:sz="12" w:space="0"/>
            </w:tcBorders>
            <w:shd w:val="clear" w:color="auto" w:fill="auto"/>
            <w:vAlign w:val="center"/>
          </w:tcPr>
          <w:p>
            <w:pPr>
              <w:jc w:val="center"/>
              <w:rPr>
                <w:b/>
                <w:szCs w:val="21"/>
              </w:rPr>
            </w:pPr>
            <w:r>
              <w:rPr>
                <w:b/>
                <w:szCs w:val="21"/>
              </w:rPr>
              <w:t>种群数量</w:t>
            </w:r>
          </w:p>
        </w:tc>
        <w:tc>
          <w:tcPr>
            <w:tcW w:w="2412" w:type="dxa"/>
            <w:tcBorders>
              <w:bottom w:val="single" w:color="auto" w:sz="12" w:space="0"/>
            </w:tcBorders>
            <w:shd w:val="clear" w:color="auto" w:fill="auto"/>
            <w:vAlign w:val="center"/>
          </w:tcPr>
          <w:p>
            <w:pPr>
              <w:jc w:val="center"/>
              <w:rPr>
                <w:b/>
                <w:szCs w:val="21"/>
              </w:rPr>
            </w:pPr>
            <w:r>
              <w:rPr>
                <w:rFonts w:hint="eastAsia"/>
                <w:b/>
                <w:szCs w:val="21"/>
              </w:rPr>
              <w:t>区内</w:t>
            </w:r>
            <w:r>
              <w:rPr>
                <w:b/>
                <w:szCs w:val="21"/>
              </w:rPr>
              <w:t>分布情况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tcBorders>
              <w:top w:val="single" w:color="auto" w:sz="12" w:space="0"/>
            </w:tcBorders>
            <w:shd w:val="clear" w:color="auto" w:fill="auto"/>
            <w:vAlign w:val="center"/>
          </w:tcPr>
          <w:p>
            <w:pPr>
              <w:rPr>
                <w:szCs w:val="21"/>
              </w:rPr>
            </w:pPr>
            <w:r>
              <w:rPr>
                <w:szCs w:val="21"/>
              </w:rPr>
              <w:t>1.中华蟾蜍</w:t>
            </w:r>
          </w:p>
        </w:tc>
        <w:tc>
          <w:tcPr>
            <w:tcW w:w="2816" w:type="dxa"/>
            <w:tcBorders>
              <w:top w:val="single" w:color="auto" w:sz="12" w:space="0"/>
            </w:tcBorders>
            <w:shd w:val="clear" w:color="auto" w:fill="auto"/>
            <w:vAlign w:val="center"/>
          </w:tcPr>
          <w:p>
            <w:pPr>
              <w:rPr>
                <w:szCs w:val="21"/>
              </w:rPr>
            </w:pPr>
            <w:r>
              <w:rPr>
                <w:szCs w:val="21"/>
              </w:rPr>
              <w:t>溪沟、灌草丛、村落</w:t>
            </w:r>
          </w:p>
        </w:tc>
        <w:tc>
          <w:tcPr>
            <w:tcW w:w="1176" w:type="dxa"/>
            <w:tcBorders>
              <w:top w:val="single" w:color="auto" w:sz="12" w:space="0"/>
            </w:tcBorders>
            <w:shd w:val="clear" w:color="auto" w:fill="auto"/>
            <w:vAlign w:val="center"/>
          </w:tcPr>
          <w:p>
            <w:pPr>
              <w:rPr>
                <w:szCs w:val="21"/>
              </w:rPr>
            </w:pPr>
            <w:r>
              <w:rPr>
                <w:szCs w:val="21"/>
              </w:rPr>
              <w:t>省级</w:t>
            </w:r>
          </w:p>
        </w:tc>
        <w:tc>
          <w:tcPr>
            <w:tcW w:w="1176" w:type="dxa"/>
            <w:tcBorders>
              <w:top w:val="single" w:color="auto" w:sz="12" w:space="0"/>
            </w:tcBorders>
            <w:shd w:val="clear" w:color="auto" w:fill="auto"/>
            <w:vAlign w:val="center"/>
          </w:tcPr>
          <w:p>
            <w:pPr>
              <w:rPr>
                <w:szCs w:val="21"/>
              </w:rPr>
            </w:pPr>
            <w:r>
              <w:rPr>
                <w:szCs w:val="21"/>
              </w:rPr>
              <w:t>++</w:t>
            </w:r>
            <w:r>
              <w:rPr>
                <w:rFonts w:hint="eastAsia"/>
                <w:szCs w:val="21"/>
              </w:rPr>
              <w:t>+</w:t>
            </w:r>
          </w:p>
        </w:tc>
        <w:tc>
          <w:tcPr>
            <w:tcW w:w="2412" w:type="dxa"/>
            <w:vMerge w:val="restart"/>
            <w:tcBorders>
              <w:top w:val="single" w:color="auto" w:sz="12" w:space="0"/>
            </w:tcBorders>
            <w:shd w:val="clear" w:color="auto" w:fill="auto"/>
            <w:vAlign w:val="center"/>
          </w:tcPr>
          <w:p>
            <w:pPr>
              <w:rPr>
                <w:szCs w:val="21"/>
              </w:rPr>
            </w:pPr>
            <w:r>
              <w:rPr>
                <w:szCs w:val="21"/>
              </w:rPr>
              <w:t>区内水田等附近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tcBorders>
              <w:top w:val="single" w:color="auto" w:sz="12" w:space="0"/>
            </w:tcBorders>
            <w:shd w:val="clear" w:color="auto" w:fill="auto"/>
            <w:vAlign w:val="center"/>
          </w:tcPr>
          <w:p>
            <w:pPr>
              <w:rPr>
                <w:szCs w:val="21"/>
              </w:rPr>
            </w:pPr>
            <w:r>
              <w:rPr>
                <w:rFonts w:hint="eastAsia"/>
                <w:bCs/>
                <w:kern w:val="0"/>
                <w:szCs w:val="21"/>
              </w:rPr>
              <w:t>2</w:t>
            </w:r>
            <w:r>
              <w:rPr>
                <w:bCs/>
                <w:kern w:val="0"/>
                <w:szCs w:val="21"/>
              </w:rPr>
              <w:t>.沼蛙</w:t>
            </w:r>
          </w:p>
        </w:tc>
        <w:tc>
          <w:tcPr>
            <w:tcW w:w="2816" w:type="dxa"/>
            <w:tcBorders>
              <w:top w:val="single" w:color="auto" w:sz="12" w:space="0"/>
            </w:tcBorders>
            <w:shd w:val="clear" w:color="auto" w:fill="auto"/>
            <w:vAlign w:val="center"/>
          </w:tcPr>
          <w:p>
            <w:pPr>
              <w:rPr>
                <w:szCs w:val="21"/>
              </w:rPr>
            </w:pPr>
            <w:r>
              <w:rPr>
                <w:bCs/>
                <w:kern w:val="0"/>
                <w:szCs w:val="21"/>
              </w:rPr>
              <w:t>常栖息于池塘、水沟或小河内，或附近的草丛中</w:t>
            </w:r>
          </w:p>
        </w:tc>
        <w:tc>
          <w:tcPr>
            <w:tcW w:w="1176" w:type="dxa"/>
            <w:tcBorders>
              <w:top w:val="single" w:color="auto" w:sz="12" w:space="0"/>
            </w:tcBorders>
            <w:shd w:val="clear" w:color="auto" w:fill="auto"/>
            <w:vAlign w:val="center"/>
          </w:tcPr>
          <w:p>
            <w:pPr>
              <w:rPr>
                <w:szCs w:val="21"/>
              </w:rPr>
            </w:pPr>
            <w:r>
              <w:rPr>
                <w:szCs w:val="21"/>
              </w:rPr>
              <w:t>省级</w:t>
            </w:r>
          </w:p>
        </w:tc>
        <w:tc>
          <w:tcPr>
            <w:tcW w:w="1176" w:type="dxa"/>
            <w:tcBorders>
              <w:top w:val="single" w:color="auto" w:sz="12" w:space="0"/>
            </w:tcBorders>
            <w:shd w:val="clear" w:color="auto" w:fill="auto"/>
            <w:vAlign w:val="center"/>
          </w:tcPr>
          <w:p>
            <w:pPr>
              <w:rPr>
                <w:szCs w:val="21"/>
              </w:rPr>
            </w:pPr>
            <w:r>
              <w:rPr>
                <w:rFonts w:hint="eastAsia"/>
                <w:szCs w:val="21"/>
              </w:rPr>
              <w:t>++</w:t>
            </w:r>
          </w:p>
        </w:tc>
        <w:tc>
          <w:tcPr>
            <w:tcW w:w="2412" w:type="dxa"/>
            <w:vMerge w:val="continue"/>
            <w:tcBorders>
              <w:top w:val="single" w:color="auto" w:sz="12" w:space="0"/>
            </w:tcBorders>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3</w:t>
            </w:r>
            <w:r>
              <w:rPr>
                <w:szCs w:val="21"/>
              </w:rPr>
              <w:t>.</w:t>
            </w:r>
            <w:r>
              <w:rPr>
                <w:rFonts w:hAnsi="Arial"/>
                <w:szCs w:val="21"/>
              </w:rPr>
              <w:t>黑斑侧褶蛙</w:t>
            </w:r>
          </w:p>
        </w:tc>
        <w:tc>
          <w:tcPr>
            <w:tcW w:w="2816" w:type="dxa"/>
            <w:shd w:val="clear" w:color="auto" w:fill="auto"/>
            <w:vAlign w:val="center"/>
          </w:tcPr>
          <w:p>
            <w:pPr>
              <w:rPr>
                <w:szCs w:val="21"/>
              </w:rPr>
            </w:pPr>
            <w:r>
              <w:rPr>
                <w:szCs w:val="21"/>
              </w:rPr>
              <w:t>水田、溪沟、湖沼</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vMerge w:val="continue"/>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4</w:t>
            </w:r>
            <w:r>
              <w:rPr>
                <w:szCs w:val="21"/>
              </w:rPr>
              <w:t>.泽蛙</w:t>
            </w:r>
          </w:p>
        </w:tc>
        <w:tc>
          <w:tcPr>
            <w:tcW w:w="2816" w:type="dxa"/>
            <w:shd w:val="clear" w:color="auto" w:fill="auto"/>
            <w:vAlign w:val="center"/>
          </w:tcPr>
          <w:p>
            <w:pPr>
              <w:rPr>
                <w:szCs w:val="21"/>
              </w:rPr>
            </w:pPr>
            <w:r>
              <w:rPr>
                <w:szCs w:val="21"/>
              </w:rPr>
              <w:t>水田、沼泽、菜园</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vMerge w:val="continue"/>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5</w:t>
            </w:r>
            <w:r>
              <w:rPr>
                <w:szCs w:val="21"/>
              </w:rPr>
              <w:t>.金线蛙</w:t>
            </w:r>
          </w:p>
        </w:tc>
        <w:tc>
          <w:tcPr>
            <w:tcW w:w="2816" w:type="dxa"/>
            <w:shd w:val="clear" w:color="auto" w:fill="auto"/>
            <w:vAlign w:val="center"/>
          </w:tcPr>
          <w:p>
            <w:pPr>
              <w:rPr>
                <w:szCs w:val="21"/>
              </w:rPr>
            </w:pPr>
            <w:r>
              <w:rPr>
                <w:szCs w:val="21"/>
              </w:rPr>
              <w:t>水田、芋田或者茭白笋田</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vMerge w:val="continue"/>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5.王锦蛇</w:t>
            </w:r>
          </w:p>
        </w:tc>
        <w:tc>
          <w:tcPr>
            <w:tcW w:w="2816" w:type="dxa"/>
            <w:shd w:val="clear" w:color="auto" w:fill="auto"/>
            <w:vAlign w:val="center"/>
          </w:tcPr>
          <w:p>
            <w:pPr>
              <w:rPr>
                <w:szCs w:val="21"/>
              </w:rPr>
            </w:pPr>
            <w:r>
              <w:rPr>
                <w:szCs w:val="21"/>
              </w:rPr>
              <w:t>灌丛、河塘</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r>
              <w:rPr>
                <w:rFonts w:hint="eastAsia"/>
                <w:szCs w:val="21"/>
              </w:rPr>
              <w:t>+</w:t>
            </w:r>
          </w:p>
        </w:tc>
        <w:tc>
          <w:tcPr>
            <w:tcW w:w="2412" w:type="dxa"/>
            <w:vMerge w:val="restart"/>
            <w:shd w:val="clear" w:color="auto" w:fill="auto"/>
            <w:vAlign w:val="center"/>
          </w:tcPr>
          <w:p>
            <w:pPr>
              <w:rPr>
                <w:szCs w:val="21"/>
              </w:rPr>
            </w:pPr>
            <w:r>
              <w:rPr>
                <w:szCs w:val="21"/>
              </w:rPr>
              <w:t>区内临水灌丛和灌草丛附近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6.黑眉锦蛇</w:t>
            </w:r>
          </w:p>
        </w:tc>
        <w:tc>
          <w:tcPr>
            <w:tcW w:w="2816" w:type="dxa"/>
            <w:shd w:val="clear" w:color="auto" w:fill="auto"/>
            <w:vAlign w:val="center"/>
          </w:tcPr>
          <w:p>
            <w:pPr>
              <w:rPr>
                <w:szCs w:val="21"/>
              </w:rPr>
            </w:pPr>
            <w:r>
              <w:rPr>
                <w:szCs w:val="21"/>
              </w:rPr>
              <w:t>灌丛</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vMerge w:val="continue"/>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7.</w:t>
            </w:r>
            <w:r>
              <w:rPr>
                <w:szCs w:val="21"/>
              </w:rPr>
              <w:t>乌梢蛇</w:t>
            </w:r>
          </w:p>
        </w:tc>
        <w:tc>
          <w:tcPr>
            <w:tcW w:w="2816" w:type="dxa"/>
            <w:shd w:val="clear" w:color="auto" w:fill="auto"/>
            <w:vAlign w:val="center"/>
          </w:tcPr>
          <w:p>
            <w:pPr>
              <w:rPr>
                <w:szCs w:val="21"/>
              </w:rPr>
            </w:pPr>
            <w:r>
              <w:rPr>
                <w:szCs w:val="21"/>
              </w:rPr>
              <w:t>灌丛</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vMerge w:val="continue"/>
            <w:shd w:val="clear" w:color="auto" w:fill="auto"/>
            <w:vAlign w:val="center"/>
          </w:tcPr>
          <w:p>
            <w:pPr>
              <w:rPr>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8</w:t>
            </w:r>
            <w:r>
              <w:rPr>
                <w:szCs w:val="21"/>
              </w:rPr>
              <w:t>.</w:t>
            </w:r>
            <w:r>
              <w:rPr>
                <w:rFonts w:hint="eastAsia"/>
                <w:szCs w:val="21"/>
              </w:rPr>
              <w:t>普通鸬鹚</w:t>
            </w:r>
          </w:p>
        </w:tc>
        <w:tc>
          <w:tcPr>
            <w:tcW w:w="2816" w:type="dxa"/>
            <w:shd w:val="clear" w:color="auto" w:fill="auto"/>
            <w:vAlign w:val="center"/>
          </w:tcPr>
          <w:p>
            <w:pPr>
              <w:rPr>
                <w:szCs w:val="21"/>
              </w:rPr>
            </w:pPr>
            <w:r>
              <w:rPr>
                <w:rFonts w:ascii="Arial" w:hAnsi="Arial" w:cs="Arial"/>
                <w:color w:val="333333"/>
                <w:szCs w:val="21"/>
              </w:rPr>
              <w:t>栖息于河流、湖泊、池塘、水库、河口及其沼泽地带</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shd w:val="clear" w:color="auto" w:fill="auto"/>
            <w:vAlign w:val="center"/>
          </w:tcPr>
          <w:p>
            <w:pPr>
              <w:rPr>
                <w:szCs w:val="21"/>
              </w:rPr>
            </w:pPr>
            <w:r>
              <w:rPr>
                <w:szCs w:val="21"/>
              </w:rPr>
              <w:t>区内</w:t>
            </w:r>
            <w:r>
              <w:rPr>
                <w:rFonts w:hint="eastAsia"/>
                <w:szCs w:val="21"/>
              </w:rPr>
              <w:t>河流</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9</w:t>
            </w:r>
            <w:r>
              <w:rPr>
                <w:szCs w:val="21"/>
              </w:rPr>
              <w:t>.白鹭</w:t>
            </w:r>
          </w:p>
        </w:tc>
        <w:tc>
          <w:tcPr>
            <w:tcW w:w="2816" w:type="dxa"/>
            <w:shd w:val="clear" w:color="auto" w:fill="auto"/>
            <w:vAlign w:val="center"/>
          </w:tcPr>
          <w:p>
            <w:pPr>
              <w:rPr>
                <w:szCs w:val="21"/>
              </w:rPr>
            </w:pPr>
            <w:r>
              <w:rPr>
                <w:szCs w:val="21"/>
              </w:rPr>
              <w:t>溪流、水田、池塘</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w:t>
            </w:r>
            <w:r>
              <w:rPr>
                <w:rFonts w:hint="eastAsia"/>
                <w:szCs w:val="21"/>
              </w:rPr>
              <w:t xml:space="preserve">河流、水田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10.</w:t>
            </w:r>
            <w:r>
              <w:rPr>
                <w:szCs w:val="21"/>
              </w:rPr>
              <w:t>中白鹭</w:t>
            </w:r>
          </w:p>
        </w:tc>
        <w:tc>
          <w:tcPr>
            <w:tcW w:w="2816" w:type="dxa"/>
            <w:shd w:val="clear" w:color="auto" w:fill="auto"/>
            <w:vAlign w:val="center"/>
          </w:tcPr>
          <w:p>
            <w:pPr>
              <w:rPr>
                <w:szCs w:val="21"/>
              </w:rPr>
            </w:pPr>
            <w:r>
              <w:rPr>
                <w:szCs w:val="21"/>
              </w:rPr>
              <w:t>溪流、水田、池塘</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w:t>
            </w:r>
            <w:r>
              <w:rPr>
                <w:rFonts w:hint="eastAsia"/>
                <w:szCs w:val="21"/>
              </w:rPr>
              <w:t>河流、</w:t>
            </w:r>
            <w:r>
              <w:rPr>
                <w:szCs w:val="21"/>
              </w:rPr>
              <w:t>水田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11</w:t>
            </w:r>
            <w:r>
              <w:rPr>
                <w:szCs w:val="21"/>
              </w:rPr>
              <w:t>.</w:t>
            </w:r>
            <w:r>
              <w:rPr>
                <w:rFonts w:hint="eastAsia"/>
                <w:szCs w:val="21"/>
              </w:rPr>
              <w:t>苍鹭</w:t>
            </w:r>
          </w:p>
        </w:tc>
        <w:tc>
          <w:tcPr>
            <w:tcW w:w="2816" w:type="dxa"/>
            <w:shd w:val="clear" w:color="auto" w:fill="auto"/>
            <w:vAlign w:val="center"/>
          </w:tcPr>
          <w:p>
            <w:pPr>
              <w:rPr>
                <w:szCs w:val="21"/>
              </w:rPr>
            </w:pPr>
            <w:r>
              <w:rPr>
                <w:szCs w:val="21"/>
              </w:rPr>
              <w:t>溪流、水田、池塘</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区内水田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1</w:t>
            </w:r>
            <w:r>
              <w:rPr>
                <w:rFonts w:hint="eastAsia"/>
                <w:szCs w:val="21"/>
              </w:rPr>
              <w:t>2</w:t>
            </w:r>
            <w:r>
              <w:rPr>
                <w:szCs w:val="21"/>
              </w:rPr>
              <w:t>.</w:t>
            </w:r>
            <w:r>
              <w:rPr>
                <w:rFonts w:hint="eastAsia" w:ascii="Calibri" w:hAnsi="宋体"/>
                <w:szCs w:val="21"/>
              </w:rPr>
              <w:t>绿头鸭</w:t>
            </w:r>
          </w:p>
        </w:tc>
        <w:tc>
          <w:tcPr>
            <w:tcW w:w="2816" w:type="dxa"/>
            <w:shd w:val="clear" w:color="auto" w:fill="auto"/>
            <w:vAlign w:val="center"/>
          </w:tcPr>
          <w:p>
            <w:pPr>
              <w:rPr>
                <w:szCs w:val="21"/>
              </w:rPr>
            </w:pPr>
            <w:r>
              <w:rPr>
                <w:rFonts w:hint="eastAsia"/>
                <w:kern w:val="0"/>
                <w:szCs w:val="21"/>
              </w:rPr>
              <w:t>湖泊、河流、池塘、沼泽等水域。</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w:t>
            </w:r>
            <w:r>
              <w:rPr>
                <w:rFonts w:hint="eastAsia"/>
                <w:szCs w:val="21"/>
              </w:rPr>
              <w:t>河流</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1</w:t>
            </w:r>
            <w:r>
              <w:rPr>
                <w:rFonts w:hint="eastAsia"/>
                <w:szCs w:val="21"/>
              </w:rPr>
              <w:t>3</w:t>
            </w:r>
            <w:r>
              <w:rPr>
                <w:szCs w:val="21"/>
              </w:rPr>
              <w:t>.环颈雉</w:t>
            </w:r>
          </w:p>
        </w:tc>
        <w:tc>
          <w:tcPr>
            <w:tcW w:w="2816" w:type="dxa"/>
            <w:shd w:val="clear" w:color="auto" w:fill="auto"/>
            <w:vAlign w:val="center"/>
          </w:tcPr>
          <w:p>
            <w:pPr>
              <w:rPr>
                <w:szCs w:val="21"/>
              </w:rPr>
            </w:pPr>
            <w:r>
              <w:rPr>
                <w:szCs w:val="21"/>
              </w:rPr>
              <w:t>灌草丛、竹林、旱地</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区内旱地、灌草丛</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1</w:t>
            </w:r>
            <w:r>
              <w:rPr>
                <w:rFonts w:hint="eastAsia"/>
                <w:szCs w:val="21"/>
              </w:rPr>
              <w:t>4</w:t>
            </w:r>
            <w:r>
              <w:rPr>
                <w:szCs w:val="21"/>
              </w:rPr>
              <w:t>.珠颈斑鸠</w:t>
            </w:r>
          </w:p>
        </w:tc>
        <w:tc>
          <w:tcPr>
            <w:tcW w:w="2816" w:type="dxa"/>
            <w:shd w:val="clear" w:color="auto" w:fill="auto"/>
            <w:vAlign w:val="center"/>
          </w:tcPr>
          <w:p>
            <w:pPr>
              <w:rPr>
                <w:szCs w:val="21"/>
              </w:rPr>
            </w:pPr>
            <w:r>
              <w:rPr>
                <w:szCs w:val="21"/>
              </w:rPr>
              <w:t>开阔地、稀疏树林</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w:t>
            </w:r>
            <w:r>
              <w:rPr>
                <w:rFonts w:hint="eastAsia"/>
                <w:szCs w:val="21"/>
              </w:rPr>
              <w:t>村落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75" w:hRule="atLeast"/>
          <w:jc w:val="center"/>
        </w:trPr>
        <w:tc>
          <w:tcPr>
            <w:tcW w:w="1468" w:type="dxa"/>
            <w:shd w:val="clear" w:color="auto" w:fill="auto"/>
            <w:vAlign w:val="center"/>
          </w:tcPr>
          <w:p>
            <w:pPr>
              <w:rPr>
                <w:szCs w:val="21"/>
              </w:rPr>
            </w:pPr>
            <w:r>
              <w:rPr>
                <w:szCs w:val="21"/>
              </w:rPr>
              <w:t>1</w:t>
            </w:r>
            <w:r>
              <w:rPr>
                <w:rFonts w:hint="eastAsia"/>
                <w:szCs w:val="21"/>
              </w:rPr>
              <w:t>5</w:t>
            </w:r>
            <w:r>
              <w:rPr>
                <w:szCs w:val="21"/>
              </w:rPr>
              <w:t>.喜鹊</w:t>
            </w:r>
          </w:p>
        </w:tc>
        <w:tc>
          <w:tcPr>
            <w:tcW w:w="2816" w:type="dxa"/>
            <w:shd w:val="clear" w:color="auto" w:fill="auto"/>
            <w:vAlign w:val="center"/>
          </w:tcPr>
          <w:p>
            <w:pPr>
              <w:rPr>
                <w:szCs w:val="21"/>
              </w:rPr>
            </w:pPr>
            <w:r>
              <w:rPr>
                <w:szCs w:val="21"/>
              </w:rPr>
              <w:t>山地林缘、耕地或村落</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区内灌丛、耕地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szCs w:val="21"/>
              </w:rPr>
              <w:t>1</w:t>
            </w:r>
            <w:r>
              <w:rPr>
                <w:rFonts w:hint="eastAsia"/>
                <w:szCs w:val="21"/>
              </w:rPr>
              <w:t>6</w:t>
            </w:r>
            <w:r>
              <w:rPr>
                <w:szCs w:val="21"/>
              </w:rPr>
              <w:t>.家燕</w:t>
            </w:r>
          </w:p>
        </w:tc>
        <w:tc>
          <w:tcPr>
            <w:tcW w:w="2816" w:type="dxa"/>
            <w:shd w:val="clear" w:color="auto" w:fill="auto"/>
            <w:vAlign w:val="center"/>
          </w:tcPr>
          <w:p>
            <w:pPr>
              <w:rPr>
                <w:szCs w:val="21"/>
              </w:rPr>
            </w:pPr>
            <w:r>
              <w:rPr>
                <w:szCs w:val="21"/>
              </w:rPr>
              <w:t>村落</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szCs w:val="21"/>
              </w:rPr>
              <w:t>+++</w:t>
            </w:r>
          </w:p>
        </w:tc>
        <w:tc>
          <w:tcPr>
            <w:tcW w:w="2412" w:type="dxa"/>
            <w:shd w:val="clear" w:color="auto" w:fill="auto"/>
            <w:vAlign w:val="center"/>
          </w:tcPr>
          <w:p>
            <w:pPr>
              <w:rPr>
                <w:szCs w:val="21"/>
              </w:rPr>
            </w:pPr>
            <w:r>
              <w:rPr>
                <w:szCs w:val="21"/>
              </w:rPr>
              <w:t>区内村落附近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hAnsi="宋体"/>
                <w:szCs w:val="21"/>
              </w:rPr>
              <w:t>18.</w:t>
            </w:r>
            <w:r>
              <w:rPr>
                <w:rFonts w:hAnsi="宋体"/>
                <w:szCs w:val="21"/>
              </w:rPr>
              <w:t>大嘴乌鸦</w:t>
            </w:r>
          </w:p>
        </w:tc>
        <w:tc>
          <w:tcPr>
            <w:tcW w:w="2816" w:type="dxa"/>
            <w:shd w:val="clear" w:color="auto" w:fill="auto"/>
            <w:vAlign w:val="center"/>
          </w:tcPr>
          <w:p>
            <w:pPr>
              <w:rPr>
                <w:szCs w:val="21"/>
              </w:rPr>
            </w:pPr>
            <w:r>
              <w:rPr>
                <w:rFonts w:hAnsi="宋体"/>
                <w:kern w:val="0"/>
                <w:szCs w:val="21"/>
              </w:rPr>
              <w:t>栖息于平原、丘陵、山区；常集群在农田边、村旁、河滩活动</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shd w:val="clear" w:color="auto" w:fill="auto"/>
            <w:vAlign w:val="center"/>
          </w:tcPr>
          <w:p>
            <w:pPr>
              <w:rPr>
                <w:szCs w:val="21"/>
              </w:rPr>
            </w:pPr>
            <w:r>
              <w:rPr>
                <w:szCs w:val="21"/>
              </w:rPr>
              <w:t>区内村落附近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rFonts w:hAnsi="宋体"/>
                <w:szCs w:val="21"/>
              </w:rPr>
            </w:pPr>
            <w:r>
              <w:rPr>
                <w:rFonts w:hint="eastAsia" w:hAnsi="宋体"/>
                <w:szCs w:val="21"/>
              </w:rPr>
              <w:t>19.</w:t>
            </w:r>
            <w:r>
              <w:rPr>
                <w:rFonts w:hAnsi="宋体"/>
                <w:szCs w:val="21"/>
              </w:rPr>
              <w:t>画眉</w:t>
            </w:r>
          </w:p>
        </w:tc>
        <w:tc>
          <w:tcPr>
            <w:tcW w:w="2816" w:type="dxa"/>
            <w:shd w:val="clear" w:color="auto" w:fill="auto"/>
            <w:vAlign w:val="center"/>
          </w:tcPr>
          <w:p>
            <w:pPr>
              <w:rPr>
                <w:rFonts w:hAnsi="宋体"/>
                <w:kern w:val="0"/>
                <w:szCs w:val="21"/>
              </w:rPr>
            </w:pPr>
            <w:r>
              <w:rPr>
                <w:rFonts w:hAnsi="宋体"/>
                <w:kern w:val="0"/>
                <w:szCs w:val="21"/>
              </w:rPr>
              <w:t>丘陵、山区的矮树林和灌木丛或村镇附近的竹林和庭园中</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shd w:val="clear" w:color="auto" w:fill="auto"/>
            <w:vAlign w:val="center"/>
          </w:tcPr>
          <w:p>
            <w:pPr>
              <w:rPr>
                <w:szCs w:val="21"/>
              </w:rPr>
            </w:pPr>
            <w:r>
              <w:rPr>
                <w:rFonts w:hint="eastAsia"/>
                <w:szCs w:val="21"/>
              </w:rPr>
              <w:t>灌草丛及庭院周围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20、华南兔</w:t>
            </w:r>
          </w:p>
        </w:tc>
        <w:tc>
          <w:tcPr>
            <w:tcW w:w="2816" w:type="dxa"/>
            <w:shd w:val="clear" w:color="auto" w:fill="auto"/>
            <w:vAlign w:val="center"/>
          </w:tcPr>
          <w:p>
            <w:pPr>
              <w:rPr>
                <w:szCs w:val="21"/>
              </w:rPr>
            </w:pPr>
            <w:r>
              <w:rPr>
                <w:rFonts w:hAnsi="宋体"/>
                <w:szCs w:val="21"/>
              </w:rPr>
              <w:t>主要栖息在浅草坡和灌丛地带及农田附近。</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shd w:val="clear" w:color="auto" w:fill="auto"/>
            <w:vAlign w:val="center"/>
          </w:tcPr>
          <w:p>
            <w:pPr>
              <w:rPr>
                <w:szCs w:val="21"/>
              </w:rPr>
            </w:pPr>
            <w:r>
              <w:rPr>
                <w:rFonts w:hint="eastAsia"/>
                <w:szCs w:val="21"/>
              </w:rPr>
              <w:t>灌草地及农田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3" w:hRule="atLeast"/>
          <w:jc w:val="center"/>
        </w:trPr>
        <w:tc>
          <w:tcPr>
            <w:tcW w:w="1468" w:type="dxa"/>
            <w:shd w:val="clear" w:color="auto" w:fill="auto"/>
            <w:vAlign w:val="center"/>
          </w:tcPr>
          <w:p>
            <w:pPr>
              <w:rPr>
                <w:szCs w:val="21"/>
              </w:rPr>
            </w:pPr>
            <w:r>
              <w:rPr>
                <w:rFonts w:hint="eastAsia"/>
                <w:szCs w:val="21"/>
              </w:rPr>
              <w:t>21.黄腹鼬</w:t>
            </w:r>
          </w:p>
        </w:tc>
        <w:tc>
          <w:tcPr>
            <w:tcW w:w="2816" w:type="dxa"/>
            <w:shd w:val="clear" w:color="auto" w:fill="auto"/>
            <w:vAlign w:val="center"/>
          </w:tcPr>
          <w:p>
            <w:pPr>
              <w:rPr>
                <w:szCs w:val="21"/>
              </w:rPr>
            </w:pPr>
            <w:r>
              <w:rPr>
                <w:rFonts w:hAnsi="宋体"/>
                <w:szCs w:val="21"/>
              </w:rPr>
              <w:t>多栖息于山地森林、草丛、低山丘陵、农田及村庄附近。</w:t>
            </w:r>
          </w:p>
        </w:tc>
        <w:tc>
          <w:tcPr>
            <w:tcW w:w="1176" w:type="dxa"/>
            <w:shd w:val="clear" w:color="auto" w:fill="auto"/>
            <w:vAlign w:val="center"/>
          </w:tcPr>
          <w:p>
            <w:pPr>
              <w:rPr>
                <w:szCs w:val="21"/>
              </w:rPr>
            </w:pPr>
            <w:r>
              <w:rPr>
                <w:szCs w:val="21"/>
              </w:rPr>
              <w:t>省级</w:t>
            </w:r>
          </w:p>
        </w:tc>
        <w:tc>
          <w:tcPr>
            <w:tcW w:w="1176" w:type="dxa"/>
            <w:shd w:val="clear" w:color="auto" w:fill="auto"/>
            <w:vAlign w:val="center"/>
          </w:tcPr>
          <w:p>
            <w:pPr>
              <w:rPr>
                <w:szCs w:val="21"/>
              </w:rPr>
            </w:pPr>
            <w:r>
              <w:rPr>
                <w:rFonts w:hint="eastAsia"/>
                <w:szCs w:val="21"/>
              </w:rPr>
              <w:t>++</w:t>
            </w:r>
          </w:p>
        </w:tc>
        <w:tc>
          <w:tcPr>
            <w:tcW w:w="2412" w:type="dxa"/>
            <w:shd w:val="clear" w:color="auto" w:fill="auto"/>
            <w:vAlign w:val="center"/>
          </w:tcPr>
          <w:p>
            <w:pPr>
              <w:rPr>
                <w:szCs w:val="21"/>
              </w:rPr>
            </w:pPr>
            <w:r>
              <w:rPr>
                <w:rFonts w:hint="eastAsia" w:hAnsi="宋体"/>
                <w:szCs w:val="21"/>
              </w:rPr>
              <w:t>区内</w:t>
            </w:r>
            <w:r>
              <w:rPr>
                <w:rFonts w:hAnsi="宋体"/>
                <w:szCs w:val="21"/>
              </w:rPr>
              <w:t>农田及村庄附近</w:t>
            </w:r>
          </w:p>
        </w:tc>
      </w:tr>
    </w:tbl>
    <w:p>
      <w:pPr>
        <w:spacing w:before="156" w:beforeLines="50" w:line="360" w:lineRule="auto"/>
        <w:ind w:firstLine="480" w:firstLineChars="200"/>
        <w:rPr>
          <w:rFonts w:ascii="黑体" w:eastAsia="黑体"/>
          <w:sz w:val="24"/>
        </w:rPr>
      </w:pPr>
      <w:r>
        <w:rPr>
          <w:rFonts w:hint="eastAsia" w:ascii="黑体" w:eastAsia="黑体"/>
          <w:sz w:val="24"/>
        </w:rPr>
        <w:t>（六）陆生动物资源现状评价结论</w:t>
      </w:r>
    </w:p>
    <w:p>
      <w:pPr>
        <w:spacing w:line="360" w:lineRule="auto"/>
        <w:ind w:firstLine="480" w:firstLineChars="200"/>
        <w:rPr>
          <w:kern w:val="0"/>
          <w:sz w:val="24"/>
          <w:lang w:val="zh-CN"/>
        </w:rPr>
      </w:pPr>
      <w:r>
        <w:rPr>
          <w:rFonts w:hint="eastAsia"/>
          <w:kern w:val="0"/>
          <w:sz w:val="24"/>
          <w:lang w:val="zh-CN"/>
        </w:rPr>
        <w:t>评价区为平原、丘陵农居区，人口密度一般，地形起伏不大，植被以人工植被为主，野生动物的栖息条件较差。陆生动物种类一般，物种多样性丰富度不高。</w:t>
      </w:r>
      <w:r>
        <w:rPr>
          <w:sz w:val="24"/>
        </w:rPr>
        <w:t>区内共</w:t>
      </w:r>
      <w:r>
        <w:rPr>
          <w:rFonts w:hAnsi="宋体"/>
          <w:sz w:val="24"/>
        </w:rPr>
        <w:t>有两栖动物</w:t>
      </w:r>
      <w:r>
        <w:rPr>
          <w:sz w:val="24"/>
        </w:rPr>
        <w:t>1</w:t>
      </w:r>
      <w:r>
        <w:rPr>
          <w:rFonts w:hAnsi="宋体"/>
          <w:sz w:val="24"/>
        </w:rPr>
        <w:t>目</w:t>
      </w:r>
      <w:r>
        <w:rPr>
          <w:rFonts w:hint="eastAsia"/>
          <w:sz w:val="24"/>
        </w:rPr>
        <w:t>2</w:t>
      </w:r>
      <w:r>
        <w:rPr>
          <w:rFonts w:hAnsi="宋体"/>
          <w:sz w:val="24"/>
        </w:rPr>
        <w:t>科</w:t>
      </w:r>
      <w:r>
        <w:rPr>
          <w:rFonts w:hint="eastAsia"/>
          <w:sz w:val="24"/>
        </w:rPr>
        <w:t>5</w:t>
      </w:r>
      <w:r>
        <w:rPr>
          <w:rFonts w:hAnsi="宋体"/>
          <w:sz w:val="24"/>
        </w:rPr>
        <w:t>种</w:t>
      </w:r>
      <w:r>
        <w:rPr>
          <w:rFonts w:hint="eastAsia" w:hAnsi="宋体"/>
          <w:sz w:val="24"/>
        </w:rPr>
        <w:t>；</w:t>
      </w:r>
      <w:r>
        <w:rPr>
          <w:rFonts w:hint="eastAsia"/>
          <w:kern w:val="0"/>
          <w:sz w:val="24"/>
          <w:lang w:val="zh-CN"/>
        </w:rPr>
        <w:t>爬行类共有</w:t>
      </w:r>
      <w:r>
        <w:rPr>
          <w:rFonts w:hint="eastAsia"/>
          <w:kern w:val="0"/>
          <w:sz w:val="24"/>
        </w:rPr>
        <w:t>2</w:t>
      </w:r>
      <w:r>
        <w:rPr>
          <w:rFonts w:hint="eastAsia"/>
          <w:kern w:val="0"/>
          <w:sz w:val="24"/>
          <w:lang w:val="zh-CN"/>
        </w:rPr>
        <w:t>目</w:t>
      </w:r>
      <w:r>
        <w:rPr>
          <w:rFonts w:hint="eastAsia"/>
          <w:kern w:val="0"/>
          <w:sz w:val="24"/>
        </w:rPr>
        <w:t>5</w:t>
      </w:r>
      <w:r>
        <w:rPr>
          <w:rFonts w:hint="eastAsia"/>
          <w:kern w:val="0"/>
          <w:sz w:val="24"/>
          <w:lang w:val="zh-CN"/>
        </w:rPr>
        <w:t>科9种；鸟类</w:t>
      </w:r>
      <w:r>
        <w:rPr>
          <w:rFonts w:hint="eastAsia"/>
          <w:kern w:val="0"/>
          <w:sz w:val="24"/>
        </w:rPr>
        <w:t>有21</w:t>
      </w:r>
      <w:r>
        <w:rPr>
          <w:rFonts w:hint="eastAsia"/>
          <w:kern w:val="0"/>
          <w:sz w:val="24"/>
          <w:lang w:val="zh-CN"/>
        </w:rPr>
        <w:t>种，隶属于</w:t>
      </w:r>
      <w:r>
        <w:rPr>
          <w:rFonts w:hint="eastAsia"/>
          <w:kern w:val="0"/>
          <w:sz w:val="24"/>
        </w:rPr>
        <w:t>9</w:t>
      </w:r>
      <w:r>
        <w:rPr>
          <w:rFonts w:hint="eastAsia"/>
          <w:kern w:val="0"/>
          <w:sz w:val="24"/>
          <w:lang w:val="zh-CN"/>
        </w:rPr>
        <w:t>目</w:t>
      </w:r>
      <w:r>
        <w:rPr>
          <w:rFonts w:hint="eastAsia"/>
          <w:kern w:val="0"/>
          <w:sz w:val="24"/>
        </w:rPr>
        <w:t>13</w:t>
      </w:r>
      <w:r>
        <w:rPr>
          <w:rFonts w:hint="eastAsia"/>
          <w:kern w:val="0"/>
          <w:sz w:val="24"/>
          <w:lang w:val="zh-CN"/>
        </w:rPr>
        <w:t>科；</w:t>
      </w:r>
      <w:r>
        <w:rPr>
          <w:rFonts w:hAnsi="宋体"/>
          <w:sz w:val="24"/>
        </w:rPr>
        <w:t>兽类共</w:t>
      </w:r>
      <w:r>
        <w:rPr>
          <w:rFonts w:hint="eastAsia"/>
          <w:sz w:val="24"/>
        </w:rPr>
        <w:t>5</w:t>
      </w:r>
      <w:r>
        <w:rPr>
          <w:rFonts w:hAnsi="宋体"/>
          <w:sz w:val="24"/>
        </w:rPr>
        <w:t>目</w:t>
      </w:r>
      <w:r>
        <w:rPr>
          <w:rFonts w:hint="eastAsia"/>
          <w:sz w:val="24"/>
        </w:rPr>
        <w:t>6</w:t>
      </w:r>
      <w:r>
        <w:rPr>
          <w:rFonts w:hAnsi="宋体"/>
          <w:sz w:val="24"/>
        </w:rPr>
        <w:t>科</w:t>
      </w:r>
      <w:r>
        <w:rPr>
          <w:rFonts w:hint="eastAsia"/>
          <w:sz w:val="24"/>
        </w:rPr>
        <w:t>10</w:t>
      </w:r>
      <w:r>
        <w:rPr>
          <w:rFonts w:hAnsi="宋体"/>
          <w:sz w:val="24"/>
        </w:rPr>
        <w:t>种。</w:t>
      </w:r>
    </w:p>
    <w:p>
      <w:pPr>
        <w:spacing w:line="360" w:lineRule="auto"/>
        <w:ind w:firstLine="480" w:firstLineChars="200"/>
        <w:rPr>
          <w:sz w:val="24"/>
        </w:rPr>
      </w:pPr>
      <w:r>
        <w:rPr>
          <w:rFonts w:hint="eastAsia"/>
          <w:kern w:val="0"/>
          <w:sz w:val="24"/>
        </w:rPr>
        <w:t>评价区</w:t>
      </w:r>
      <w:r>
        <w:rPr>
          <w:rFonts w:hint="eastAsia"/>
          <w:sz w:val="24"/>
        </w:rPr>
        <w:t>没有国家级保护动物，有湖北省级保护动物21种</w:t>
      </w:r>
      <w:r>
        <w:rPr>
          <w:rFonts w:hint="eastAsia"/>
          <w:kern w:val="0"/>
          <w:sz w:val="24"/>
          <w:lang w:val="zh-CN"/>
        </w:rPr>
        <w:t>。</w:t>
      </w:r>
    </w:p>
    <w:p>
      <w:pPr>
        <w:pStyle w:val="5"/>
        <w:tabs>
          <w:tab w:val="left" w:pos="567"/>
        </w:tabs>
        <w:spacing w:before="62" w:beforeLines="20" w:line="360" w:lineRule="auto"/>
        <w:ind w:left="0" w:firstLine="0"/>
        <w:rPr>
          <w:rFonts w:ascii="宋体" w:hAnsi="宋体" w:eastAsia="宋体"/>
          <w:b/>
          <w:sz w:val="28"/>
          <w:szCs w:val="28"/>
        </w:rPr>
      </w:pPr>
      <w:bookmarkStart w:id="144" w:name="_Toc442195706"/>
      <w:bookmarkStart w:id="145" w:name="_Toc271722553"/>
      <w:r>
        <w:rPr>
          <w:rFonts w:hint="eastAsia" w:ascii="宋体" w:hAnsi="宋体" w:eastAsia="宋体"/>
          <w:b/>
          <w:sz w:val="28"/>
          <w:szCs w:val="28"/>
        </w:rPr>
        <w:t>水生生态环境</w:t>
      </w:r>
      <w:bookmarkEnd w:id="144"/>
      <w:bookmarkEnd w:id="145"/>
    </w:p>
    <w:p>
      <w:pPr>
        <w:spacing w:line="360" w:lineRule="auto"/>
        <w:ind w:firstLine="480" w:firstLineChars="200"/>
        <w:rPr>
          <w:snapToGrid w:val="0"/>
          <w:sz w:val="24"/>
        </w:rPr>
      </w:pPr>
      <w:r>
        <w:rPr>
          <w:rFonts w:hint="eastAsia"/>
          <w:snapToGrid w:val="0"/>
          <w:sz w:val="24"/>
        </w:rPr>
        <w:t>本项目水生生态环境采用《长江中游荆江河段整治工程环境影响报告书》中枝江段部分内容</w:t>
      </w:r>
      <w:r>
        <w:rPr>
          <w:snapToGrid w:val="0"/>
          <w:sz w:val="24"/>
        </w:rPr>
        <w:t>。</w:t>
      </w:r>
      <w:r>
        <w:rPr>
          <w:rFonts w:hint="eastAsia"/>
          <w:snapToGrid w:val="0"/>
          <w:sz w:val="24"/>
        </w:rPr>
        <w:t>由</w:t>
      </w:r>
      <w:r>
        <w:rPr>
          <w:sz w:val="24"/>
        </w:rPr>
        <w:t>水利部中国科学院水工程生态研究所进行水生生态现状调查和评价。调查的方式收集渔业发展现状资料，调研集成该江段相关研究成果，实地踏勘、采集、走访等方式相结合获取第一手资料。水</w:t>
      </w:r>
      <w:r>
        <w:rPr>
          <w:snapToGrid w:val="0"/>
          <w:kern w:val="0"/>
          <w:sz w:val="24"/>
        </w:rPr>
        <w:t>生生态调查时间为</w:t>
      </w:r>
      <w:r>
        <w:rPr>
          <w:sz w:val="24"/>
        </w:rPr>
        <w:t>2011</w:t>
      </w:r>
      <w:r>
        <w:rPr>
          <w:rFonts w:hAnsi="宋体"/>
          <w:sz w:val="24"/>
        </w:rPr>
        <w:t>年</w:t>
      </w:r>
      <w:r>
        <w:rPr>
          <w:sz w:val="24"/>
        </w:rPr>
        <w:t>4</w:t>
      </w:r>
      <w:r>
        <w:rPr>
          <w:rFonts w:hAnsi="宋体"/>
          <w:sz w:val="24"/>
        </w:rPr>
        <w:t>月</w:t>
      </w:r>
      <w:r>
        <w:rPr>
          <w:sz w:val="24"/>
        </w:rPr>
        <w:t>9</w:t>
      </w:r>
      <w:r>
        <w:rPr>
          <w:rFonts w:hAnsi="宋体"/>
          <w:sz w:val="24"/>
        </w:rPr>
        <w:t>日</w:t>
      </w:r>
      <w:r>
        <w:rPr>
          <w:sz w:val="24"/>
        </w:rPr>
        <w:t>-23</w:t>
      </w:r>
      <w:r>
        <w:rPr>
          <w:rFonts w:hAnsi="宋体"/>
          <w:sz w:val="24"/>
        </w:rPr>
        <w:t>日和</w:t>
      </w:r>
      <w:r>
        <w:rPr>
          <w:sz w:val="24"/>
        </w:rPr>
        <w:t>7</w:t>
      </w:r>
      <w:r>
        <w:rPr>
          <w:rFonts w:hAnsi="宋体"/>
          <w:sz w:val="24"/>
        </w:rPr>
        <w:t>月</w:t>
      </w:r>
      <w:r>
        <w:rPr>
          <w:sz w:val="24"/>
        </w:rPr>
        <w:t>6</w:t>
      </w:r>
      <w:r>
        <w:rPr>
          <w:rFonts w:hAnsi="宋体"/>
          <w:sz w:val="24"/>
        </w:rPr>
        <w:t>日</w:t>
      </w:r>
      <w:r>
        <w:rPr>
          <w:sz w:val="24"/>
        </w:rPr>
        <w:t>-30</w:t>
      </w:r>
      <w:r>
        <w:rPr>
          <w:rFonts w:hAnsi="宋体"/>
          <w:sz w:val="24"/>
        </w:rPr>
        <w:t>日各进行</w:t>
      </w:r>
      <w:r>
        <w:rPr>
          <w:sz w:val="24"/>
        </w:rPr>
        <w:t>1</w:t>
      </w:r>
      <w:r>
        <w:rPr>
          <w:rFonts w:hAnsi="宋体"/>
          <w:sz w:val="24"/>
        </w:rPr>
        <w:t>次系统的野外水</w:t>
      </w:r>
      <w:r>
        <w:rPr>
          <w:rFonts w:hAnsi="宋体"/>
          <w:snapToGrid w:val="0"/>
          <w:kern w:val="0"/>
          <w:sz w:val="24"/>
        </w:rPr>
        <w:t>生生态调查</w:t>
      </w:r>
      <w:r>
        <w:rPr>
          <w:rFonts w:hAnsi="宋体"/>
          <w:sz w:val="24"/>
        </w:rPr>
        <w:t>，鱼类早期资源监测选择近年来四大家鱼自然繁殖较盛时段</w:t>
      </w:r>
      <w:r>
        <w:rPr>
          <w:sz w:val="24"/>
        </w:rPr>
        <w:t>6</w:t>
      </w:r>
      <w:r>
        <w:rPr>
          <w:rFonts w:hAnsi="宋体"/>
          <w:sz w:val="24"/>
        </w:rPr>
        <w:t>月</w:t>
      </w:r>
      <w:r>
        <w:rPr>
          <w:sz w:val="24"/>
        </w:rPr>
        <w:t>16</w:t>
      </w:r>
      <w:r>
        <w:rPr>
          <w:rFonts w:hAnsi="宋体"/>
          <w:sz w:val="24"/>
        </w:rPr>
        <w:t>日至</w:t>
      </w:r>
      <w:r>
        <w:rPr>
          <w:sz w:val="24"/>
        </w:rPr>
        <w:t>7</w:t>
      </w:r>
      <w:r>
        <w:rPr>
          <w:rFonts w:hAnsi="宋体"/>
          <w:sz w:val="24"/>
        </w:rPr>
        <w:t>月</w:t>
      </w:r>
      <w:r>
        <w:rPr>
          <w:sz w:val="24"/>
        </w:rPr>
        <w:t>15</w:t>
      </w:r>
      <w:r>
        <w:rPr>
          <w:rFonts w:hAnsi="宋体"/>
          <w:sz w:val="24"/>
        </w:rPr>
        <w:t>日。</w:t>
      </w:r>
    </w:p>
    <w:p>
      <w:pPr>
        <w:pStyle w:val="6"/>
        <w:tabs>
          <w:tab w:val="left" w:pos="-489"/>
        </w:tabs>
        <w:spacing w:beforeLines="0" w:afterLines="0"/>
        <w:ind w:left="0" w:firstLine="0"/>
        <w:rPr>
          <w:rFonts w:ascii="Times New Roman" w:hAnsi="Times New Roman"/>
        </w:rPr>
      </w:pPr>
      <w:r>
        <w:rPr>
          <w:rFonts w:hint="eastAsia"/>
          <w:snapToGrid w:val="0"/>
        </w:rPr>
        <w:t>浮游植物</w:t>
      </w:r>
    </w:p>
    <w:p>
      <w:pPr>
        <w:spacing w:line="360" w:lineRule="auto"/>
        <w:ind w:firstLine="480" w:firstLineChars="200"/>
        <w:rPr>
          <w:sz w:val="24"/>
        </w:rPr>
      </w:pPr>
      <w:r>
        <w:rPr>
          <w:rFonts w:hint="eastAsia"/>
          <w:sz w:val="24"/>
        </w:rPr>
        <w:t>（1）浮游植物种类</w:t>
      </w:r>
    </w:p>
    <w:p>
      <w:pPr>
        <w:spacing w:line="360" w:lineRule="auto"/>
        <w:ind w:firstLine="480" w:firstLineChars="200"/>
        <w:rPr>
          <w:sz w:val="24"/>
        </w:rPr>
      </w:pPr>
      <w:r>
        <w:rPr>
          <w:rFonts w:hint="eastAsia"/>
          <w:sz w:val="24"/>
        </w:rPr>
        <w:t>2011年4月（枯水期）和7月（丰水期）对评价区进行了2次调查，共检出浮游植物计7门48属125种（。其中硅藻门75种、占检出种类的60.00％；绿藻门28种、占检出种类的22.40％；蓝藻门16种、占检出种类的12.80％；裸藻门、金藻门各1种，分别占检出种类的0.80％；甲藻门、红藻门各2种，分别占检出种类的1.60％。</w:t>
      </w:r>
    </w:p>
    <w:p>
      <w:pPr>
        <w:spacing w:line="360" w:lineRule="auto"/>
        <w:ind w:firstLine="480" w:firstLineChars="200"/>
        <w:rPr>
          <w:sz w:val="24"/>
        </w:rPr>
      </w:pPr>
      <w:r>
        <w:rPr>
          <w:rFonts w:hint="eastAsia"/>
          <w:sz w:val="24"/>
        </w:rPr>
        <w:t>调查区域浮游植物种类组成以硅藻门为主，其次为绿藻门，再次为蓝藻门，其它门种类较少。常见种类有直链藻、脆杆藻、针杆藻、桥弯藻、舟形藻、等片藻、异极藻、席藻等。浮游植物种类的水平分布。</w:t>
      </w:r>
    </w:p>
    <w:p>
      <w:pPr>
        <w:spacing w:line="360" w:lineRule="auto"/>
        <w:ind w:firstLine="480" w:firstLineChars="200"/>
        <w:rPr>
          <w:sz w:val="24"/>
        </w:rPr>
      </w:pPr>
      <w:r>
        <w:rPr>
          <w:rFonts w:hint="eastAsia"/>
          <w:sz w:val="24"/>
        </w:rPr>
        <w:t>（2）浮游植物现存量</w:t>
      </w:r>
    </w:p>
    <w:p>
      <w:pPr>
        <w:spacing w:line="360" w:lineRule="auto"/>
        <w:ind w:firstLine="480" w:firstLineChars="200"/>
        <w:rPr>
          <w:sz w:val="24"/>
        </w:rPr>
      </w:pPr>
      <w:r>
        <w:rPr>
          <w:sz w:val="24"/>
        </w:rPr>
        <w:t>调查区域浮游植物密度平均为287656ind./L。其中硅藻门245016 ind./L 、占85.18%，绿藻门32933ind./L 、占12.45%，蓝藻门7627ind./L 、占2.65%，裸藻门1387ind./L 、占0.48%，甲藻门390ind./L 、占0.14%、金藻门1092ind./L 、占0.38%。</w:t>
      </w:r>
    </w:p>
    <w:p>
      <w:pPr>
        <w:pStyle w:val="4"/>
        <w:spacing w:line="360" w:lineRule="auto"/>
        <w:ind w:firstLine="480"/>
        <w:rPr>
          <w:kern w:val="0"/>
          <w:sz w:val="24"/>
        </w:rPr>
      </w:pPr>
      <w:r>
        <w:rPr>
          <w:sz w:val="24"/>
        </w:rPr>
        <w:t>调查区域浮游植物生物量平均为0.5876mg./L。其</w:t>
      </w:r>
      <w:r>
        <w:rPr>
          <w:rFonts w:hAnsi="宋体"/>
          <w:sz w:val="24"/>
        </w:rPr>
        <w:t>中硅藻门</w:t>
      </w:r>
      <w:r>
        <w:rPr>
          <w:sz w:val="24"/>
        </w:rPr>
        <w:t>0.3632 mg./L</w:t>
      </w:r>
      <w:r>
        <w:rPr>
          <w:kern w:val="0"/>
          <w:sz w:val="24"/>
        </w:rPr>
        <w:t>、</w:t>
      </w:r>
      <w:r>
        <w:rPr>
          <w:sz w:val="24"/>
        </w:rPr>
        <w:t>61.80</w:t>
      </w:r>
      <w:r>
        <w:rPr>
          <w:kern w:val="0"/>
          <w:sz w:val="24"/>
        </w:rPr>
        <w:t>占%，绿藻门</w:t>
      </w:r>
      <w:r>
        <w:rPr>
          <w:sz w:val="24"/>
        </w:rPr>
        <w:t>0.1615mg./L</w:t>
      </w:r>
      <w:r>
        <w:rPr>
          <w:kern w:val="0"/>
          <w:sz w:val="24"/>
        </w:rPr>
        <w:t>、占</w:t>
      </w:r>
      <w:r>
        <w:rPr>
          <w:sz w:val="24"/>
        </w:rPr>
        <w:t>27.48</w:t>
      </w:r>
      <w:r>
        <w:rPr>
          <w:kern w:val="0"/>
          <w:sz w:val="24"/>
        </w:rPr>
        <w:t>%，蓝藻门</w:t>
      </w:r>
      <w:r>
        <w:rPr>
          <w:sz w:val="24"/>
        </w:rPr>
        <w:t>0.0449 mg./L</w:t>
      </w:r>
      <w:r>
        <w:rPr>
          <w:kern w:val="0"/>
          <w:sz w:val="24"/>
        </w:rPr>
        <w:t>、</w:t>
      </w:r>
      <w:r>
        <w:rPr>
          <w:sz w:val="24"/>
        </w:rPr>
        <w:t>7.63</w:t>
      </w:r>
      <w:r>
        <w:rPr>
          <w:kern w:val="0"/>
          <w:sz w:val="24"/>
        </w:rPr>
        <w:t>占%，金藻门</w:t>
      </w:r>
      <w:r>
        <w:rPr>
          <w:sz w:val="24"/>
        </w:rPr>
        <w:t>0.0185mg./L</w:t>
      </w:r>
      <w:r>
        <w:rPr>
          <w:kern w:val="0"/>
          <w:sz w:val="24"/>
        </w:rPr>
        <w:t>、占</w:t>
      </w:r>
      <w:r>
        <w:rPr>
          <w:sz w:val="24"/>
        </w:rPr>
        <w:t>3.15</w:t>
      </w:r>
      <w:r>
        <w:rPr>
          <w:kern w:val="0"/>
          <w:sz w:val="24"/>
        </w:rPr>
        <w:t>%，裸藻门</w:t>
      </w:r>
      <w:r>
        <w:rPr>
          <w:sz w:val="24"/>
        </w:rPr>
        <w:t>0.0035 mg./L</w:t>
      </w:r>
      <w:r>
        <w:rPr>
          <w:kern w:val="0"/>
          <w:sz w:val="24"/>
        </w:rPr>
        <w:t>、占</w:t>
      </w:r>
      <w:r>
        <w:rPr>
          <w:sz w:val="24"/>
        </w:rPr>
        <w:t>0.60</w:t>
      </w:r>
      <w:r>
        <w:rPr>
          <w:kern w:val="0"/>
          <w:sz w:val="24"/>
        </w:rPr>
        <w:t>%，甲藻门</w:t>
      </w:r>
      <w:r>
        <w:rPr>
          <w:sz w:val="24"/>
        </w:rPr>
        <w:t>0.0195mg./L</w:t>
      </w:r>
      <w:r>
        <w:rPr>
          <w:kern w:val="0"/>
          <w:sz w:val="24"/>
        </w:rPr>
        <w:t>、占</w:t>
      </w:r>
      <w:r>
        <w:rPr>
          <w:sz w:val="24"/>
        </w:rPr>
        <w:t>3.32</w:t>
      </w:r>
      <w:r>
        <w:rPr>
          <w:kern w:val="0"/>
          <w:sz w:val="24"/>
        </w:rPr>
        <w:t>%。</w:t>
      </w:r>
    </w:p>
    <w:p>
      <w:pPr>
        <w:spacing w:line="360" w:lineRule="auto"/>
        <w:ind w:firstLine="480" w:firstLineChars="200"/>
        <w:rPr>
          <w:sz w:val="24"/>
        </w:rPr>
      </w:pPr>
      <w:r>
        <w:rPr>
          <w:rFonts w:hint="eastAsia"/>
          <w:sz w:val="24"/>
        </w:rPr>
        <w:t>（3）藻类生物多样性</w:t>
      </w:r>
    </w:p>
    <w:p>
      <w:pPr>
        <w:spacing w:line="360" w:lineRule="auto"/>
        <w:ind w:firstLine="480" w:firstLineChars="200"/>
        <w:rPr>
          <w:sz w:val="24"/>
        </w:rPr>
      </w:pPr>
      <w:r>
        <w:rPr>
          <w:sz w:val="24"/>
        </w:rPr>
        <w:t>生物多样性是生态系统中生物物种组成结构的重要指标，它不仅反应生物群落组织化水平，而且可以通过结构和功能的关系反映群落的本质属性。生物多样性指数在生态学意义上主要反应生态系统中生物物种的丰富度和均匀度。</w:t>
      </w:r>
    </w:p>
    <w:p>
      <w:pPr>
        <w:spacing w:line="360" w:lineRule="auto"/>
        <w:ind w:firstLine="480" w:firstLineChars="200"/>
        <w:rPr>
          <w:sz w:val="24"/>
          <w:lang w:val="en-GB"/>
        </w:rPr>
      </w:pPr>
      <w:r>
        <w:rPr>
          <w:sz w:val="24"/>
        </w:rPr>
        <w:t>藻类生物多样性采用Shannon-Wiener指数公式计算，调查</w:t>
      </w:r>
      <w:r>
        <w:rPr>
          <w:rFonts w:hint="eastAsia"/>
          <w:sz w:val="24"/>
        </w:rPr>
        <w:t>枝江</w:t>
      </w:r>
      <w:r>
        <w:rPr>
          <w:sz w:val="24"/>
        </w:rPr>
        <w:t>断面浮游植物生物多样性指数见表</w:t>
      </w:r>
      <w:r>
        <w:rPr>
          <w:rFonts w:hint="eastAsia"/>
          <w:sz w:val="24"/>
        </w:rPr>
        <w:t>3.6-9</w:t>
      </w:r>
      <w:r>
        <w:rPr>
          <w:sz w:val="24"/>
        </w:rPr>
        <w:t>。</w:t>
      </w:r>
    </w:p>
    <w:p>
      <w:pPr>
        <w:pStyle w:val="4"/>
        <w:ind w:firstLine="422"/>
        <w:jc w:val="center"/>
        <w:rPr>
          <w:b/>
        </w:rPr>
      </w:pPr>
      <w:r>
        <w:rPr>
          <w:b/>
        </w:rPr>
        <w:t>表</w:t>
      </w:r>
      <w:r>
        <w:rPr>
          <w:rFonts w:hint="eastAsia"/>
          <w:b/>
        </w:rPr>
        <w:t>3.6-9枝江</w:t>
      </w:r>
      <w:r>
        <w:rPr>
          <w:b/>
        </w:rPr>
        <w:t>断面浮游植物生物多样性指数</w:t>
      </w:r>
    </w:p>
    <w:tbl>
      <w:tblPr>
        <w:tblStyle w:val="104"/>
        <w:tblW w:w="7860" w:type="dxa"/>
        <w:jc w:val="center"/>
        <w:tblInd w:w="-26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4"/>
        <w:gridCol w:w="3601"/>
        <w:gridCol w:w="3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shd w:val="clear" w:color="auto" w:fill="auto"/>
            <w:vAlign w:val="center"/>
          </w:tcPr>
          <w:p>
            <w:pPr>
              <w:widowControl/>
              <w:ind w:left="-105" w:leftChars="-50" w:right="-105" w:rightChars="-50"/>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时间</w:t>
            </w:r>
          </w:p>
        </w:tc>
        <w:tc>
          <w:tcPr>
            <w:tcW w:w="3601" w:type="dxa"/>
            <w:shd w:val="clear" w:color="auto" w:fill="auto"/>
            <w:vAlign w:val="center"/>
          </w:tcPr>
          <w:p>
            <w:pPr>
              <w:widowControl/>
              <w:ind w:left="-105" w:leftChars="-50" w:right="-105" w:rightChars="-50"/>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类别</w:t>
            </w:r>
          </w:p>
        </w:tc>
        <w:tc>
          <w:tcPr>
            <w:tcW w:w="3185" w:type="dxa"/>
            <w:shd w:val="clear" w:color="auto" w:fill="auto"/>
            <w:vAlign w:val="center"/>
          </w:tcPr>
          <w:p>
            <w:pPr>
              <w:widowControl/>
              <w:ind w:left="-105" w:leftChars="-50" w:right="-105" w:rightChars="-50"/>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vMerge w:val="restart"/>
            <w:shd w:val="clear" w:color="auto" w:fill="auto"/>
            <w:vAlign w:val="center"/>
          </w:tcPr>
          <w:p>
            <w:pPr>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4月</w:t>
            </w: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定性种类</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vMerge w:val="continue"/>
            <w:shd w:val="clear" w:color="auto" w:fill="auto"/>
            <w:vAlign w:val="center"/>
          </w:tcPr>
          <w:p>
            <w:pPr>
              <w:ind w:left="-105" w:leftChars="-50" w:right="-105" w:rightChars="-50"/>
              <w:jc w:val="center"/>
              <w:rPr>
                <w:rFonts w:asciiTheme="minorEastAsia" w:hAnsiTheme="minorEastAsia" w:eastAsiaTheme="minorEastAsia"/>
                <w:kern w:val="0"/>
                <w:szCs w:val="21"/>
              </w:rPr>
            </w:pP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定量种类</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vMerge w:val="continue"/>
            <w:shd w:val="clear" w:color="auto" w:fill="auto"/>
            <w:vAlign w:val="center"/>
          </w:tcPr>
          <w:p>
            <w:pPr>
              <w:widowControl/>
              <w:ind w:left="-105" w:leftChars="-50" w:right="-105" w:rightChars="-50"/>
              <w:jc w:val="center"/>
              <w:rPr>
                <w:rFonts w:asciiTheme="minorEastAsia" w:hAnsiTheme="minorEastAsia" w:eastAsiaTheme="minorEastAsia"/>
                <w:kern w:val="0"/>
                <w:szCs w:val="21"/>
              </w:rPr>
            </w:pP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多样性指数</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vMerge w:val="restart"/>
            <w:shd w:val="clear" w:color="auto" w:fill="auto"/>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7月</w:t>
            </w: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定性种类</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074" w:type="dxa"/>
            <w:vMerge w:val="continue"/>
            <w:shd w:val="clear" w:color="auto" w:fill="auto"/>
            <w:vAlign w:val="center"/>
          </w:tcPr>
          <w:p>
            <w:pPr>
              <w:widowControl/>
              <w:ind w:left="-105" w:leftChars="-50" w:right="-105" w:rightChars="-50"/>
              <w:jc w:val="center"/>
              <w:rPr>
                <w:rFonts w:asciiTheme="minorEastAsia" w:hAnsiTheme="minorEastAsia" w:eastAsiaTheme="minorEastAsia"/>
                <w:kern w:val="0"/>
                <w:szCs w:val="21"/>
              </w:rPr>
            </w:pP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定量种类</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074" w:type="dxa"/>
            <w:vMerge w:val="continue"/>
            <w:shd w:val="clear" w:color="auto" w:fill="auto"/>
            <w:vAlign w:val="center"/>
          </w:tcPr>
          <w:p>
            <w:pPr>
              <w:widowControl/>
              <w:ind w:left="-105" w:leftChars="-50" w:right="-105" w:rightChars="-50"/>
              <w:jc w:val="center"/>
              <w:rPr>
                <w:rFonts w:asciiTheme="minorEastAsia" w:hAnsiTheme="minorEastAsia" w:eastAsiaTheme="minorEastAsia"/>
                <w:kern w:val="0"/>
                <w:szCs w:val="21"/>
              </w:rPr>
            </w:pPr>
          </w:p>
        </w:tc>
        <w:tc>
          <w:tcPr>
            <w:tcW w:w="3601"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多样性指数</w:t>
            </w:r>
          </w:p>
        </w:tc>
        <w:tc>
          <w:tcPr>
            <w:tcW w:w="3185" w:type="dxa"/>
            <w:vAlign w:val="center"/>
          </w:tcPr>
          <w:p>
            <w:pPr>
              <w:widowControl/>
              <w:ind w:left="-105" w:leftChars="-50" w:right="-105" w:rightChars="-50"/>
              <w:jc w:val="center"/>
              <w:rPr>
                <w:rFonts w:asciiTheme="minorEastAsia" w:hAnsiTheme="minorEastAsia" w:eastAsiaTheme="minorEastAsia"/>
                <w:kern w:val="0"/>
                <w:szCs w:val="21"/>
              </w:rPr>
            </w:pPr>
            <w:r>
              <w:rPr>
                <w:rFonts w:asciiTheme="minorEastAsia" w:hAnsiTheme="minorEastAsia" w:eastAsiaTheme="minorEastAsia"/>
                <w:kern w:val="0"/>
                <w:szCs w:val="21"/>
              </w:rPr>
              <w:t>3.45</w:t>
            </w:r>
          </w:p>
        </w:tc>
      </w:tr>
    </w:tbl>
    <w:p>
      <w:pPr>
        <w:spacing w:line="360" w:lineRule="auto"/>
        <w:ind w:firstLine="480" w:firstLineChars="200"/>
        <w:rPr>
          <w:sz w:val="24"/>
        </w:rPr>
      </w:pPr>
      <w:r>
        <w:rPr>
          <w:rFonts w:hint="eastAsia"/>
          <w:sz w:val="24"/>
        </w:rPr>
        <w:t>生物多样性指数主要反映生态系统中生物的丰富度和均匀度。评价区各断面浮游植物的生物多样性指数较高，表明评价区浮游植物种类较丰富而且各种类数量均匀度相对较好。</w:t>
      </w:r>
    </w:p>
    <w:p>
      <w:pPr>
        <w:spacing w:line="360" w:lineRule="auto"/>
        <w:ind w:firstLine="480" w:firstLineChars="200"/>
        <w:rPr>
          <w:rFonts w:ascii="宋体" w:hAnsi="宋体"/>
          <w:sz w:val="24"/>
        </w:rPr>
      </w:pPr>
      <w:r>
        <w:rPr>
          <w:rFonts w:hint="eastAsia" w:ascii="宋体" w:hAnsi="宋体"/>
          <w:sz w:val="24"/>
        </w:rPr>
        <w:t>藻类生物多样性与水质存在一定的关系。用</w:t>
      </w:r>
      <w:r>
        <w:rPr>
          <w:sz w:val="24"/>
        </w:rPr>
        <w:t>Shannon-Weiner</w:t>
      </w:r>
      <w:r>
        <w:rPr>
          <w:rFonts w:hint="eastAsia" w:ascii="宋体" w:hAnsi="宋体"/>
          <w:sz w:val="24"/>
        </w:rPr>
        <w:t>藻类生物多样性指数评价水质的标准见表</w:t>
      </w:r>
      <w:r>
        <w:rPr>
          <w:rFonts w:hint="eastAsia"/>
          <w:sz w:val="24"/>
        </w:rPr>
        <w:t>3.6-10</w:t>
      </w:r>
      <w:r>
        <w:rPr>
          <w:rFonts w:hint="eastAsia" w:ascii="宋体" w:hAnsi="宋体"/>
          <w:sz w:val="24"/>
        </w:rPr>
        <w:t>。</w:t>
      </w:r>
    </w:p>
    <w:p>
      <w:pPr>
        <w:pStyle w:val="4"/>
        <w:ind w:firstLine="422"/>
        <w:jc w:val="center"/>
        <w:rPr>
          <w:b/>
        </w:rPr>
      </w:pPr>
      <w:r>
        <w:rPr>
          <w:rFonts w:hint="eastAsia"/>
          <w:b/>
        </w:rPr>
        <w:t>表3.6-10藻类多样性指数与水质评价</w:t>
      </w:r>
    </w:p>
    <w:tbl>
      <w:tblPr>
        <w:tblStyle w:val="104"/>
        <w:tblW w:w="9048"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508"/>
        <w:gridCol w:w="1508"/>
        <w:gridCol w:w="1508"/>
        <w:gridCol w:w="1508"/>
        <w:gridCol w:w="1508"/>
        <w:gridCol w:w="150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59" w:hRule="atLeast"/>
          <w:jc w:val="center"/>
        </w:trPr>
        <w:tc>
          <w:tcPr>
            <w:tcW w:w="1508" w:type="dxa"/>
            <w:vAlign w:val="center"/>
          </w:tcPr>
          <w:p>
            <w:pPr>
              <w:rPr>
                <w:rFonts w:eastAsia="楷体_GB2312"/>
                <w:szCs w:val="21"/>
              </w:rPr>
            </w:pPr>
            <w:r>
              <w:rPr>
                <w:rFonts w:eastAsia="楷体_GB2312"/>
                <w:szCs w:val="21"/>
              </w:rPr>
              <w:t>多样性指数</w:t>
            </w:r>
          </w:p>
        </w:tc>
        <w:tc>
          <w:tcPr>
            <w:tcW w:w="1508" w:type="dxa"/>
            <w:vAlign w:val="center"/>
          </w:tcPr>
          <w:p>
            <w:pPr>
              <w:rPr>
                <w:rFonts w:eastAsia="楷体_GB2312"/>
                <w:szCs w:val="21"/>
              </w:rPr>
            </w:pPr>
            <w:r>
              <w:rPr>
                <w:rFonts w:eastAsia="楷体_GB2312"/>
                <w:szCs w:val="21"/>
              </w:rPr>
              <w:t>0</w:t>
            </w:r>
          </w:p>
        </w:tc>
        <w:tc>
          <w:tcPr>
            <w:tcW w:w="1508" w:type="dxa"/>
            <w:vAlign w:val="center"/>
          </w:tcPr>
          <w:p>
            <w:pPr>
              <w:ind w:firstLine="210" w:firstLineChars="100"/>
              <w:rPr>
                <w:rFonts w:eastAsia="楷体_GB2312"/>
                <w:szCs w:val="21"/>
              </w:rPr>
            </w:pPr>
            <w:r>
              <w:rPr>
                <w:rFonts w:eastAsia="楷体_GB2312"/>
                <w:szCs w:val="21"/>
              </w:rPr>
              <w:t>0＜H≤1</w:t>
            </w:r>
          </w:p>
        </w:tc>
        <w:tc>
          <w:tcPr>
            <w:tcW w:w="1508" w:type="dxa"/>
            <w:vAlign w:val="center"/>
          </w:tcPr>
          <w:p>
            <w:pPr>
              <w:ind w:firstLine="210" w:firstLineChars="100"/>
              <w:rPr>
                <w:rFonts w:eastAsia="楷体_GB2312"/>
                <w:szCs w:val="21"/>
              </w:rPr>
            </w:pPr>
            <w:r>
              <w:rPr>
                <w:rFonts w:eastAsia="楷体_GB2312"/>
                <w:szCs w:val="21"/>
              </w:rPr>
              <w:t>1＜H≤2</w:t>
            </w:r>
          </w:p>
        </w:tc>
        <w:tc>
          <w:tcPr>
            <w:tcW w:w="1508" w:type="dxa"/>
            <w:vAlign w:val="center"/>
          </w:tcPr>
          <w:p>
            <w:pPr>
              <w:ind w:firstLine="210" w:firstLineChars="100"/>
              <w:rPr>
                <w:rFonts w:eastAsia="楷体_GB2312"/>
                <w:szCs w:val="21"/>
              </w:rPr>
            </w:pPr>
            <w:r>
              <w:rPr>
                <w:rFonts w:eastAsia="楷体_GB2312"/>
                <w:szCs w:val="21"/>
              </w:rPr>
              <w:t>2＜H≤3</w:t>
            </w:r>
          </w:p>
        </w:tc>
        <w:tc>
          <w:tcPr>
            <w:tcW w:w="1508" w:type="dxa"/>
            <w:vAlign w:val="center"/>
          </w:tcPr>
          <w:p>
            <w:pPr>
              <w:ind w:firstLine="315" w:firstLineChars="150"/>
              <w:rPr>
                <w:rFonts w:eastAsia="楷体_GB2312"/>
                <w:szCs w:val="21"/>
              </w:rPr>
            </w:pPr>
            <w:r>
              <w:rPr>
                <w:rFonts w:eastAsia="楷体_GB2312"/>
                <w:szCs w:val="21"/>
              </w:rPr>
              <w:t>3＜H</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67" w:hRule="atLeast"/>
          <w:jc w:val="center"/>
        </w:trPr>
        <w:tc>
          <w:tcPr>
            <w:tcW w:w="1508" w:type="dxa"/>
            <w:vAlign w:val="center"/>
          </w:tcPr>
          <w:p>
            <w:pPr>
              <w:rPr>
                <w:rFonts w:eastAsia="楷体_GB2312"/>
                <w:szCs w:val="21"/>
              </w:rPr>
            </w:pPr>
            <w:r>
              <w:rPr>
                <w:rFonts w:eastAsia="楷体_GB2312"/>
                <w:szCs w:val="21"/>
              </w:rPr>
              <w:t>污染程度</w:t>
            </w:r>
          </w:p>
        </w:tc>
        <w:tc>
          <w:tcPr>
            <w:tcW w:w="1508" w:type="dxa"/>
            <w:vAlign w:val="center"/>
          </w:tcPr>
          <w:p>
            <w:pPr>
              <w:ind w:firstLine="105" w:firstLineChars="50"/>
              <w:rPr>
                <w:rFonts w:eastAsia="楷体_GB2312"/>
                <w:szCs w:val="21"/>
              </w:rPr>
            </w:pPr>
            <w:r>
              <w:rPr>
                <w:rFonts w:eastAsia="楷体_GB2312"/>
                <w:szCs w:val="21"/>
              </w:rPr>
              <w:t>严重污染</w:t>
            </w:r>
          </w:p>
        </w:tc>
        <w:tc>
          <w:tcPr>
            <w:tcW w:w="1508" w:type="dxa"/>
            <w:vAlign w:val="center"/>
          </w:tcPr>
          <w:p>
            <w:pPr>
              <w:ind w:firstLine="210" w:firstLineChars="100"/>
              <w:rPr>
                <w:rFonts w:eastAsia="楷体_GB2312"/>
                <w:szCs w:val="21"/>
              </w:rPr>
            </w:pPr>
            <w:r>
              <w:rPr>
                <w:rFonts w:eastAsia="楷体_GB2312"/>
                <w:szCs w:val="21"/>
              </w:rPr>
              <w:t>重污染</w:t>
            </w:r>
          </w:p>
        </w:tc>
        <w:tc>
          <w:tcPr>
            <w:tcW w:w="1508" w:type="dxa"/>
            <w:vAlign w:val="center"/>
          </w:tcPr>
          <w:p>
            <w:pPr>
              <w:ind w:firstLine="210" w:firstLineChars="100"/>
              <w:rPr>
                <w:rFonts w:eastAsia="楷体_GB2312"/>
                <w:szCs w:val="21"/>
              </w:rPr>
            </w:pPr>
            <w:r>
              <w:rPr>
                <w:rFonts w:eastAsia="楷体_GB2312"/>
                <w:szCs w:val="21"/>
              </w:rPr>
              <w:t>中污染</w:t>
            </w:r>
          </w:p>
        </w:tc>
        <w:tc>
          <w:tcPr>
            <w:tcW w:w="1508" w:type="dxa"/>
            <w:vAlign w:val="center"/>
          </w:tcPr>
          <w:p>
            <w:pPr>
              <w:ind w:firstLine="210" w:firstLineChars="100"/>
              <w:rPr>
                <w:rFonts w:eastAsia="楷体_GB2312"/>
                <w:szCs w:val="21"/>
              </w:rPr>
            </w:pPr>
            <w:r>
              <w:rPr>
                <w:rFonts w:eastAsia="楷体_GB2312"/>
                <w:szCs w:val="21"/>
              </w:rPr>
              <w:t>轻污染</w:t>
            </w:r>
          </w:p>
        </w:tc>
        <w:tc>
          <w:tcPr>
            <w:tcW w:w="1508" w:type="dxa"/>
            <w:vAlign w:val="center"/>
          </w:tcPr>
          <w:p>
            <w:pPr>
              <w:ind w:firstLine="315" w:firstLineChars="150"/>
              <w:rPr>
                <w:rFonts w:eastAsia="楷体_GB2312"/>
                <w:szCs w:val="21"/>
              </w:rPr>
            </w:pPr>
            <w:r>
              <w:rPr>
                <w:rFonts w:eastAsia="楷体_GB2312"/>
                <w:szCs w:val="21"/>
              </w:rPr>
              <w:t>清洁</w:t>
            </w:r>
          </w:p>
        </w:tc>
      </w:tr>
    </w:tbl>
    <w:p>
      <w:pPr>
        <w:spacing w:line="360" w:lineRule="auto"/>
        <w:ind w:firstLine="480" w:firstLineChars="200"/>
        <w:rPr>
          <w:sz w:val="24"/>
        </w:rPr>
      </w:pPr>
      <w:r>
        <w:rPr>
          <w:rFonts w:hint="eastAsia"/>
          <w:sz w:val="24"/>
        </w:rPr>
        <w:t>用</w:t>
      </w:r>
      <w:r>
        <w:rPr>
          <w:sz w:val="24"/>
        </w:rPr>
        <w:t>Shannon-Wiener</w:t>
      </w:r>
      <w:r>
        <w:rPr>
          <w:rFonts w:hint="eastAsia" w:ascii="宋体" w:hAnsi="宋体"/>
          <w:sz w:val="24"/>
        </w:rPr>
        <w:t>藻类生物多样性指数评价评价区各断面水体水质，</w:t>
      </w:r>
      <w:r>
        <w:rPr>
          <w:sz w:val="24"/>
        </w:rPr>
        <w:t>调查各断面浮游植物生物多样性</w:t>
      </w:r>
      <w:r>
        <w:rPr>
          <w:rFonts w:hint="eastAsia"/>
          <w:sz w:val="24"/>
        </w:rPr>
        <w:t>大于3，表明评价区水体水质清洁。</w:t>
      </w:r>
    </w:p>
    <w:p>
      <w:pPr>
        <w:pStyle w:val="6"/>
        <w:tabs>
          <w:tab w:val="left" w:pos="-489"/>
        </w:tabs>
        <w:spacing w:beforeLines="0" w:afterLines="0"/>
        <w:ind w:left="0" w:firstLine="0"/>
        <w:rPr>
          <w:snapToGrid w:val="0"/>
        </w:rPr>
      </w:pPr>
      <w:r>
        <w:rPr>
          <w:rFonts w:hint="eastAsia"/>
          <w:snapToGrid w:val="0"/>
        </w:rPr>
        <w:t>浮游动物</w:t>
      </w:r>
    </w:p>
    <w:p>
      <w:pPr>
        <w:spacing w:line="360" w:lineRule="auto"/>
        <w:ind w:firstLine="480" w:firstLineChars="200"/>
        <w:rPr>
          <w:rFonts w:ascii="宋体" w:hAnsi="宋体"/>
          <w:sz w:val="24"/>
        </w:rPr>
      </w:pPr>
      <w:r>
        <w:rPr>
          <w:rFonts w:hint="eastAsia" w:ascii="宋体" w:hAnsi="宋体"/>
          <w:sz w:val="24"/>
        </w:rPr>
        <w:t>（1）</w:t>
      </w:r>
      <w:r>
        <w:rPr>
          <w:rFonts w:hint="eastAsia"/>
          <w:sz w:val="24"/>
        </w:rPr>
        <w:t>浮游动物</w:t>
      </w:r>
      <w:r>
        <w:rPr>
          <w:rFonts w:hint="eastAsia" w:ascii="宋体" w:hAnsi="宋体"/>
          <w:sz w:val="24"/>
        </w:rPr>
        <w:t>种类</w:t>
      </w:r>
    </w:p>
    <w:p>
      <w:pPr>
        <w:spacing w:line="360" w:lineRule="auto"/>
        <w:ind w:firstLine="480" w:firstLineChars="200"/>
        <w:rPr>
          <w:sz w:val="24"/>
        </w:rPr>
      </w:pPr>
      <w:r>
        <w:rPr>
          <w:sz w:val="24"/>
        </w:rPr>
        <w:t>浮游动物</w:t>
      </w:r>
      <w:r>
        <w:rPr>
          <w:rFonts w:hint="eastAsia"/>
          <w:sz w:val="24"/>
        </w:rPr>
        <w:t>32</w:t>
      </w:r>
      <w:r>
        <w:rPr>
          <w:sz w:val="24"/>
        </w:rPr>
        <w:t>属</w:t>
      </w:r>
      <w:r>
        <w:rPr>
          <w:rFonts w:hint="eastAsia"/>
          <w:sz w:val="24"/>
        </w:rPr>
        <w:t>65</w:t>
      </w:r>
      <w:r>
        <w:rPr>
          <w:sz w:val="24"/>
        </w:rPr>
        <w:t>种（表</w:t>
      </w:r>
      <w:r>
        <w:rPr>
          <w:rFonts w:hint="eastAsia"/>
          <w:sz w:val="24"/>
        </w:rPr>
        <w:t>3.6-11</w:t>
      </w:r>
      <w:r>
        <w:rPr>
          <w:sz w:val="24"/>
        </w:rPr>
        <w:t>）。其中原生动物种类最多</w:t>
      </w:r>
      <w:r>
        <w:rPr>
          <w:rFonts w:hint="eastAsia"/>
          <w:sz w:val="24"/>
        </w:rPr>
        <w:t>28</w:t>
      </w:r>
      <w:r>
        <w:rPr>
          <w:sz w:val="24"/>
        </w:rPr>
        <w:t>种，占总种数的</w:t>
      </w:r>
      <w:r>
        <w:rPr>
          <w:rFonts w:hint="eastAsia"/>
          <w:sz w:val="24"/>
        </w:rPr>
        <w:t>43.08</w:t>
      </w:r>
      <w:r>
        <w:rPr>
          <w:sz w:val="24"/>
        </w:rPr>
        <w:t>%；轮虫</w:t>
      </w:r>
      <w:r>
        <w:rPr>
          <w:rFonts w:hint="eastAsia"/>
          <w:sz w:val="24"/>
        </w:rPr>
        <w:t>19</w:t>
      </w:r>
      <w:r>
        <w:rPr>
          <w:sz w:val="24"/>
        </w:rPr>
        <w:t>种，占</w:t>
      </w:r>
      <w:r>
        <w:rPr>
          <w:rFonts w:hint="eastAsia"/>
          <w:sz w:val="24"/>
        </w:rPr>
        <w:t>29.23</w:t>
      </w:r>
      <w:r>
        <w:rPr>
          <w:sz w:val="24"/>
        </w:rPr>
        <w:t>%；枝角类</w:t>
      </w:r>
      <w:r>
        <w:rPr>
          <w:rFonts w:hint="eastAsia"/>
          <w:sz w:val="24"/>
        </w:rPr>
        <w:t>8</w:t>
      </w:r>
      <w:r>
        <w:rPr>
          <w:sz w:val="24"/>
        </w:rPr>
        <w:t>种，占</w:t>
      </w:r>
      <w:r>
        <w:rPr>
          <w:rFonts w:hint="eastAsia"/>
          <w:sz w:val="24"/>
        </w:rPr>
        <w:t>12.31</w:t>
      </w:r>
      <w:r>
        <w:rPr>
          <w:sz w:val="24"/>
        </w:rPr>
        <w:t>%；桡足类种类最少</w:t>
      </w:r>
      <w:r>
        <w:rPr>
          <w:rFonts w:hint="eastAsia"/>
          <w:sz w:val="24"/>
        </w:rPr>
        <w:t>10</w:t>
      </w:r>
      <w:r>
        <w:rPr>
          <w:sz w:val="24"/>
        </w:rPr>
        <w:t>种，占</w:t>
      </w:r>
      <w:r>
        <w:rPr>
          <w:rFonts w:hint="eastAsia"/>
          <w:sz w:val="24"/>
        </w:rPr>
        <w:t>15.38</w:t>
      </w:r>
      <w:r>
        <w:rPr>
          <w:sz w:val="24"/>
        </w:rPr>
        <w:t>%。</w:t>
      </w:r>
      <w:r>
        <w:rPr>
          <w:rFonts w:hint="eastAsia"/>
          <w:sz w:val="24"/>
        </w:rPr>
        <w:t>浮游动物常见种原生动物中有半圆表壳虫、圆匣壳虫，轮虫中有萼花臂尾轮虫、螺形龟甲轮虫、针簇多肢轮虫。枝角类中透明溞、简弧象鼻溞，桡足类有汤匙华哲水蚤、英勇剑水蚤等。</w:t>
      </w:r>
    </w:p>
    <w:p>
      <w:pPr>
        <w:jc w:val="center"/>
        <w:rPr>
          <w:rFonts w:asciiTheme="minorEastAsia" w:hAnsiTheme="minorEastAsia" w:eastAsiaTheme="minorEastAsia"/>
          <w:b/>
          <w:szCs w:val="21"/>
        </w:rPr>
      </w:pPr>
      <w:r>
        <w:rPr>
          <w:rFonts w:hint="eastAsia" w:asciiTheme="minorEastAsia" w:hAnsiTheme="minorEastAsia" w:eastAsiaTheme="minorEastAsia"/>
          <w:b/>
          <w:szCs w:val="21"/>
        </w:rPr>
        <w:t>表3.6-11评价区浮游动物种类数</w:t>
      </w:r>
    </w:p>
    <w:tbl>
      <w:tblPr>
        <w:tblStyle w:val="104"/>
        <w:tblW w:w="9048"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022"/>
        <w:gridCol w:w="1168"/>
        <w:gridCol w:w="1451"/>
        <w:gridCol w:w="879"/>
        <w:gridCol w:w="1165"/>
        <w:gridCol w:w="1165"/>
        <w:gridCol w:w="119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3190" w:type="dxa"/>
            <w:gridSpan w:val="2"/>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种类</w:t>
            </w:r>
          </w:p>
        </w:tc>
        <w:tc>
          <w:tcPr>
            <w:tcW w:w="1451" w:type="dxa"/>
            <w:tcBorders>
              <w:bottom w:val="single" w:color="auto" w:sz="12" w:space="0"/>
            </w:tcBorders>
            <w:shd w:val="clear" w:color="auto" w:fill="auto"/>
            <w:vAlign w:val="center"/>
          </w:tcPr>
          <w:p>
            <w:pPr>
              <w:widowControl/>
              <w:rPr>
                <w:rFonts w:ascii="黑体" w:eastAsia="黑体"/>
                <w:kern w:val="0"/>
                <w:szCs w:val="21"/>
              </w:rPr>
            </w:pPr>
            <w:r>
              <w:rPr>
                <w:rFonts w:hint="eastAsia" w:ascii="黑体" w:eastAsia="黑体"/>
                <w:kern w:val="0"/>
                <w:szCs w:val="21"/>
              </w:rPr>
              <w:t>原生动物</w:t>
            </w:r>
          </w:p>
        </w:tc>
        <w:tc>
          <w:tcPr>
            <w:tcW w:w="879" w:type="dxa"/>
            <w:tcBorders>
              <w:bottom w:val="single" w:color="auto" w:sz="12" w:space="0"/>
            </w:tcBorders>
            <w:shd w:val="clear" w:color="auto" w:fill="auto"/>
            <w:vAlign w:val="center"/>
          </w:tcPr>
          <w:p>
            <w:pPr>
              <w:widowControl/>
              <w:rPr>
                <w:rFonts w:ascii="黑体" w:eastAsia="黑体"/>
                <w:kern w:val="0"/>
                <w:szCs w:val="21"/>
              </w:rPr>
            </w:pPr>
            <w:r>
              <w:rPr>
                <w:rFonts w:hint="eastAsia" w:ascii="黑体" w:eastAsia="黑体"/>
                <w:kern w:val="0"/>
                <w:szCs w:val="21"/>
              </w:rPr>
              <w:t>轮虫</w:t>
            </w:r>
          </w:p>
        </w:tc>
        <w:tc>
          <w:tcPr>
            <w:tcW w:w="1165" w:type="dxa"/>
            <w:tcBorders>
              <w:bottom w:val="single" w:color="auto" w:sz="12" w:space="0"/>
            </w:tcBorders>
            <w:shd w:val="clear" w:color="auto" w:fill="auto"/>
            <w:vAlign w:val="center"/>
          </w:tcPr>
          <w:p>
            <w:pPr>
              <w:widowControl/>
              <w:rPr>
                <w:rFonts w:ascii="黑体" w:eastAsia="黑体"/>
                <w:kern w:val="0"/>
                <w:szCs w:val="21"/>
              </w:rPr>
            </w:pPr>
            <w:r>
              <w:rPr>
                <w:rFonts w:hint="eastAsia" w:ascii="黑体" w:eastAsia="黑体"/>
                <w:kern w:val="0"/>
                <w:szCs w:val="21"/>
              </w:rPr>
              <w:t>枝角类</w:t>
            </w:r>
          </w:p>
        </w:tc>
        <w:tc>
          <w:tcPr>
            <w:tcW w:w="1165" w:type="dxa"/>
            <w:tcBorders>
              <w:bottom w:val="single" w:color="auto" w:sz="12" w:space="0"/>
            </w:tcBorders>
            <w:shd w:val="clear" w:color="auto" w:fill="auto"/>
            <w:vAlign w:val="center"/>
          </w:tcPr>
          <w:p>
            <w:pPr>
              <w:widowControl/>
              <w:rPr>
                <w:rFonts w:ascii="黑体" w:eastAsia="黑体"/>
                <w:kern w:val="0"/>
                <w:szCs w:val="21"/>
              </w:rPr>
            </w:pPr>
            <w:r>
              <w:rPr>
                <w:rFonts w:hint="eastAsia" w:ascii="黑体" w:eastAsia="黑体"/>
                <w:kern w:val="0"/>
                <w:szCs w:val="21"/>
              </w:rPr>
              <w:t>桡足类</w:t>
            </w:r>
          </w:p>
        </w:tc>
        <w:tc>
          <w:tcPr>
            <w:tcW w:w="1198" w:type="dxa"/>
            <w:tcBorders>
              <w:bottom w:val="single" w:color="auto" w:sz="12" w:space="0"/>
            </w:tcBorders>
            <w:shd w:val="clear" w:color="auto" w:fill="auto"/>
            <w:vAlign w:val="center"/>
          </w:tcPr>
          <w:p>
            <w:pPr>
              <w:widowControl/>
              <w:rPr>
                <w:rFonts w:ascii="黑体" w:eastAsia="黑体"/>
                <w:kern w:val="0"/>
                <w:szCs w:val="21"/>
              </w:rPr>
            </w:pPr>
            <w:r>
              <w:rPr>
                <w:rFonts w:hint="eastAsia" w:ascii="黑体" w:eastAsia="黑体"/>
                <w:kern w:val="0"/>
                <w:szCs w:val="21"/>
              </w:rPr>
              <w:t>合计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2022" w:type="dxa"/>
            <w:vMerge w:val="restart"/>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枝江</w:t>
            </w:r>
          </w:p>
        </w:tc>
        <w:tc>
          <w:tcPr>
            <w:tcW w:w="1168"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4月</w:t>
            </w:r>
          </w:p>
        </w:tc>
        <w:tc>
          <w:tcPr>
            <w:tcW w:w="1451"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17</w:t>
            </w:r>
          </w:p>
        </w:tc>
        <w:tc>
          <w:tcPr>
            <w:tcW w:w="879"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13</w:t>
            </w:r>
          </w:p>
        </w:tc>
        <w:tc>
          <w:tcPr>
            <w:tcW w:w="1165"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7</w:t>
            </w:r>
          </w:p>
        </w:tc>
        <w:tc>
          <w:tcPr>
            <w:tcW w:w="1165"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5</w:t>
            </w:r>
          </w:p>
        </w:tc>
        <w:tc>
          <w:tcPr>
            <w:tcW w:w="1198" w:type="dxa"/>
            <w:tcBorders>
              <w:top w:val="single" w:color="auto" w:sz="12" w:space="0"/>
            </w:tcBorders>
            <w:shd w:val="clear" w:color="auto" w:fill="auto"/>
            <w:vAlign w:val="center"/>
          </w:tcPr>
          <w:p>
            <w:pPr>
              <w:widowControl/>
              <w:rPr>
                <w:rFonts w:eastAsia="楷体_GB2312"/>
                <w:kern w:val="0"/>
                <w:szCs w:val="21"/>
              </w:rPr>
            </w:pPr>
            <w:r>
              <w:rPr>
                <w:rFonts w:eastAsia="楷体_GB2312"/>
                <w:kern w:val="0"/>
                <w:szCs w:val="21"/>
              </w:rPr>
              <w:t>42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2022" w:type="dxa"/>
            <w:vMerge w:val="continue"/>
            <w:vAlign w:val="center"/>
          </w:tcPr>
          <w:p>
            <w:pPr>
              <w:widowControl/>
              <w:jc w:val="center"/>
              <w:rPr>
                <w:rFonts w:eastAsia="楷体_GB2312"/>
                <w:kern w:val="0"/>
                <w:szCs w:val="21"/>
              </w:rPr>
            </w:pPr>
          </w:p>
        </w:tc>
        <w:tc>
          <w:tcPr>
            <w:tcW w:w="1168" w:type="dxa"/>
            <w:shd w:val="clear" w:color="auto" w:fill="auto"/>
            <w:vAlign w:val="center"/>
          </w:tcPr>
          <w:p>
            <w:pPr>
              <w:widowControl/>
              <w:rPr>
                <w:rFonts w:eastAsia="楷体_GB2312"/>
                <w:kern w:val="0"/>
                <w:szCs w:val="21"/>
              </w:rPr>
            </w:pPr>
            <w:r>
              <w:rPr>
                <w:rFonts w:eastAsia="楷体_GB2312"/>
                <w:kern w:val="0"/>
                <w:szCs w:val="21"/>
              </w:rPr>
              <w:t>7月</w:t>
            </w:r>
          </w:p>
        </w:tc>
        <w:tc>
          <w:tcPr>
            <w:tcW w:w="1451" w:type="dxa"/>
            <w:shd w:val="clear" w:color="auto" w:fill="auto"/>
            <w:vAlign w:val="center"/>
          </w:tcPr>
          <w:p>
            <w:pPr>
              <w:widowControl/>
              <w:rPr>
                <w:rFonts w:eastAsia="楷体_GB2312"/>
                <w:kern w:val="0"/>
                <w:szCs w:val="21"/>
              </w:rPr>
            </w:pPr>
            <w:r>
              <w:rPr>
                <w:rFonts w:eastAsia="楷体_GB2312"/>
                <w:kern w:val="0"/>
                <w:szCs w:val="21"/>
              </w:rPr>
              <w:t>21</w:t>
            </w:r>
          </w:p>
        </w:tc>
        <w:tc>
          <w:tcPr>
            <w:tcW w:w="879" w:type="dxa"/>
            <w:shd w:val="clear" w:color="auto" w:fill="auto"/>
            <w:vAlign w:val="center"/>
          </w:tcPr>
          <w:p>
            <w:pPr>
              <w:widowControl/>
              <w:rPr>
                <w:rFonts w:eastAsia="楷体_GB2312"/>
                <w:kern w:val="0"/>
                <w:szCs w:val="21"/>
              </w:rPr>
            </w:pPr>
            <w:r>
              <w:rPr>
                <w:rFonts w:eastAsia="楷体_GB2312"/>
                <w:kern w:val="0"/>
                <w:szCs w:val="21"/>
              </w:rPr>
              <w:t>8</w:t>
            </w:r>
          </w:p>
        </w:tc>
        <w:tc>
          <w:tcPr>
            <w:tcW w:w="1165" w:type="dxa"/>
            <w:shd w:val="clear" w:color="auto" w:fill="auto"/>
            <w:vAlign w:val="center"/>
          </w:tcPr>
          <w:p>
            <w:pPr>
              <w:widowControl/>
              <w:rPr>
                <w:rFonts w:eastAsia="楷体_GB2312"/>
                <w:kern w:val="0"/>
                <w:szCs w:val="21"/>
              </w:rPr>
            </w:pPr>
            <w:r>
              <w:rPr>
                <w:rFonts w:eastAsia="楷体_GB2312"/>
                <w:kern w:val="0"/>
                <w:szCs w:val="21"/>
              </w:rPr>
              <w:t>4</w:t>
            </w:r>
          </w:p>
        </w:tc>
        <w:tc>
          <w:tcPr>
            <w:tcW w:w="1165" w:type="dxa"/>
            <w:shd w:val="clear" w:color="auto" w:fill="auto"/>
            <w:vAlign w:val="center"/>
          </w:tcPr>
          <w:p>
            <w:pPr>
              <w:widowControl/>
              <w:rPr>
                <w:rFonts w:eastAsia="楷体_GB2312"/>
                <w:kern w:val="0"/>
                <w:szCs w:val="21"/>
              </w:rPr>
            </w:pPr>
            <w:r>
              <w:rPr>
                <w:rFonts w:eastAsia="楷体_GB2312"/>
                <w:kern w:val="0"/>
                <w:szCs w:val="21"/>
              </w:rPr>
              <w:t>9</w:t>
            </w:r>
          </w:p>
        </w:tc>
        <w:tc>
          <w:tcPr>
            <w:tcW w:w="1198" w:type="dxa"/>
            <w:shd w:val="clear" w:color="auto" w:fill="auto"/>
            <w:vAlign w:val="center"/>
          </w:tcPr>
          <w:p>
            <w:pPr>
              <w:widowControl/>
              <w:rPr>
                <w:rFonts w:eastAsia="楷体_GB2312"/>
                <w:kern w:val="0"/>
                <w:szCs w:val="21"/>
              </w:rPr>
            </w:pPr>
            <w:r>
              <w:rPr>
                <w:rFonts w:eastAsia="楷体_GB2312"/>
                <w:kern w:val="0"/>
                <w:szCs w:val="21"/>
              </w:rPr>
              <w:t>42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2022" w:type="dxa"/>
            <w:vMerge w:val="continue"/>
            <w:vAlign w:val="center"/>
          </w:tcPr>
          <w:p>
            <w:pPr>
              <w:widowControl/>
              <w:jc w:val="center"/>
              <w:rPr>
                <w:rFonts w:eastAsia="楷体_GB2312"/>
                <w:kern w:val="0"/>
                <w:szCs w:val="21"/>
              </w:rPr>
            </w:pPr>
          </w:p>
        </w:tc>
        <w:tc>
          <w:tcPr>
            <w:tcW w:w="1168" w:type="dxa"/>
            <w:shd w:val="clear" w:color="auto" w:fill="auto"/>
            <w:vAlign w:val="center"/>
          </w:tcPr>
          <w:p>
            <w:pPr>
              <w:widowControl/>
              <w:rPr>
                <w:rFonts w:eastAsia="楷体_GB2312"/>
                <w:kern w:val="0"/>
                <w:szCs w:val="21"/>
              </w:rPr>
            </w:pPr>
            <w:r>
              <w:rPr>
                <w:rFonts w:eastAsia="楷体_GB2312"/>
                <w:kern w:val="0"/>
                <w:szCs w:val="21"/>
              </w:rPr>
              <w:t>小计</w:t>
            </w:r>
          </w:p>
        </w:tc>
        <w:tc>
          <w:tcPr>
            <w:tcW w:w="1451" w:type="dxa"/>
            <w:shd w:val="clear" w:color="auto" w:fill="auto"/>
            <w:vAlign w:val="center"/>
          </w:tcPr>
          <w:p>
            <w:pPr>
              <w:widowControl/>
              <w:rPr>
                <w:rFonts w:eastAsia="楷体_GB2312"/>
                <w:kern w:val="0"/>
                <w:szCs w:val="21"/>
              </w:rPr>
            </w:pPr>
            <w:r>
              <w:rPr>
                <w:rFonts w:eastAsia="楷体_GB2312"/>
                <w:kern w:val="0"/>
                <w:szCs w:val="21"/>
              </w:rPr>
              <w:t>28</w:t>
            </w:r>
          </w:p>
        </w:tc>
        <w:tc>
          <w:tcPr>
            <w:tcW w:w="879" w:type="dxa"/>
            <w:shd w:val="clear" w:color="auto" w:fill="auto"/>
            <w:vAlign w:val="center"/>
          </w:tcPr>
          <w:p>
            <w:pPr>
              <w:widowControl/>
              <w:rPr>
                <w:rFonts w:eastAsia="楷体_GB2312"/>
                <w:kern w:val="0"/>
                <w:szCs w:val="21"/>
              </w:rPr>
            </w:pPr>
            <w:r>
              <w:rPr>
                <w:rFonts w:eastAsia="楷体_GB2312"/>
                <w:kern w:val="0"/>
                <w:szCs w:val="21"/>
              </w:rPr>
              <w:t>19</w:t>
            </w:r>
          </w:p>
        </w:tc>
        <w:tc>
          <w:tcPr>
            <w:tcW w:w="1165" w:type="dxa"/>
            <w:shd w:val="clear" w:color="auto" w:fill="auto"/>
            <w:vAlign w:val="center"/>
          </w:tcPr>
          <w:p>
            <w:pPr>
              <w:widowControl/>
              <w:rPr>
                <w:rFonts w:eastAsia="楷体_GB2312"/>
                <w:kern w:val="0"/>
                <w:szCs w:val="21"/>
              </w:rPr>
            </w:pPr>
            <w:r>
              <w:rPr>
                <w:rFonts w:eastAsia="楷体_GB2312"/>
                <w:kern w:val="0"/>
                <w:szCs w:val="21"/>
              </w:rPr>
              <w:t>8</w:t>
            </w:r>
          </w:p>
        </w:tc>
        <w:tc>
          <w:tcPr>
            <w:tcW w:w="1165" w:type="dxa"/>
            <w:shd w:val="clear" w:color="auto" w:fill="auto"/>
            <w:vAlign w:val="center"/>
          </w:tcPr>
          <w:p>
            <w:pPr>
              <w:widowControl/>
              <w:rPr>
                <w:rFonts w:eastAsia="楷体_GB2312"/>
                <w:kern w:val="0"/>
                <w:szCs w:val="21"/>
              </w:rPr>
            </w:pPr>
            <w:r>
              <w:rPr>
                <w:rFonts w:eastAsia="楷体_GB2312"/>
                <w:kern w:val="0"/>
                <w:szCs w:val="21"/>
              </w:rPr>
              <w:t>10</w:t>
            </w:r>
          </w:p>
        </w:tc>
        <w:tc>
          <w:tcPr>
            <w:tcW w:w="1198" w:type="dxa"/>
            <w:shd w:val="clear" w:color="auto" w:fill="auto"/>
            <w:vAlign w:val="center"/>
          </w:tcPr>
          <w:p>
            <w:pPr>
              <w:widowControl/>
              <w:rPr>
                <w:rFonts w:eastAsia="楷体_GB2312"/>
                <w:kern w:val="0"/>
                <w:szCs w:val="21"/>
              </w:rPr>
            </w:pPr>
            <w:r>
              <w:rPr>
                <w:rFonts w:eastAsia="楷体_GB2312"/>
                <w:kern w:val="0"/>
                <w:szCs w:val="21"/>
              </w:rPr>
              <w:t>65</w:t>
            </w:r>
          </w:p>
        </w:tc>
      </w:tr>
    </w:tbl>
    <w:p>
      <w:pPr>
        <w:spacing w:line="360" w:lineRule="auto"/>
        <w:ind w:firstLine="480" w:firstLineChars="200"/>
        <w:rPr>
          <w:sz w:val="24"/>
        </w:rPr>
      </w:pPr>
      <w:r>
        <w:rPr>
          <w:rFonts w:hint="eastAsia"/>
          <w:sz w:val="24"/>
        </w:rPr>
        <w:t>（2）</w:t>
      </w:r>
      <w:r>
        <w:rPr>
          <w:sz w:val="24"/>
        </w:rPr>
        <w:t>浮游动物现存量</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2"/>
          <w:sz w:val="24"/>
        </w:rPr>
        <w:instrText xml:space="preserve">1</w:instrText>
      </w:r>
      <w:r>
        <w:rPr>
          <w:rFonts w:hint="eastAsia"/>
          <w:sz w:val="24"/>
        </w:rPr>
        <w:instrText xml:space="preserve">)</w:instrText>
      </w:r>
      <w:r>
        <w:rPr>
          <w:sz w:val="24"/>
        </w:rPr>
        <w:fldChar w:fldCharType="end"/>
      </w:r>
      <w:r>
        <w:rPr>
          <w:sz w:val="24"/>
        </w:rPr>
        <w:t>浮游动物的密度</w:t>
      </w:r>
      <w:r>
        <w:rPr>
          <w:rFonts w:hint="eastAsia"/>
          <w:sz w:val="24"/>
        </w:rPr>
        <w:t xml:space="preserve"> </w:t>
      </w:r>
    </w:p>
    <w:p>
      <w:pPr>
        <w:pStyle w:val="16"/>
        <w:tabs>
          <w:tab w:val="left" w:pos="540"/>
        </w:tabs>
        <w:spacing w:after="0" w:line="360" w:lineRule="auto"/>
        <w:ind w:firstLine="480" w:firstLineChars="200"/>
        <w:rPr>
          <w:sz w:val="24"/>
        </w:rPr>
      </w:pPr>
      <w:r>
        <w:rPr>
          <w:rFonts w:hint="eastAsia"/>
          <w:sz w:val="24"/>
        </w:rPr>
        <w:t>评价江段采集到的</w:t>
      </w:r>
      <w:r>
        <w:rPr>
          <w:sz w:val="24"/>
        </w:rPr>
        <w:t>各断面浮游动物密度见表</w:t>
      </w:r>
      <w:r>
        <w:rPr>
          <w:rFonts w:hint="eastAsia"/>
          <w:sz w:val="24"/>
        </w:rPr>
        <w:t>3.6-12</w:t>
      </w:r>
      <w:r>
        <w:rPr>
          <w:sz w:val="24"/>
        </w:rPr>
        <w:t>。</w:t>
      </w:r>
      <w:r>
        <w:rPr>
          <w:rFonts w:hint="eastAsia"/>
          <w:sz w:val="24"/>
        </w:rPr>
        <w:t>评价江段</w:t>
      </w:r>
      <w:r>
        <w:rPr>
          <w:sz w:val="24"/>
        </w:rPr>
        <w:t>浮游动物平均密度为</w:t>
      </w:r>
      <w:r>
        <w:rPr>
          <w:rFonts w:hint="eastAsia"/>
          <w:sz w:val="24"/>
        </w:rPr>
        <w:t>213.97</w:t>
      </w:r>
      <w:r>
        <w:rPr>
          <w:sz w:val="24"/>
        </w:rPr>
        <w:t>ind./L。其中，原生动物</w:t>
      </w:r>
      <w:r>
        <w:rPr>
          <w:rFonts w:hint="eastAsia"/>
          <w:sz w:val="24"/>
        </w:rPr>
        <w:t>平均</w:t>
      </w:r>
      <w:r>
        <w:rPr>
          <w:sz w:val="24"/>
        </w:rPr>
        <w:t>密度为</w:t>
      </w:r>
      <w:r>
        <w:rPr>
          <w:rFonts w:hint="eastAsia"/>
          <w:sz w:val="24"/>
        </w:rPr>
        <w:t>198.5</w:t>
      </w:r>
      <w:r>
        <w:rPr>
          <w:sz w:val="24"/>
        </w:rPr>
        <w:t>ind./L，占浮游动物</w:t>
      </w:r>
      <w:r>
        <w:rPr>
          <w:rFonts w:hint="eastAsia"/>
          <w:sz w:val="24"/>
        </w:rPr>
        <w:t>总平均密度</w:t>
      </w:r>
      <w:r>
        <w:rPr>
          <w:sz w:val="24"/>
        </w:rPr>
        <w:t>的</w:t>
      </w:r>
      <w:r>
        <w:rPr>
          <w:rFonts w:hint="eastAsia"/>
          <w:sz w:val="24"/>
        </w:rPr>
        <w:t>92.77</w:t>
      </w:r>
      <w:r>
        <w:rPr>
          <w:sz w:val="24"/>
        </w:rPr>
        <w:t>%；轮虫密度为</w:t>
      </w:r>
      <w:r>
        <w:rPr>
          <w:rFonts w:hint="eastAsia"/>
          <w:sz w:val="24"/>
        </w:rPr>
        <w:t>15.00</w:t>
      </w:r>
      <w:r>
        <w:rPr>
          <w:sz w:val="24"/>
        </w:rPr>
        <w:t>ind./L，占</w:t>
      </w:r>
      <w:r>
        <w:rPr>
          <w:rFonts w:hint="eastAsia"/>
          <w:sz w:val="24"/>
        </w:rPr>
        <w:t>7.01</w:t>
      </w:r>
      <w:r>
        <w:rPr>
          <w:sz w:val="24"/>
        </w:rPr>
        <w:t>%；枝角类</w:t>
      </w:r>
      <w:r>
        <w:rPr>
          <w:rFonts w:hint="eastAsia"/>
          <w:sz w:val="24"/>
        </w:rPr>
        <w:t>为0.13</w:t>
      </w:r>
      <w:r>
        <w:rPr>
          <w:sz w:val="24"/>
        </w:rPr>
        <w:t xml:space="preserve"> ind./L</w:t>
      </w:r>
      <w:r>
        <w:rPr>
          <w:rFonts w:hint="eastAsia"/>
          <w:sz w:val="24"/>
        </w:rPr>
        <w:t>，</w:t>
      </w:r>
      <w:r>
        <w:rPr>
          <w:sz w:val="24"/>
        </w:rPr>
        <w:t>占</w:t>
      </w:r>
      <w:r>
        <w:rPr>
          <w:rFonts w:hint="eastAsia"/>
          <w:sz w:val="24"/>
        </w:rPr>
        <w:t>0.06</w:t>
      </w:r>
      <w:r>
        <w:rPr>
          <w:sz w:val="24"/>
        </w:rPr>
        <w:t>%；桡足类为</w:t>
      </w:r>
      <w:r>
        <w:rPr>
          <w:rFonts w:hint="eastAsia"/>
          <w:sz w:val="24"/>
        </w:rPr>
        <w:t>0.335</w:t>
      </w:r>
      <w:r>
        <w:rPr>
          <w:sz w:val="24"/>
        </w:rPr>
        <w:t>ind./L，占0</w:t>
      </w:r>
      <w:r>
        <w:rPr>
          <w:rFonts w:hint="eastAsia"/>
          <w:sz w:val="24"/>
        </w:rPr>
        <w:t>.0.16</w:t>
      </w:r>
      <w:r>
        <w:rPr>
          <w:sz w:val="24"/>
        </w:rPr>
        <w:t>%。</w:t>
      </w:r>
      <w:r>
        <w:rPr>
          <w:rFonts w:hint="eastAsia"/>
          <w:sz w:val="24"/>
        </w:rPr>
        <w:t>评价江段4月浮游动物平均密度为255.81ind./L，7月为172.12ind./L，7月浮游动物密度高于4月。</w:t>
      </w:r>
    </w:p>
    <w:p>
      <w:pPr>
        <w:jc w:val="center"/>
        <w:rPr>
          <w:rFonts w:asciiTheme="minorEastAsia" w:hAnsiTheme="minorEastAsia" w:eastAsiaTheme="minorEastAsia"/>
          <w:b/>
          <w:szCs w:val="21"/>
        </w:rPr>
      </w:pPr>
      <w:r>
        <w:rPr>
          <w:rFonts w:hint="eastAsia" w:asciiTheme="minorEastAsia" w:hAnsiTheme="minorEastAsia" w:eastAsiaTheme="minorEastAsia"/>
          <w:b/>
          <w:szCs w:val="21"/>
        </w:rPr>
        <w:t xml:space="preserve">表3.6-12调查江段浮游动物的密度  单位：ind./L </w:t>
      </w:r>
    </w:p>
    <w:tbl>
      <w:tblPr>
        <w:tblStyle w:val="104"/>
        <w:tblW w:w="833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28"/>
        <w:gridCol w:w="829"/>
        <w:gridCol w:w="1116"/>
        <w:gridCol w:w="1141"/>
        <w:gridCol w:w="1141"/>
        <w:gridCol w:w="1141"/>
        <w:gridCol w:w="124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blHeader/>
          <w:jc w:val="center"/>
        </w:trPr>
        <w:tc>
          <w:tcPr>
            <w:tcW w:w="2557" w:type="dxa"/>
            <w:gridSpan w:val="2"/>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种类</w:t>
            </w:r>
          </w:p>
        </w:tc>
        <w:tc>
          <w:tcPr>
            <w:tcW w:w="1116" w:type="dxa"/>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原生动物</w:t>
            </w:r>
          </w:p>
        </w:tc>
        <w:tc>
          <w:tcPr>
            <w:tcW w:w="1141" w:type="dxa"/>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轮虫</w:t>
            </w:r>
          </w:p>
        </w:tc>
        <w:tc>
          <w:tcPr>
            <w:tcW w:w="1141" w:type="dxa"/>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枝角类</w:t>
            </w:r>
          </w:p>
        </w:tc>
        <w:tc>
          <w:tcPr>
            <w:tcW w:w="1141" w:type="dxa"/>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桡足类</w:t>
            </w:r>
          </w:p>
        </w:tc>
        <w:tc>
          <w:tcPr>
            <w:tcW w:w="1241" w:type="dxa"/>
            <w:tcBorders>
              <w:bottom w:val="single" w:color="auto" w:sz="12" w:space="0"/>
            </w:tcBorders>
            <w:shd w:val="clear" w:color="auto" w:fill="auto"/>
            <w:vAlign w:val="center"/>
          </w:tcPr>
          <w:p>
            <w:pPr>
              <w:widowControl/>
              <w:jc w:val="center"/>
              <w:rPr>
                <w:rFonts w:ascii="黑体" w:eastAsia="黑体"/>
                <w:kern w:val="0"/>
                <w:szCs w:val="21"/>
              </w:rPr>
            </w:pPr>
            <w:r>
              <w:rPr>
                <w:rFonts w:hint="eastAsia" w:ascii="黑体" w:eastAsia="黑体"/>
                <w:kern w:val="0"/>
                <w:szCs w:val="21"/>
              </w:rPr>
              <w:t>合 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728" w:type="dxa"/>
            <w:vMerge w:val="restart"/>
            <w:tcBorders>
              <w:top w:val="single" w:color="auto" w:sz="12" w:space="0"/>
            </w:tcBorders>
            <w:shd w:val="clear" w:color="auto" w:fill="auto"/>
            <w:vAlign w:val="center"/>
          </w:tcPr>
          <w:p>
            <w:pPr>
              <w:widowControl/>
              <w:jc w:val="center"/>
              <w:rPr>
                <w:rFonts w:eastAsia="楷体_GB2312"/>
                <w:kern w:val="0"/>
                <w:szCs w:val="21"/>
              </w:rPr>
            </w:pPr>
            <w:r>
              <w:rPr>
                <w:rFonts w:hint="eastAsia" w:eastAsia="楷体_GB2312"/>
                <w:kern w:val="0"/>
                <w:szCs w:val="21"/>
              </w:rPr>
              <w:t>枝江</w:t>
            </w:r>
          </w:p>
        </w:tc>
        <w:tc>
          <w:tcPr>
            <w:tcW w:w="829" w:type="dxa"/>
            <w:tcBorders>
              <w:top w:val="single" w:color="auto" w:sz="12" w:space="0"/>
            </w:tcBorders>
            <w:shd w:val="clear" w:color="auto" w:fill="auto"/>
            <w:vAlign w:val="center"/>
          </w:tcPr>
          <w:p>
            <w:pPr>
              <w:widowControl/>
              <w:jc w:val="center"/>
              <w:rPr>
                <w:rFonts w:eastAsia="楷体_GB2312"/>
                <w:kern w:val="0"/>
                <w:szCs w:val="21"/>
              </w:rPr>
            </w:pPr>
            <w:r>
              <w:rPr>
                <w:rFonts w:hint="eastAsia" w:eastAsia="楷体_GB2312"/>
                <w:kern w:val="0"/>
                <w:szCs w:val="21"/>
              </w:rPr>
              <w:t>4月</w:t>
            </w:r>
          </w:p>
        </w:tc>
        <w:tc>
          <w:tcPr>
            <w:tcW w:w="1116" w:type="dxa"/>
            <w:tcBorders>
              <w:top w:val="single" w:color="auto" w:sz="12" w:space="0"/>
            </w:tcBorders>
            <w:shd w:val="clear" w:color="auto" w:fill="auto"/>
            <w:vAlign w:val="center"/>
          </w:tcPr>
          <w:p>
            <w:pPr>
              <w:widowControl/>
              <w:jc w:val="center"/>
              <w:rPr>
                <w:rFonts w:eastAsia="楷体_GB2312"/>
                <w:kern w:val="0"/>
                <w:szCs w:val="21"/>
              </w:rPr>
            </w:pPr>
            <w:r>
              <w:rPr>
                <w:rFonts w:hint="eastAsia" w:eastAsia="楷体_GB2312"/>
                <w:kern w:val="0"/>
                <w:szCs w:val="21"/>
              </w:rPr>
              <w:t>225</w:t>
            </w:r>
          </w:p>
        </w:tc>
        <w:tc>
          <w:tcPr>
            <w:tcW w:w="1141" w:type="dxa"/>
            <w:tcBorders>
              <w:top w:val="single" w:color="auto" w:sz="12" w:space="0"/>
            </w:tcBorders>
            <w:shd w:val="clear" w:color="auto" w:fill="auto"/>
            <w:vAlign w:val="center"/>
          </w:tcPr>
          <w:p>
            <w:pPr>
              <w:widowControl/>
              <w:jc w:val="center"/>
              <w:rPr>
                <w:rFonts w:eastAsia="楷体_GB2312"/>
                <w:kern w:val="0"/>
                <w:szCs w:val="21"/>
              </w:rPr>
            </w:pPr>
            <w:r>
              <w:rPr>
                <w:rFonts w:eastAsia="楷体_GB2312"/>
                <w:kern w:val="0"/>
                <w:szCs w:val="21"/>
              </w:rPr>
              <w:t>30</w:t>
            </w:r>
          </w:p>
        </w:tc>
        <w:tc>
          <w:tcPr>
            <w:tcW w:w="1141" w:type="dxa"/>
            <w:tcBorders>
              <w:top w:val="single" w:color="auto" w:sz="12" w:space="0"/>
            </w:tcBorders>
            <w:shd w:val="clear" w:color="auto" w:fill="auto"/>
            <w:vAlign w:val="center"/>
          </w:tcPr>
          <w:p>
            <w:pPr>
              <w:widowControl/>
              <w:jc w:val="center"/>
              <w:rPr>
                <w:rFonts w:eastAsia="楷体_GB2312"/>
                <w:kern w:val="0"/>
                <w:szCs w:val="21"/>
              </w:rPr>
            </w:pPr>
            <w:r>
              <w:rPr>
                <w:rFonts w:eastAsia="楷体_GB2312"/>
                <w:kern w:val="0"/>
                <w:szCs w:val="21"/>
              </w:rPr>
              <w:t>0.23</w:t>
            </w:r>
          </w:p>
        </w:tc>
        <w:tc>
          <w:tcPr>
            <w:tcW w:w="1141" w:type="dxa"/>
            <w:tcBorders>
              <w:top w:val="single" w:color="auto" w:sz="12" w:space="0"/>
            </w:tcBorders>
            <w:shd w:val="clear" w:color="auto" w:fill="auto"/>
            <w:vAlign w:val="center"/>
          </w:tcPr>
          <w:p>
            <w:pPr>
              <w:widowControl/>
              <w:jc w:val="center"/>
              <w:rPr>
                <w:rFonts w:eastAsia="楷体_GB2312"/>
                <w:kern w:val="0"/>
                <w:szCs w:val="21"/>
              </w:rPr>
            </w:pPr>
            <w:r>
              <w:rPr>
                <w:rFonts w:hint="eastAsia" w:eastAsia="楷体_GB2312"/>
                <w:kern w:val="0"/>
                <w:szCs w:val="21"/>
              </w:rPr>
              <w:t>0.58</w:t>
            </w:r>
          </w:p>
        </w:tc>
        <w:tc>
          <w:tcPr>
            <w:tcW w:w="1241" w:type="dxa"/>
            <w:tcBorders>
              <w:top w:val="single" w:color="auto" w:sz="12" w:space="0"/>
            </w:tcBorders>
            <w:shd w:val="clear" w:color="auto" w:fill="auto"/>
            <w:vAlign w:val="center"/>
          </w:tcPr>
          <w:p>
            <w:pPr>
              <w:widowControl/>
              <w:jc w:val="center"/>
              <w:rPr>
                <w:rFonts w:eastAsia="楷体_GB2312"/>
                <w:kern w:val="0"/>
                <w:szCs w:val="21"/>
              </w:rPr>
            </w:pPr>
            <w:r>
              <w:rPr>
                <w:rFonts w:hint="eastAsia" w:eastAsia="楷体_GB2312"/>
                <w:kern w:val="0"/>
                <w:szCs w:val="21"/>
              </w:rPr>
              <w:t>255.81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728" w:type="dxa"/>
            <w:vMerge w:val="continue"/>
            <w:vAlign w:val="center"/>
          </w:tcPr>
          <w:p>
            <w:pPr>
              <w:widowControl/>
              <w:jc w:val="center"/>
              <w:rPr>
                <w:rFonts w:eastAsia="楷体_GB2312"/>
                <w:kern w:val="0"/>
                <w:szCs w:val="21"/>
              </w:rPr>
            </w:pPr>
          </w:p>
        </w:tc>
        <w:tc>
          <w:tcPr>
            <w:tcW w:w="829" w:type="dxa"/>
            <w:shd w:val="clear" w:color="auto" w:fill="auto"/>
            <w:vAlign w:val="center"/>
          </w:tcPr>
          <w:p>
            <w:pPr>
              <w:widowControl/>
              <w:ind w:firstLine="105" w:firstLineChars="50"/>
              <w:jc w:val="center"/>
              <w:rPr>
                <w:rFonts w:eastAsia="楷体_GB2312"/>
                <w:kern w:val="0"/>
                <w:szCs w:val="21"/>
              </w:rPr>
            </w:pPr>
            <w:r>
              <w:rPr>
                <w:rFonts w:hint="eastAsia" w:eastAsia="楷体_GB2312"/>
                <w:kern w:val="0"/>
                <w:szCs w:val="21"/>
              </w:rPr>
              <w:t>7月</w:t>
            </w:r>
          </w:p>
        </w:tc>
        <w:tc>
          <w:tcPr>
            <w:tcW w:w="1116" w:type="dxa"/>
            <w:shd w:val="clear" w:color="auto" w:fill="auto"/>
            <w:vAlign w:val="center"/>
          </w:tcPr>
          <w:p>
            <w:pPr>
              <w:widowControl/>
              <w:ind w:firstLine="315" w:firstLineChars="150"/>
              <w:jc w:val="center"/>
              <w:rPr>
                <w:rFonts w:eastAsia="楷体_GB2312"/>
                <w:kern w:val="0"/>
                <w:szCs w:val="21"/>
              </w:rPr>
            </w:pPr>
            <w:r>
              <w:rPr>
                <w:rFonts w:hint="eastAsia" w:eastAsia="楷体_GB2312"/>
                <w:kern w:val="0"/>
                <w:szCs w:val="21"/>
              </w:rPr>
              <w:t>172</w:t>
            </w:r>
          </w:p>
        </w:tc>
        <w:tc>
          <w:tcPr>
            <w:tcW w:w="1141" w:type="dxa"/>
            <w:shd w:val="clear" w:color="auto" w:fill="auto"/>
            <w:vAlign w:val="center"/>
          </w:tcPr>
          <w:p>
            <w:pPr>
              <w:widowControl/>
              <w:ind w:firstLine="315" w:firstLineChars="150"/>
              <w:jc w:val="center"/>
              <w:rPr>
                <w:rFonts w:eastAsia="楷体_GB2312"/>
                <w:kern w:val="0"/>
                <w:szCs w:val="21"/>
              </w:rPr>
            </w:pPr>
            <w:r>
              <w:rPr>
                <w:rFonts w:eastAsia="楷体_GB2312"/>
                <w:kern w:val="0"/>
                <w:szCs w:val="21"/>
              </w:rPr>
              <w:t>0</w:t>
            </w:r>
          </w:p>
        </w:tc>
        <w:tc>
          <w:tcPr>
            <w:tcW w:w="1141"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0.03</w:t>
            </w:r>
          </w:p>
        </w:tc>
        <w:tc>
          <w:tcPr>
            <w:tcW w:w="1141" w:type="dxa"/>
            <w:shd w:val="clear" w:color="auto" w:fill="auto"/>
            <w:vAlign w:val="center"/>
          </w:tcPr>
          <w:p>
            <w:pPr>
              <w:widowControl/>
              <w:ind w:firstLine="210" w:firstLineChars="100"/>
              <w:jc w:val="center"/>
              <w:rPr>
                <w:rFonts w:eastAsia="楷体_GB2312"/>
                <w:kern w:val="0"/>
                <w:szCs w:val="21"/>
              </w:rPr>
            </w:pPr>
            <w:r>
              <w:rPr>
                <w:rFonts w:hint="eastAsia" w:eastAsia="楷体_GB2312"/>
                <w:kern w:val="0"/>
                <w:szCs w:val="21"/>
              </w:rPr>
              <w:t>0.09</w:t>
            </w:r>
          </w:p>
        </w:tc>
        <w:tc>
          <w:tcPr>
            <w:tcW w:w="1241" w:type="dxa"/>
            <w:shd w:val="clear" w:color="auto" w:fill="auto"/>
            <w:vAlign w:val="center"/>
          </w:tcPr>
          <w:p>
            <w:pPr>
              <w:widowControl/>
              <w:ind w:firstLine="210" w:firstLineChars="100"/>
              <w:jc w:val="center"/>
              <w:rPr>
                <w:rFonts w:eastAsia="楷体_GB2312"/>
                <w:kern w:val="0"/>
                <w:szCs w:val="21"/>
              </w:rPr>
            </w:pPr>
            <w:r>
              <w:rPr>
                <w:rFonts w:hint="eastAsia" w:eastAsia="楷体_GB2312"/>
                <w:kern w:val="0"/>
                <w:szCs w:val="21"/>
              </w:rPr>
              <w:t>172.12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jc w:val="center"/>
        </w:trPr>
        <w:tc>
          <w:tcPr>
            <w:tcW w:w="1728" w:type="dxa"/>
            <w:vMerge w:val="continue"/>
            <w:vAlign w:val="center"/>
          </w:tcPr>
          <w:p>
            <w:pPr>
              <w:widowControl/>
              <w:jc w:val="center"/>
              <w:rPr>
                <w:rFonts w:eastAsia="楷体_GB2312"/>
                <w:kern w:val="0"/>
                <w:szCs w:val="21"/>
              </w:rPr>
            </w:pPr>
          </w:p>
        </w:tc>
        <w:tc>
          <w:tcPr>
            <w:tcW w:w="829" w:type="dxa"/>
            <w:shd w:val="clear" w:color="auto" w:fill="auto"/>
            <w:vAlign w:val="center"/>
          </w:tcPr>
          <w:p>
            <w:pPr>
              <w:widowControl/>
              <w:ind w:firstLine="105" w:firstLineChars="50"/>
              <w:jc w:val="center"/>
              <w:rPr>
                <w:rFonts w:eastAsia="楷体_GB2312"/>
                <w:kern w:val="0"/>
                <w:szCs w:val="21"/>
              </w:rPr>
            </w:pPr>
            <w:r>
              <w:rPr>
                <w:rFonts w:hint="eastAsia" w:eastAsia="楷体_GB2312"/>
                <w:kern w:val="0"/>
                <w:szCs w:val="21"/>
              </w:rPr>
              <w:t>平均</w:t>
            </w:r>
          </w:p>
        </w:tc>
        <w:tc>
          <w:tcPr>
            <w:tcW w:w="1116" w:type="dxa"/>
            <w:shd w:val="clear" w:color="auto" w:fill="auto"/>
            <w:vAlign w:val="center"/>
          </w:tcPr>
          <w:p>
            <w:pPr>
              <w:widowControl/>
              <w:ind w:firstLine="315" w:firstLineChars="150"/>
              <w:jc w:val="center"/>
              <w:rPr>
                <w:rFonts w:eastAsia="楷体_GB2312"/>
                <w:kern w:val="0"/>
                <w:szCs w:val="21"/>
              </w:rPr>
            </w:pPr>
            <w:r>
              <w:rPr>
                <w:rFonts w:hint="eastAsia" w:eastAsia="楷体_GB2312"/>
                <w:kern w:val="0"/>
                <w:szCs w:val="21"/>
              </w:rPr>
              <w:t>198.5</w:t>
            </w:r>
          </w:p>
        </w:tc>
        <w:tc>
          <w:tcPr>
            <w:tcW w:w="1141" w:type="dxa"/>
            <w:shd w:val="clear" w:color="auto" w:fill="auto"/>
            <w:vAlign w:val="center"/>
          </w:tcPr>
          <w:p>
            <w:pPr>
              <w:widowControl/>
              <w:ind w:firstLine="315" w:firstLineChars="150"/>
              <w:jc w:val="center"/>
              <w:rPr>
                <w:rFonts w:eastAsia="楷体_GB2312"/>
                <w:kern w:val="0"/>
                <w:szCs w:val="21"/>
              </w:rPr>
            </w:pPr>
            <w:r>
              <w:rPr>
                <w:rFonts w:hint="eastAsia" w:eastAsia="楷体_GB2312"/>
                <w:kern w:val="0"/>
                <w:szCs w:val="21"/>
              </w:rPr>
              <w:t>15</w:t>
            </w:r>
          </w:p>
        </w:tc>
        <w:tc>
          <w:tcPr>
            <w:tcW w:w="1141" w:type="dxa"/>
            <w:shd w:val="clear" w:color="auto" w:fill="auto"/>
            <w:vAlign w:val="center"/>
          </w:tcPr>
          <w:p>
            <w:pPr>
              <w:widowControl/>
              <w:ind w:firstLine="210" w:firstLineChars="100"/>
              <w:jc w:val="center"/>
              <w:rPr>
                <w:rFonts w:eastAsia="楷体_GB2312"/>
                <w:kern w:val="0"/>
                <w:szCs w:val="21"/>
              </w:rPr>
            </w:pPr>
            <w:r>
              <w:rPr>
                <w:rFonts w:hint="eastAsia" w:eastAsia="楷体_GB2312"/>
                <w:kern w:val="0"/>
                <w:szCs w:val="21"/>
              </w:rPr>
              <w:t>0.13</w:t>
            </w:r>
          </w:p>
        </w:tc>
        <w:tc>
          <w:tcPr>
            <w:tcW w:w="1141" w:type="dxa"/>
            <w:shd w:val="clear" w:color="auto" w:fill="auto"/>
            <w:vAlign w:val="center"/>
          </w:tcPr>
          <w:p>
            <w:pPr>
              <w:widowControl/>
              <w:ind w:firstLine="210" w:firstLineChars="100"/>
              <w:jc w:val="center"/>
              <w:rPr>
                <w:rFonts w:eastAsia="楷体_GB2312"/>
                <w:kern w:val="0"/>
                <w:szCs w:val="21"/>
              </w:rPr>
            </w:pPr>
            <w:r>
              <w:rPr>
                <w:rFonts w:hint="eastAsia" w:eastAsia="楷体_GB2312"/>
                <w:kern w:val="0"/>
                <w:szCs w:val="21"/>
              </w:rPr>
              <w:t>0.335</w:t>
            </w:r>
          </w:p>
        </w:tc>
        <w:tc>
          <w:tcPr>
            <w:tcW w:w="1241" w:type="dxa"/>
            <w:shd w:val="clear" w:color="auto" w:fill="auto"/>
            <w:vAlign w:val="center"/>
          </w:tcPr>
          <w:p>
            <w:pPr>
              <w:widowControl/>
              <w:ind w:firstLine="210" w:firstLineChars="100"/>
              <w:jc w:val="center"/>
              <w:rPr>
                <w:rFonts w:eastAsia="楷体_GB2312"/>
                <w:kern w:val="0"/>
                <w:szCs w:val="21"/>
              </w:rPr>
            </w:pPr>
            <w:r>
              <w:rPr>
                <w:rFonts w:hint="eastAsia" w:eastAsia="楷体_GB2312"/>
                <w:kern w:val="0"/>
                <w:szCs w:val="21"/>
              </w:rPr>
              <w:t>213.97</w:t>
            </w:r>
          </w:p>
        </w:tc>
      </w:tr>
    </w:tbl>
    <w:p>
      <w:pPr>
        <w:pStyle w:val="16"/>
        <w:tabs>
          <w:tab w:val="left" w:pos="540"/>
        </w:tabs>
        <w:spacing w:after="0" w:line="360" w:lineRule="auto"/>
        <w:ind w:firstLine="480" w:firstLineChars="200"/>
        <w:rPr>
          <w:sz w:val="24"/>
        </w:rPr>
      </w:pPr>
      <w:r>
        <w:rPr>
          <w:rFonts w:ascii="宋体" w:hAnsi="宋体"/>
          <w:kern w:val="0"/>
          <w:sz w:val="24"/>
        </w:rPr>
        <w:fldChar w:fldCharType="begin"/>
      </w:r>
      <w:r>
        <w:rPr>
          <w:rFonts w:ascii="宋体" w:hAnsi="宋体"/>
          <w:kern w:val="0"/>
          <w:sz w:val="24"/>
        </w:rPr>
        <w:instrText xml:space="preserve"> </w:instrText>
      </w:r>
      <w:r>
        <w:rPr>
          <w:rFonts w:hint="eastAsia" w:ascii="宋体" w:hAnsi="宋体"/>
          <w:kern w:val="0"/>
          <w:sz w:val="24"/>
        </w:rPr>
        <w:instrText xml:space="preserve">eq \o\ac(○,</w:instrText>
      </w:r>
      <w:r>
        <w:rPr>
          <w:rFonts w:hint="eastAsia" w:ascii="宋体" w:hAnsi="宋体"/>
          <w:kern w:val="0"/>
          <w:position w:val="2"/>
          <w:sz w:val="24"/>
        </w:rPr>
        <w:instrText xml:space="preserve">2</w:instrText>
      </w:r>
      <w:r>
        <w:rPr>
          <w:rFonts w:hint="eastAsia" w:ascii="宋体" w:hAnsi="宋体"/>
          <w:kern w:val="0"/>
          <w:sz w:val="24"/>
        </w:rPr>
        <w:instrText xml:space="preserve">)</w:instrText>
      </w:r>
      <w:r>
        <w:rPr>
          <w:rFonts w:ascii="宋体" w:hAnsi="宋体"/>
          <w:kern w:val="0"/>
          <w:sz w:val="24"/>
        </w:rPr>
        <w:fldChar w:fldCharType="end"/>
      </w:r>
      <w:r>
        <w:rPr>
          <w:rFonts w:ascii="宋体" w:hAnsi="宋体"/>
          <w:kern w:val="0"/>
          <w:sz w:val="24"/>
        </w:rPr>
        <w:t>浮游动物的</w:t>
      </w:r>
      <w:r>
        <w:rPr>
          <w:rFonts w:hint="eastAsia"/>
          <w:sz w:val="24"/>
        </w:rPr>
        <w:t>生物量</w:t>
      </w:r>
    </w:p>
    <w:p>
      <w:pPr>
        <w:pStyle w:val="16"/>
        <w:tabs>
          <w:tab w:val="left" w:pos="540"/>
        </w:tabs>
        <w:spacing w:after="0" w:line="360" w:lineRule="auto"/>
        <w:ind w:firstLine="480" w:firstLineChars="200"/>
        <w:rPr>
          <w:sz w:val="24"/>
        </w:rPr>
      </w:pPr>
      <w:r>
        <w:rPr>
          <w:rFonts w:hint="eastAsia"/>
          <w:sz w:val="24"/>
        </w:rPr>
        <w:t>评价江段</w:t>
      </w:r>
      <w:r>
        <w:rPr>
          <w:sz w:val="24"/>
        </w:rPr>
        <w:t>各监测</w:t>
      </w:r>
      <w:r>
        <w:rPr>
          <w:rFonts w:hint="eastAsia"/>
          <w:sz w:val="24"/>
        </w:rPr>
        <w:t>断面</w:t>
      </w:r>
      <w:r>
        <w:rPr>
          <w:sz w:val="24"/>
        </w:rPr>
        <w:t>浮游动物的生物量见表</w:t>
      </w:r>
      <w:r>
        <w:rPr>
          <w:rFonts w:hint="eastAsia"/>
          <w:sz w:val="24"/>
        </w:rPr>
        <w:t>3.6-13</w:t>
      </w:r>
      <w:r>
        <w:rPr>
          <w:sz w:val="24"/>
        </w:rPr>
        <w:t>。</w:t>
      </w:r>
      <w:r>
        <w:rPr>
          <w:rFonts w:hint="eastAsia"/>
          <w:sz w:val="24"/>
        </w:rPr>
        <w:t>评价江段</w:t>
      </w:r>
      <w:r>
        <w:rPr>
          <w:sz w:val="24"/>
        </w:rPr>
        <w:t>浮游动物平</w:t>
      </w:r>
      <w:r>
        <w:rPr>
          <w:rFonts w:hint="eastAsia"/>
          <w:sz w:val="24"/>
        </w:rPr>
        <w:t>均</w:t>
      </w:r>
      <w:r>
        <w:rPr>
          <w:sz w:val="24"/>
        </w:rPr>
        <w:t>生物量为</w:t>
      </w:r>
      <w:r>
        <w:rPr>
          <w:rFonts w:hint="eastAsia"/>
          <w:sz w:val="24"/>
        </w:rPr>
        <w:t>0.0369</w:t>
      </w:r>
      <w:r>
        <w:rPr>
          <w:sz w:val="24"/>
        </w:rPr>
        <w:t>mg/L。其中</w:t>
      </w:r>
      <w:r>
        <w:rPr>
          <w:rFonts w:hint="eastAsia"/>
          <w:sz w:val="24"/>
        </w:rPr>
        <w:t>轮虫生物量最高为0.018mg/L、占总平均生物量的48.78%</w:t>
      </w:r>
      <w:r>
        <w:rPr>
          <w:sz w:val="24"/>
        </w:rPr>
        <w:t>，</w:t>
      </w:r>
      <w:r>
        <w:rPr>
          <w:rFonts w:hint="eastAsia"/>
          <w:sz w:val="24"/>
        </w:rPr>
        <w:t>依次为</w:t>
      </w:r>
      <w:r>
        <w:rPr>
          <w:sz w:val="24"/>
        </w:rPr>
        <w:t>原生动物</w:t>
      </w:r>
      <w:r>
        <w:rPr>
          <w:rFonts w:hint="eastAsia"/>
          <w:sz w:val="24"/>
        </w:rPr>
        <w:t>0.0099</w:t>
      </w:r>
      <w:r>
        <w:rPr>
          <w:sz w:val="24"/>
        </w:rPr>
        <w:t>mg/L，占</w:t>
      </w:r>
      <w:r>
        <w:rPr>
          <w:rFonts w:hint="eastAsia"/>
          <w:sz w:val="24"/>
        </w:rPr>
        <w:t>26.834</w:t>
      </w:r>
      <w:r>
        <w:rPr>
          <w:sz w:val="24"/>
        </w:rPr>
        <w:t>%；桡足类</w:t>
      </w:r>
      <w:r>
        <w:rPr>
          <w:rFonts w:hint="eastAsia"/>
          <w:sz w:val="24"/>
        </w:rPr>
        <w:t>0.0064</w:t>
      </w:r>
      <w:r>
        <w:rPr>
          <w:sz w:val="24"/>
        </w:rPr>
        <w:t>mg/L，占</w:t>
      </w:r>
      <w:r>
        <w:rPr>
          <w:rFonts w:hint="eastAsia"/>
          <w:sz w:val="24"/>
        </w:rPr>
        <w:t>17.34</w:t>
      </w:r>
      <w:r>
        <w:rPr>
          <w:sz w:val="24"/>
        </w:rPr>
        <w:t>%</w:t>
      </w:r>
      <w:r>
        <w:rPr>
          <w:rFonts w:hint="eastAsia"/>
          <w:sz w:val="24"/>
        </w:rPr>
        <w:t>；</w:t>
      </w:r>
      <w:r>
        <w:rPr>
          <w:sz w:val="24"/>
        </w:rPr>
        <w:t>枝角类0.0</w:t>
      </w:r>
      <w:r>
        <w:rPr>
          <w:rFonts w:hint="eastAsia"/>
          <w:sz w:val="24"/>
        </w:rPr>
        <w:t>026</w:t>
      </w:r>
      <w:r>
        <w:rPr>
          <w:sz w:val="24"/>
        </w:rPr>
        <w:t>mg/L，占</w:t>
      </w:r>
      <w:r>
        <w:rPr>
          <w:rFonts w:hint="eastAsia"/>
          <w:sz w:val="24"/>
        </w:rPr>
        <w:t>7.05</w:t>
      </w:r>
      <w:r>
        <w:rPr>
          <w:sz w:val="24"/>
        </w:rPr>
        <w:t>%。</w:t>
      </w:r>
    </w:p>
    <w:p>
      <w:pPr>
        <w:jc w:val="center"/>
        <w:rPr>
          <w:rFonts w:asciiTheme="minorEastAsia" w:hAnsiTheme="minorEastAsia" w:eastAsiaTheme="minorEastAsia"/>
          <w:b/>
          <w:szCs w:val="21"/>
        </w:rPr>
      </w:pPr>
      <w:r>
        <w:rPr>
          <w:rFonts w:hint="eastAsia" w:asciiTheme="minorEastAsia" w:hAnsiTheme="minorEastAsia" w:eastAsiaTheme="minorEastAsia"/>
          <w:b/>
          <w:szCs w:val="21"/>
        </w:rPr>
        <w:t>表3.6-13  调查江段浮游动物的生物量  单位：mg/L</w:t>
      </w:r>
    </w:p>
    <w:tbl>
      <w:tblPr>
        <w:tblStyle w:val="104"/>
        <w:tblW w:w="8936"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1614"/>
        <w:gridCol w:w="754"/>
        <w:gridCol w:w="1501"/>
        <w:gridCol w:w="1315"/>
        <w:gridCol w:w="1314"/>
        <w:gridCol w:w="1126"/>
        <w:gridCol w:w="131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300" w:hRule="atLeast"/>
          <w:tblHeader/>
        </w:trPr>
        <w:tc>
          <w:tcPr>
            <w:tcW w:w="2368" w:type="dxa"/>
            <w:gridSpan w:val="2"/>
            <w:tcBorders>
              <w:bottom w:val="single" w:color="auto" w:sz="12" w:space="0"/>
            </w:tcBorders>
            <w:shd w:val="clear" w:color="auto" w:fill="auto"/>
            <w:vAlign w:val="center"/>
          </w:tcPr>
          <w:p>
            <w:pPr>
              <w:widowControl/>
              <w:jc w:val="center"/>
              <w:rPr>
                <w:rFonts w:ascii="黑体" w:eastAsia="黑体"/>
                <w:kern w:val="0"/>
                <w:szCs w:val="21"/>
              </w:rPr>
            </w:pPr>
            <w:r>
              <w:rPr>
                <w:rFonts w:ascii="黑体" w:eastAsia="黑体"/>
                <w:kern w:val="0"/>
                <w:szCs w:val="21"/>
              </w:rPr>
              <w:t>种类</w:t>
            </w:r>
          </w:p>
        </w:tc>
        <w:tc>
          <w:tcPr>
            <w:tcW w:w="1501" w:type="dxa"/>
            <w:tcBorders>
              <w:bottom w:val="single" w:color="auto" w:sz="12" w:space="0"/>
            </w:tcBorders>
            <w:shd w:val="clear" w:color="auto" w:fill="auto"/>
            <w:vAlign w:val="center"/>
          </w:tcPr>
          <w:p>
            <w:pPr>
              <w:widowControl/>
              <w:ind w:firstLine="210" w:firstLineChars="100"/>
              <w:rPr>
                <w:rFonts w:ascii="黑体" w:eastAsia="黑体"/>
                <w:kern w:val="0"/>
                <w:szCs w:val="21"/>
              </w:rPr>
            </w:pPr>
            <w:r>
              <w:rPr>
                <w:rFonts w:ascii="黑体" w:eastAsia="黑体"/>
                <w:kern w:val="0"/>
                <w:szCs w:val="21"/>
              </w:rPr>
              <w:t>原生动物</w:t>
            </w:r>
          </w:p>
        </w:tc>
        <w:tc>
          <w:tcPr>
            <w:tcW w:w="1315" w:type="dxa"/>
            <w:tcBorders>
              <w:bottom w:val="single" w:color="auto" w:sz="12" w:space="0"/>
            </w:tcBorders>
            <w:shd w:val="clear" w:color="auto" w:fill="auto"/>
            <w:vAlign w:val="center"/>
          </w:tcPr>
          <w:p>
            <w:pPr>
              <w:widowControl/>
              <w:ind w:firstLine="210" w:firstLineChars="100"/>
              <w:rPr>
                <w:rFonts w:ascii="黑体" w:eastAsia="黑体"/>
                <w:kern w:val="0"/>
                <w:szCs w:val="21"/>
              </w:rPr>
            </w:pPr>
            <w:r>
              <w:rPr>
                <w:rFonts w:ascii="黑体" w:eastAsia="黑体"/>
                <w:kern w:val="0"/>
                <w:szCs w:val="21"/>
              </w:rPr>
              <w:t>轮虫</w:t>
            </w:r>
          </w:p>
        </w:tc>
        <w:tc>
          <w:tcPr>
            <w:tcW w:w="1314" w:type="dxa"/>
            <w:tcBorders>
              <w:bottom w:val="single" w:color="auto" w:sz="12" w:space="0"/>
            </w:tcBorders>
            <w:shd w:val="clear" w:color="auto" w:fill="auto"/>
            <w:vAlign w:val="center"/>
          </w:tcPr>
          <w:p>
            <w:pPr>
              <w:widowControl/>
              <w:ind w:firstLine="210" w:firstLineChars="100"/>
              <w:rPr>
                <w:rFonts w:ascii="黑体" w:eastAsia="黑体"/>
                <w:kern w:val="0"/>
                <w:szCs w:val="21"/>
              </w:rPr>
            </w:pPr>
            <w:r>
              <w:rPr>
                <w:rFonts w:ascii="黑体" w:eastAsia="黑体"/>
                <w:kern w:val="0"/>
                <w:szCs w:val="21"/>
              </w:rPr>
              <w:t>枝角类</w:t>
            </w:r>
          </w:p>
        </w:tc>
        <w:tc>
          <w:tcPr>
            <w:tcW w:w="1126" w:type="dxa"/>
            <w:tcBorders>
              <w:bottom w:val="single" w:color="auto" w:sz="12" w:space="0"/>
            </w:tcBorders>
            <w:shd w:val="clear" w:color="auto" w:fill="auto"/>
            <w:vAlign w:val="center"/>
          </w:tcPr>
          <w:p>
            <w:pPr>
              <w:widowControl/>
              <w:rPr>
                <w:rFonts w:ascii="黑体" w:eastAsia="黑体"/>
                <w:kern w:val="0"/>
                <w:szCs w:val="21"/>
              </w:rPr>
            </w:pPr>
            <w:r>
              <w:rPr>
                <w:rFonts w:ascii="黑体" w:eastAsia="黑体"/>
                <w:kern w:val="0"/>
                <w:szCs w:val="21"/>
              </w:rPr>
              <w:t>桡足类</w:t>
            </w:r>
          </w:p>
        </w:tc>
        <w:tc>
          <w:tcPr>
            <w:tcW w:w="1312" w:type="dxa"/>
            <w:tcBorders>
              <w:bottom w:val="single" w:color="auto" w:sz="12" w:space="0"/>
            </w:tcBorders>
            <w:shd w:val="clear" w:color="auto" w:fill="auto"/>
            <w:vAlign w:val="center"/>
          </w:tcPr>
          <w:p>
            <w:pPr>
              <w:widowControl/>
              <w:ind w:firstLine="210" w:firstLineChars="100"/>
              <w:rPr>
                <w:rFonts w:ascii="黑体" w:eastAsia="黑体"/>
                <w:kern w:val="0"/>
                <w:szCs w:val="21"/>
              </w:rPr>
            </w:pPr>
            <w:r>
              <w:rPr>
                <w:rFonts w:ascii="黑体" w:eastAsia="黑体"/>
                <w:kern w:val="0"/>
                <w:szCs w:val="21"/>
              </w:rPr>
              <w:t>合计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300" w:hRule="atLeast"/>
        </w:trPr>
        <w:tc>
          <w:tcPr>
            <w:tcW w:w="1614" w:type="dxa"/>
            <w:vMerge w:val="restart"/>
            <w:tcBorders>
              <w:top w:val="single" w:color="auto" w:sz="12" w:space="0"/>
            </w:tcBorders>
            <w:shd w:val="clear" w:color="auto" w:fill="auto"/>
            <w:vAlign w:val="center"/>
          </w:tcPr>
          <w:p>
            <w:pPr>
              <w:widowControl/>
              <w:jc w:val="center"/>
              <w:rPr>
                <w:rFonts w:eastAsia="楷体_GB2312"/>
                <w:kern w:val="0"/>
                <w:szCs w:val="21"/>
              </w:rPr>
            </w:pPr>
            <w:r>
              <w:rPr>
                <w:rFonts w:eastAsia="楷体_GB2312"/>
                <w:kern w:val="0"/>
                <w:szCs w:val="21"/>
              </w:rPr>
              <w:t>枝江</w:t>
            </w:r>
          </w:p>
        </w:tc>
        <w:tc>
          <w:tcPr>
            <w:tcW w:w="754" w:type="dxa"/>
            <w:tcBorders>
              <w:top w:val="single" w:color="auto" w:sz="12" w:space="0"/>
            </w:tcBorders>
            <w:shd w:val="clear" w:color="auto" w:fill="auto"/>
            <w:vAlign w:val="center"/>
          </w:tcPr>
          <w:p>
            <w:pPr>
              <w:widowControl/>
              <w:ind w:firstLine="105" w:firstLineChars="50"/>
              <w:jc w:val="center"/>
              <w:rPr>
                <w:rFonts w:eastAsia="楷体_GB2312"/>
                <w:kern w:val="0"/>
                <w:szCs w:val="21"/>
              </w:rPr>
            </w:pPr>
            <w:r>
              <w:rPr>
                <w:rFonts w:eastAsia="楷体_GB2312"/>
                <w:kern w:val="0"/>
                <w:szCs w:val="21"/>
              </w:rPr>
              <w:t>4月</w:t>
            </w:r>
          </w:p>
        </w:tc>
        <w:tc>
          <w:tcPr>
            <w:tcW w:w="1501" w:type="dxa"/>
            <w:tcBorders>
              <w:top w:val="single" w:color="auto" w:sz="12" w:space="0"/>
            </w:tcBorders>
            <w:shd w:val="clear" w:color="auto" w:fill="auto"/>
            <w:vAlign w:val="center"/>
          </w:tcPr>
          <w:p>
            <w:pPr>
              <w:widowControl/>
              <w:ind w:firstLine="315" w:firstLineChars="150"/>
              <w:jc w:val="center"/>
              <w:rPr>
                <w:rFonts w:eastAsia="楷体_GB2312"/>
                <w:kern w:val="0"/>
                <w:szCs w:val="21"/>
              </w:rPr>
            </w:pPr>
            <w:r>
              <w:rPr>
                <w:rFonts w:eastAsia="楷体_GB2312"/>
                <w:kern w:val="0"/>
                <w:szCs w:val="21"/>
              </w:rPr>
              <w:t xml:space="preserve">0.0113 </w:t>
            </w:r>
          </w:p>
        </w:tc>
        <w:tc>
          <w:tcPr>
            <w:tcW w:w="1315" w:type="dxa"/>
            <w:tcBorders>
              <w:top w:val="single" w:color="auto" w:sz="12" w:space="0"/>
            </w:tcBorders>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0.0360 </w:t>
            </w:r>
          </w:p>
        </w:tc>
        <w:tc>
          <w:tcPr>
            <w:tcW w:w="1314" w:type="dxa"/>
            <w:tcBorders>
              <w:top w:val="single" w:color="auto" w:sz="12" w:space="0"/>
            </w:tcBorders>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0.0046 </w:t>
            </w:r>
          </w:p>
        </w:tc>
        <w:tc>
          <w:tcPr>
            <w:tcW w:w="1126" w:type="dxa"/>
            <w:tcBorders>
              <w:top w:val="single" w:color="auto" w:sz="12" w:space="0"/>
            </w:tcBorders>
            <w:shd w:val="clear" w:color="auto" w:fill="auto"/>
            <w:vAlign w:val="center"/>
          </w:tcPr>
          <w:p>
            <w:pPr>
              <w:widowControl/>
              <w:jc w:val="center"/>
              <w:rPr>
                <w:rFonts w:eastAsia="楷体_GB2312"/>
                <w:kern w:val="0"/>
                <w:szCs w:val="21"/>
              </w:rPr>
            </w:pPr>
            <w:r>
              <w:rPr>
                <w:rFonts w:eastAsia="楷体_GB2312"/>
                <w:kern w:val="0"/>
                <w:szCs w:val="21"/>
              </w:rPr>
              <w:t xml:space="preserve">0.0110 </w:t>
            </w:r>
          </w:p>
        </w:tc>
        <w:tc>
          <w:tcPr>
            <w:tcW w:w="1312" w:type="dxa"/>
            <w:tcBorders>
              <w:top w:val="single" w:color="auto" w:sz="12" w:space="0"/>
            </w:tcBorders>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0.0629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300" w:hRule="atLeast"/>
        </w:trPr>
        <w:tc>
          <w:tcPr>
            <w:tcW w:w="1614" w:type="dxa"/>
            <w:vMerge w:val="continue"/>
            <w:vAlign w:val="center"/>
          </w:tcPr>
          <w:p>
            <w:pPr>
              <w:widowControl/>
              <w:jc w:val="center"/>
              <w:rPr>
                <w:rFonts w:eastAsia="楷体_GB2312"/>
                <w:kern w:val="0"/>
                <w:szCs w:val="21"/>
              </w:rPr>
            </w:pPr>
          </w:p>
        </w:tc>
        <w:tc>
          <w:tcPr>
            <w:tcW w:w="754" w:type="dxa"/>
            <w:shd w:val="clear" w:color="auto" w:fill="auto"/>
            <w:vAlign w:val="center"/>
          </w:tcPr>
          <w:p>
            <w:pPr>
              <w:widowControl/>
              <w:ind w:firstLine="105" w:firstLineChars="50"/>
              <w:jc w:val="center"/>
              <w:rPr>
                <w:rFonts w:eastAsia="楷体_GB2312"/>
                <w:kern w:val="0"/>
                <w:szCs w:val="21"/>
              </w:rPr>
            </w:pPr>
            <w:r>
              <w:rPr>
                <w:rFonts w:eastAsia="楷体_GB2312"/>
                <w:kern w:val="0"/>
                <w:szCs w:val="21"/>
              </w:rPr>
              <w:t>7月</w:t>
            </w:r>
          </w:p>
        </w:tc>
        <w:tc>
          <w:tcPr>
            <w:tcW w:w="1501" w:type="dxa"/>
            <w:shd w:val="clear" w:color="auto" w:fill="auto"/>
            <w:vAlign w:val="center"/>
          </w:tcPr>
          <w:p>
            <w:pPr>
              <w:widowControl/>
              <w:ind w:firstLine="315" w:firstLineChars="150"/>
              <w:jc w:val="center"/>
              <w:rPr>
                <w:rFonts w:eastAsia="楷体_GB2312"/>
                <w:kern w:val="0"/>
                <w:szCs w:val="21"/>
              </w:rPr>
            </w:pPr>
            <w:r>
              <w:rPr>
                <w:rFonts w:eastAsia="楷体_GB2312"/>
                <w:kern w:val="0"/>
                <w:szCs w:val="21"/>
              </w:rPr>
              <w:t xml:space="preserve">0.0086 </w:t>
            </w:r>
          </w:p>
        </w:tc>
        <w:tc>
          <w:tcPr>
            <w:tcW w:w="1315"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0.0000 </w:t>
            </w:r>
          </w:p>
        </w:tc>
        <w:tc>
          <w:tcPr>
            <w:tcW w:w="1314"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0.0006 </w:t>
            </w:r>
          </w:p>
        </w:tc>
        <w:tc>
          <w:tcPr>
            <w:tcW w:w="1126" w:type="dxa"/>
            <w:shd w:val="clear" w:color="auto" w:fill="auto"/>
            <w:vAlign w:val="center"/>
          </w:tcPr>
          <w:p>
            <w:pPr>
              <w:widowControl/>
              <w:jc w:val="center"/>
              <w:rPr>
                <w:rFonts w:eastAsia="楷体_GB2312"/>
                <w:kern w:val="0"/>
                <w:szCs w:val="21"/>
              </w:rPr>
            </w:pPr>
            <w:r>
              <w:rPr>
                <w:rFonts w:eastAsia="楷体_GB2312"/>
                <w:kern w:val="0"/>
                <w:szCs w:val="21"/>
              </w:rPr>
              <w:t xml:space="preserve">0.0017 </w:t>
            </w:r>
          </w:p>
        </w:tc>
        <w:tc>
          <w:tcPr>
            <w:tcW w:w="1312"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0.0109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300" w:hRule="atLeast"/>
        </w:trPr>
        <w:tc>
          <w:tcPr>
            <w:tcW w:w="1614" w:type="dxa"/>
            <w:vMerge w:val="continue"/>
            <w:vAlign w:val="center"/>
          </w:tcPr>
          <w:p>
            <w:pPr>
              <w:widowControl/>
              <w:jc w:val="center"/>
              <w:rPr>
                <w:rFonts w:eastAsia="楷体_GB2312"/>
                <w:kern w:val="0"/>
                <w:szCs w:val="21"/>
              </w:rPr>
            </w:pPr>
          </w:p>
        </w:tc>
        <w:tc>
          <w:tcPr>
            <w:tcW w:w="754" w:type="dxa"/>
            <w:shd w:val="clear" w:color="auto" w:fill="auto"/>
            <w:vAlign w:val="center"/>
          </w:tcPr>
          <w:p>
            <w:pPr>
              <w:widowControl/>
              <w:ind w:firstLine="105" w:firstLineChars="50"/>
              <w:jc w:val="center"/>
              <w:rPr>
                <w:rFonts w:eastAsia="楷体_GB2312"/>
                <w:kern w:val="0"/>
                <w:szCs w:val="21"/>
              </w:rPr>
            </w:pPr>
            <w:r>
              <w:rPr>
                <w:rFonts w:eastAsia="楷体_GB2312"/>
                <w:kern w:val="0"/>
                <w:szCs w:val="21"/>
              </w:rPr>
              <w:t>平均</w:t>
            </w:r>
          </w:p>
        </w:tc>
        <w:tc>
          <w:tcPr>
            <w:tcW w:w="1501" w:type="dxa"/>
            <w:shd w:val="clear" w:color="auto" w:fill="auto"/>
            <w:vAlign w:val="center"/>
          </w:tcPr>
          <w:p>
            <w:pPr>
              <w:widowControl/>
              <w:ind w:firstLine="315" w:firstLineChars="150"/>
              <w:jc w:val="center"/>
              <w:rPr>
                <w:rFonts w:eastAsia="楷体_GB2312"/>
                <w:kern w:val="0"/>
                <w:szCs w:val="21"/>
              </w:rPr>
            </w:pPr>
            <w:r>
              <w:rPr>
                <w:rFonts w:eastAsia="楷体_GB2312"/>
                <w:kern w:val="0"/>
                <w:szCs w:val="21"/>
              </w:rPr>
              <w:t xml:space="preserve">0.0099 </w:t>
            </w:r>
          </w:p>
        </w:tc>
        <w:tc>
          <w:tcPr>
            <w:tcW w:w="1315"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0.0180 </w:t>
            </w:r>
          </w:p>
        </w:tc>
        <w:tc>
          <w:tcPr>
            <w:tcW w:w="1314"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0.0026 </w:t>
            </w:r>
          </w:p>
        </w:tc>
        <w:tc>
          <w:tcPr>
            <w:tcW w:w="1126" w:type="dxa"/>
            <w:shd w:val="clear" w:color="auto" w:fill="auto"/>
            <w:vAlign w:val="center"/>
          </w:tcPr>
          <w:p>
            <w:pPr>
              <w:widowControl/>
              <w:jc w:val="center"/>
              <w:rPr>
                <w:rFonts w:eastAsia="楷体_GB2312"/>
                <w:kern w:val="0"/>
                <w:szCs w:val="21"/>
              </w:rPr>
            </w:pPr>
            <w:r>
              <w:rPr>
                <w:rFonts w:eastAsia="楷体_GB2312"/>
                <w:kern w:val="0"/>
                <w:szCs w:val="21"/>
              </w:rPr>
              <w:t xml:space="preserve">0.0064 </w:t>
            </w:r>
          </w:p>
        </w:tc>
        <w:tc>
          <w:tcPr>
            <w:tcW w:w="1312" w:type="dxa"/>
            <w:shd w:val="clear" w:color="auto" w:fill="auto"/>
            <w:vAlign w:val="center"/>
          </w:tcPr>
          <w:p>
            <w:pPr>
              <w:widowControl/>
              <w:ind w:firstLine="210" w:firstLineChars="100"/>
              <w:jc w:val="center"/>
              <w:rPr>
                <w:rFonts w:eastAsia="楷体_GB2312"/>
                <w:kern w:val="0"/>
                <w:szCs w:val="21"/>
              </w:rPr>
            </w:pPr>
            <w:r>
              <w:rPr>
                <w:rFonts w:eastAsia="楷体_GB2312"/>
                <w:kern w:val="0"/>
                <w:szCs w:val="21"/>
              </w:rPr>
              <w:t xml:space="preserve">0.0369 </w:t>
            </w:r>
          </w:p>
        </w:tc>
      </w:tr>
    </w:tbl>
    <w:p>
      <w:pPr>
        <w:spacing w:line="360" w:lineRule="auto"/>
        <w:ind w:firstLine="480" w:firstLineChars="200"/>
        <w:rPr>
          <w:rFonts w:ascii="宋体" w:hAnsi="宋体"/>
          <w:sz w:val="24"/>
        </w:rPr>
      </w:pPr>
      <w:r>
        <w:rPr>
          <w:rFonts w:ascii="宋体" w:hAnsi="宋体"/>
          <w:sz w:val="24"/>
        </w:rPr>
        <w:fldChar w:fldCharType="begin"/>
      </w:r>
      <w:r>
        <w:rPr>
          <w:rFonts w:ascii="宋体" w:hAnsi="宋体"/>
          <w:sz w:val="24"/>
        </w:rPr>
        <w:instrText xml:space="preserve"> </w:instrText>
      </w:r>
      <w:r>
        <w:rPr>
          <w:rFonts w:hint="eastAsia" w:ascii="宋体" w:hAnsi="宋体"/>
          <w:sz w:val="24"/>
        </w:rPr>
        <w:instrText xml:space="preserve">eq \o\ac(○,</w:instrText>
      </w:r>
      <w:r>
        <w:rPr>
          <w:rFonts w:hint="eastAsia" w:ascii="宋体" w:hAnsi="宋体"/>
          <w:position w:val="2"/>
          <w:sz w:val="24"/>
        </w:rPr>
        <w:instrText xml:space="preserve">3</w:instrText>
      </w:r>
      <w:r>
        <w:rPr>
          <w:rFonts w:hint="eastAsia" w:ascii="宋体" w:hAnsi="宋体"/>
          <w:sz w:val="24"/>
        </w:rPr>
        <w:instrText xml:space="preserve">)</w:instrText>
      </w:r>
      <w:r>
        <w:rPr>
          <w:rFonts w:ascii="宋体" w:hAnsi="宋体"/>
          <w:sz w:val="24"/>
        </w:rPr>
        <w:fldChar w:fldCharType="end"/>
      </w:r>
      <w:r>
        <w:rPr>
          <w:rFonts w:ascii="宋体" w:hAnsi="宋体"/>
          <w:sz w:val="24"/>
        </w:rPr>
        <w:t>浮游动物多样性及分析</w:t>
      </w:r>
    </w:p>
    <w:p>
      <w:pPr>
        <w:spacing w:line="360" w:lineRule="auto"/>
        <w:ind w:firstLine="480" w:firstLineChars="200"/>
        <w:rPr>
          <w:rFonts w:ascii="宋体" w:hAnsi="宋体"/>
        </w:rPr>
      </w:pPr>
      <w:r>
        <w:rPr>
          <w:rFonts w:ascii="宋体" w:hAnsi="宋体"/>
          <w:sz w:val="24"/>
        </w:rPr>
        <w:t>浮游动物多样性采用Shannon-Weiner指数法计算，结果见表</w:t>
      </w:r>
      <w:r>
        <w:rPr>
          <w:rFonts w:hint="eastAsia"/>
          <w:sz w:val="24"/>
        </w:rPr>
        <w:t>3.6-14</w:t>
      </w:r>
      <w:r>
        <w:rPr>
          <w:rFonts w:ascii="宋体" w:hAnsi="宋体"/>
          <w:sz w:val="24"/>
        </w:rPr>
        <w:t>。生物多样性指数主要反映生态系统中生物的丰富度和均匀度。由表可见，</w:t>
      </w:r>
      <w:r>
        <w:rPr>
          <w:rFonts w:hint="eastAsia" w:ascii="宋体" w:hAnsi="宋体"/>
          <w:sz w:val="24"/>
        </w:rPr>
        <w:t>4月、7月</w:t>
      </w:r>
      <w:r>
        <w:rPr>
          <w:rFonts w:ascii="宋体" w:hAnsi="宋体"/>
          <w:sz w:val="24"/>
        </w:rPr>
        <w:t>评价江段浮游动物多样性指数</w:t>
      </w:r>
      <w:r>
        <w:rPr>
          <w:rFonts w:hint="eastAsia" w:ascii="宋体" w:hAnsi="宋体"/>
          <w:sz w:val="24"/>
        </w:rPr>
        <w:t>分别为1.21、0.58，属于</w:t>
      </w:r>
      <w:r>
        <w:rPr>
          <w:rFonts w:ascii="宋体" w:hAnsi="宋体"/>
          <w:sz w:val="24"/>
        </w:rPr>
        <w:t>较低</w:t>
      </w:r>
      <w:r>
        <w:rPr>
          <w:rFonts w:hint="eastAsia" w:ascii="宋体" w:hAnsi="宋体"/>
          <w:sz w:val="24"/>
        </w:rPr>
        <w:t>水平</w:t>
      </w:r>
      <w:r>
        <w:rPr>
          <w:rFonts w:ascii="宋体" w:hAnsi="宋体"/>
          <w:kern w:val="0"/>
        </w:rPr>
        <w:t>。</w:t>
      </w:r>
    </w:p>
    <w:p>
      <w:pPr>
        <w:jc w:val="center"/>
        <w:rPr>
          <w:rFonts w:asciiTheme="minorEastAsia" w:hAnsiTheme="minorEastAsia" w:eastAsiaTheme="minorEastAsia"/>
          <w:b/>
          <w:szCs w:val="21"/>
        </w:rPr>
      </w:pPr>
      <w:r>
        <w:rPr>
          <w:rFonts w:hint="eastAsia" w:asciiTheme="minorEastAsia" w:hAnsiTheme="minorEastAsia" w:eastAsiaTheme="minorEastAsia"/>
          <w:b/>
          <w:szCs w:val="21"/>
        </w:rPr>
        <w:t>表3.6-14评价枝江江段各断面浮游动物Shannon-Weiner多样性指数</w:t>
      </w:r>
    </w:p>
    <w:tbl>
      <w:tblPr>
        <w:tblStyle w:val="104"/>
        <w:tblW w:w="7603" w:type="dxa"/>
        <w:jc w:val="center"/>
        <w:tblInd w:w="-28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35"/>
        <w:gridCol w:w="1546"/>
        <w:gridCol w:w="3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 w:hRule="atLeast"/>
          <w:jc w:val="center"/>
        </w:trPr>
        <w:tc>
          <w:tcPr>
            <w:tcW w:w="4381" w:type="dxa"/>
            <w:gridSpan w:val="2"/>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项目</w:t>
            </w:r>
          </w:p>
        </w:tc>
        <w:tc>
          <w:tcPr>
            <w:tcW w:w="3222"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枝江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 w:hRule="atLeast"/>
          <w:jc w:val="center"/>
        </w:trPr>
        <w:tc>
          <w:tcPr>
            <w:tcW w:w="2835" w:type="dxa"/>
            <w:vMerge w:val="restart"/>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4月</w:t>
            </w:r>
          </w:p>
        </w:tc>
        <w:tc>
          <w:tcPr>
            <w:tcW w:w="1546"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多样性指数</w:t>
            </w:r>
          </w:p>
        </w:tc>
        <w:tc>
          <w:tcPr>
            <w:tcW w:w="3222"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 w:hRule="atLeast"/>
          <w:jc w:val="center"/>
        </w:trPr>
        <w:tc>
          <w:tcPr>
            <w:tcW w:w="2835" w:type="dxa"/>
            <w:vMerge w:val="continue"/>
            <w:vAlign w:val="center"/>
          </w:tcPr>
          <w:p>
            <w:pPr>
              <w:widowControl/>
              <w:jc w:val="center"/>
              <w:rPr>
                <w:rFonts w:asciiTheme="minorEastAsia" w:hAnsiTheme="minorEastAsia" w:eastAsiaTheme="minorEastAsia"/>
                <w:kern w:val="0"/>
                <w:szCs w:val="21"/>
              </w:rPr>
            </w:pPr>
          </w:p>
        </w:tc>
        <w:tc>
          <w:tcPr>
            <w:tcW w:w="1546"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定量数</w:t>
            </w:r>
          </w:p>
        </w:tc>
        <w:tc>
          <w:tcPr>
            <w:tcW w:w="3222"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 w:hRule="atLeast"/>
          <w:jc w:val="center"/>
        </w:trPr>
        <w:tc>
          <w:tcPr>
            <w:tcW w:w="2835" w:type="dxa"/>
            <w:vMerge w:val="restart"/>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7月</w:t>
            </w:r>
          </w:p>
        </w:tc>
        <w:tc>
          <w:tcPr>
            <w:tcW w:w="1546"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多样性指数</w:t>
            </w:r>
          </w:p>
        </w:tc>
        <w:tc>
          <w:tcPr>
            <w:tcW w:w="3222"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 w:hRule="atLeast"/>
          <w:jc w:val="center"/>
        </w:trPr>
        <w:tc>
          <w:tcPr>
            <w:tcW w:w="2835" w:type="dxa"/>
            <w:vMerge w:val="continue"/>
            <w:vAlign w:val="center"/>
          </w:tcPr>
          <w:p>
            <w:pPr>
              <w:widowControl/>
              <w:jc w:val="center"/>
              <w:rPr>
                <w:rFonts w:asciiTheme="minorEastAsia" w:hAnsiTheme="minorEastAsia" w:eastAsiaTheme="minorEastAsia"/>
                <w:kern w:val="0"/>
                <w:szCs w:val="21"/>
              </w:rPr>
            </w:pPr>
          </w:p>
        </w:tc>
        <w:tc>
          <w:tcPr>
            <w:tcW w:w="1546"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定量数</w:t>
            </w:r>
          </w:p>
        </w:tc>
        <w:tc>
          <w:tcPr>
            <w:tcW w:w="3222" w:type="dxa"/>
            <w:shd w:val="clear" w:color="auto" w:fill="auto"/>
            <w:vAlign w:val="center"/>
          </w:tcPr>
          <w:p>
            <w:pPr>
              <w:widowControl/>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6</w:t>
            </w:r>
          </w:p>
        </w:tc>
      </w:tr>
    </w:tbl>
    <w:p>
      <w:pPr>
        <w:pStyle w:val="6"/>
        <w:tabs>
          <w:tab w:val="left" w:pos="-489"/>
          <w:tab w:val="left" w:pos="851"/>
          <w:tab w:val="clear" w:pos="1044"/>
        </w:tabs>
        <w:spacing w:beforeLines="0" w:afterLines="0"/>
        <w:ind w:left="0" w:firstLine="0"/>
        <w:rPr>
          <w:snapToGrid w:val="0"/>
        </w:rPr>
      </w:pPr>
      <w:bookmarkStart w:id="146" w:name="_Toc325405290"/>
      <w:r>
        <w:rPr>
          <w:rFonts w:hint="eastAsia"/>
          <w:snapToGrid w:val="0"/>
        </w:rPr>
        <w:t>底栖动物现状</w:t>
      </w:r>
      <w:bookmarkEnd w:id="146"/>
    </w:p>
    <w:p>
      <w:pPr>
        <w:spacing w:line="360" w:lineRule="auto"/>
        <w:ind w:firstLine="480" w:firstLineChars="200"/>
        <w:rPr>
          <w:rFonts w:ascii="宋体" w:hAnsi="宋体"/>
          <w:sz w:val="24"/>
        </w:rPr>
      </w:pPr>
      <w:r>
        <w:rPr>
          <w:rFonts w:hint="eastAsia" w:ascii="宋体" w:hAnsi="宋体"/>
          <w:sz w:val="24"/>
        </w:rPr>
        <w:t>（1）</w:t>
      </w:r>
      <w:r>
        <w:rPr>
          <w:rFonts w:hint="eastAsia"/>
          <w:sz w:val="24"/>
        </w:rPr>
        <w:t>底栖动物</w:t>
      </w:r>
      <w:r>
        <w:rPr>
          <w:rFonts w:hint="eastAsia" w:ascii="宋体" w:hAnsi="宋体"/>
          <w:sz w:val="24"/>
        </w:rPr>
        <w:t>种类组成</w:t>
      </w:r>
    </w:p>
    <w:p>
      <w:pPr>
        <w:spacing w:line="360" w:lineRule="auto"/>
        <w:ind w:firstLine="480" w:firstLineChars="200"/>
        <w:rPr>
          <w:sz w:val="24"/>
        </w:rPr>
      </w:pPr>
      <w:r>
        <w:rPr>
          <w:sz w:val="24"/>
        </w:rPr>
        <w:t>底栖动物26种，其中环节动物2种，占7.69%；软体动物10种，占38.46%；节肢动物14种，占53.85%</w:t>
      </w:r>
      <w:r>
        <w:rPr>
          <w:rFonts w:hAnsi="宋体"/>
          <w:kern w:val="0"/>
          <w:sz w:val="24"/>
        </w:rPr>
        <w:t>。</w:t>
      </w:r>
      <w:r>
        <w:rPr>
          <w:sz w:val="24"/>
        </w:rPr>
        <w:t>优势种有湖沼股蛤、河蚬、前突摇蚊、长臂虾、小长臂虾、沼虾等。</w:t>
      </w:r>
    </w:p>
    <w:p>
      <w:pPr>
        <w:spacing w:line="360" w:lineRule="auto"/>
        <w:ind w:firstLine="480" w:firstLineChars="200"/>
        <w:rPr>
          <w:sz w:val="24"/>
        </w:rPr>
      </w:pPr>
      <w:r>
        <w:rPr>
          <w:sz w:val="24"/>
        </w:rPr>
        <w:t>底栖动物大多分布于沿岸边滩及水流相对缓慢的回水湾，主航道水流湍急</w:t>
      </w:r>
      <w:r>
        <w:rPr>
          <w:rFonts w:hint="eastAsia"/>
          <w:sz w:val="24"/>
        </w:rPr>
        <w:t>，底栖动物较少。评价区各断面水文情势基本相似，底栖动物种类结构基本相同，种类水平分布差异不大，枯水期较丰水期种类稍丰富。</w:t>
      </w:r>
    </w:p>
    <w:p>
      <w:pPr>
        <w:spacing w:line="360" w:lineRule="auto"/>
        <w:ind w:firstLine="480" w:firstLineChars="200"/>
        <w:rPr>
          <w:sz w:val="24"/>
        </w:rPr>
      </w:pPr>
      <w:r>
        <w:rPr>
          <w:rFonts w:hint="eastAsia"/>
          <w:sz w:val="24"/>
        </w:rPr>
        <w:t>长江底栖动物主要分布于沿岸边滩及水流相对缓慢的浅水湾、支汊等水域，主航道因水流湍急，底栖动物分布较少。</w:t>
      </w:r>
    </w:p>
    <w:p>
      <w:pPr>
        <w:spacing w:line="360" w:lineRule="auto"/>
        <w:ind w:firstLine="480" w:firstLineChars="200"/>
        <w:rPr>
          <w:sz w:val="24"/>
        </w:rPr>
      </w:pPr>
      <w:r>
        <w:rPr>
          <w:rFonts w:hint="eastAsia"/>
          <w:sz w:val="24"/>
        </w:rPr>
        <w:t>（2）</w:t>
      </w:r>
      <w:r>
        <w:rPr>
          <w:sz w:val="24"/>
        </w:rPr>
        <w:t>底栖动物现存量</w:t>
      </w:r>
    </w:p>
    <w:p>
      <w:pPr>
        <w:spacing w:line="360" w:lineRule="auto"/>
        <w:ind w:firstLine="480" w:firstLineChars="200"/>
        <w:rPr>
          <w:kern w:val="0"/>
          <w:sz w:val="24"/>
        </w:rPr>
      </w:pPr>
      <w:r>
        <w:rPr>
          <w:sz w:val="24"/>
        </w:rPr>
        <w:t>评价区底栖动物现存量见表</w:t>
      </w:r>
      <w:r>
        <w:rPr>
          <w:rFonts w:hint="eastAsia"/>
          <w:sz w:val="24"/>
        </w:rPr>
        <w:t>3.6-15</w:t>
      </w:r>
      <w:r>
        <w:rPr>
          <w:sz w:val="24"/>
        </w:rPr>
        <w:t>。评价区底栖动物密度为1</w:t>
      </w:r>
      <w:r>
        <w:rPr>
          <w:rFonts w:hint="eastAsia"/>
          <w:sz w:val="24"/>
        </w:rPr>
        <w:t>0</w:t>
      </w:r>
      <w:r>
        <w:rPr>
          <w:sz w:val="24"/>
        </w:rPr>
        <w:t>ind./m</w:t>
      </w:r>
      <w:r>
        <w:rPr>
          <w:sz w:val="24"/>
          <w:vertAlign w:val="superscript"/>
        </w:rPr>
        <w:t>2</w:t>
      </w:r>
      <w:r>
        <w:rPr>
          <w:sz w:val="24"/>
        </w:rPr>
        <w:t>，组成以</w:t>
      </w:r>
      <w:r>
        <w:rPr>
          <w:rFonts w:hAnsi="宋体"/>
          <w:kern w:val="0"/>
          <w:sz w:val="24"/>
        </w:rPr>
        <w:t>节肢动物为主，其次为软体动物，环节动物最少；</w:t>
      </w:r>
      <w:r>
        <w:rPr>
          <w:sz w:val="24"/>
        </w:rPr>
        <w:t>生物量为</w:t>
      </w:r>
      <w:r>
        <w:rPr>
          <w:rFonts w:hint="eastAsia"/>
          <w:sz w:val="24"/>
        </w:rPr>
        <w:t>3.24</w:t>
      </w:r>
      <w:r>
        <w:rPr>
          <w:sz w:val="24"/>
        </w:rPr>
        <w:t>g/m</w:t>
      </w:r>
      <w:r>
        <w:rPr>
          <w:sz w:val="24"/>
          <w:vertAlign w:val="superscript"/>
        </w:rPr>
        <w:t>2</w:t>
      </w:r>
      <w:r>
        <w:rPr>
          <w:sz w:val="24"/>
        </w:rPr>
        <w:t>，</w:t>
      </w:r>
      <w:r>
        <w:rPr>
          <w:rFonts w:hAnsi="宋体"/>
          <w:kern w:val="0"/>
          <w:sz w:val="24"/>
        </w:rPr>
        <w:t>组成以软体动物为主，其次为节肢动物、环节动物最少。</w:t>
      </w:r>
    </w:p>
    <w:p>
      <w:pPr>
        <w:pStyle w:val="4"/>
        <w:ind w:firstLine="422"/>
        <w:jc w:val="center"/>
        <w:rPr>
          <w:b/>
        </w:rPr>
      </w:pPr>
      <w:r>
        <w:rPr>
          <w:rFonts w:hint="eastAsia"/>
          <w:b/>
        </w:rPr>
        <w:t>表3.6-15底栖动物现存量</w:t>
      </w:r>
    </w:p>
    <w:tbl>
      <w:tblPr>
        <w:tblStyle w:val="104"/>
        <w:tblW w:w="9048"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57"/>
        <w:gridCol w:w="859"/>
        <w:gridCol w:w="936"/>
        <w:gridCol w:w="936"/>
        <w:gridCol w:w="936"/>
        <w:gridCol w:w="859"/>
        <w:gridCol w:w="936"/>
        <w:gridCol w:w="936"/>
        <w:gridCol w:w="936"/>
        <w:gridCol w:w="857"/>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15" w:hRule="atLeast"/>
        </w:trPr>
        <w:tc>
          <w:tcPr>
            <w:tcW w:w="1716" w:type="dxa"/>
            <w:gridSpan w:val="2"/>
            <w:vMerge w:val="restart"/>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调查断面</w:t>
            </w:r>
          </w:p>
        </w:tc>
        <w:tc>
          <w:tcPr>
            <w:tcW w:w="3667" w:type="dxa"/>
            <w:gridSpan w:val="4"/>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密度</w:t>
            </w:r>
            <w:r>
              <w:rPr>
                <w:rFonts w:hint="eastAsia" w:ascii="黑体" w:eastAsia="黑体"/>
                <w:kern w:val="0"/>
                <w:sz w:val="18"/>
                <w:szCs w:val="18"/>
              </w:rPr>
              <w:t>(ind./m</w:t>
            </w:r>
            <w:r>
              <w:rPr>
                <w:rFonts w:hint="eastAsia" w:ascii="黑体" w:eastAsia="黑体"/>
                <w:kern w:val="0"/>
                <w:sz w:val="18"/>
                <w:szCs w:val="18"/>
                <w:vertAlign w:val="superscript"/>
              </w:rPr>
              <w:t>2</w:t>
            </w:r>
            <w:r>
              <w:rPr>
                <w:rFonts w:hint="eastAsia" w:ascii="黑体" w:eastAsia="黑体"/>
                <w:kern w:val="0"/>
                <w:sz w:val="18"/>
                <w:szCs w:val="18"/>
              </w:rPr>
              <w:t>)</w:t>
            </w:r>
          </w:p>
        </w:tc>
        <w:tc>
          <w:tcPr>
            <w:tcW w:w="3665" w:type="dxa"/>
            <w:gridSpan w:val="4"/>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生物量</w:t>
            </w:r>
            <w:r>
              <w:rPr>
                <w:rFonts w:hint="eastAsia" w:ascii="黑体" w:eastAsia="黑体"/>
                <w:kern w:val="0"/>
                <w:sz w:val="18"/>
                <w:szCs w:val="18"/>
              </w:rPr>
              <w:t>(g/m</w:t>
            </w:r>
            <w:r>
              <w:rPr>
                <w:rFonts w:hint="eastAsia" w:ascii="黑体" w:eastAsia="黑体"/>
                <w:kern w:val="0"/>
                <w:sz w:val="18"/>
                <w:szCs w:val="18"/>
                <w:vertAlign w:val="superscript"/>
              </w:rPr>
              <w:t>2</w:t>
            </w:r>
            <w:r>
              <w:rPr>
                <w:rFonts w:hint="eastAsia" w:ascii="黑体" w:eastAsia="黑体"/>
                <w:kern w:val="0"/>
                <w:sz w:val="18"/>
                <w:szCs w:val="18"/>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15" w:hRule="atLeast"/>
        </w:trPr>
        <w:tc>
          <w:tcPr>
            <w:tcW w:w="1716" w:type="dxa"/>
            <w:gridSpan w:val="2"/>
            <w:vMerge w:val="continue"/>
            <w:tcBorders>
              <w:bottom w:val="single" w:color="auto" w:sz="12" w:space="0"/>
            </w:tcBorders>
            <w:vAlign w:val="center"/>
          </w:tcPr>
          <w:p>
            <w:pPr>
              <w:widowControl/>
              <w:spacing w:line="240" w:lineRule="atLeast"/>
              <w:jc w:val="left"/>
              <w:rPr>
                <w:rFonts w:ascii="黑体" w:hAnsi="宋体" w:eastAsia="黑体" w:cs="宋体"/>
                <w:kern w:val="0"/>
                <w:sz w:val="18"/>
                <w:szCs w:val="18"/>
              </w:rPr>
            </w:pP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环节动物</w:t>
            </w: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软体动物</w:t>
            </w: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节肢动物</w:t>
            </w:r>
          </w:p>
        </w:tc>
        <w:tc>
          <w:tcPr>
            <w:tcW w:w="859" w:type="dxa"/>
            <w:tcBorders>
              <w:bottom w:val="single" w:color="auto" w:sz="12" w:space="0"/>
            </w:tcBorders>
            <w:shd w:val="clear" w:color="auto" w:fill="auto"/>
            <w:vAlign w:val="center"/>
          </w:tcPr>
          <w:p>
            <w:pPr>
              <w:widowControl/>
              <w:spacing w:line="240" w:lineRule="atLeast"/>
              <w:jc w:val="left"/>
              <w:rPr>
                <w:rFonts w:ascii="黑体" w:hAnsi="宋体" w:eastAsia="黑体" w:cs="宋体"/>
                <w:kern w:val="0"/>
                <w:sz w:val="18"/>
                <w:szCs w:val="18"/>
              </w:rPr>
            </w:pPr>
            <w:r>
              <w:rPr>
                <w:rFonts w:hint="eastAsia" w:ascii="黑体" w:hAnsi="宋体" w:eastAsia="黑体" w:cs="宋体"/>
                <w:kern w:val="0"/>
                <w:sz w:val="18"/>
                <w:szCs w:val="18"/>
              </w:rPr>
              <w:t>小计</w:t>
            </w: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环节动物</w:t>
            </w: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软体动物</w:t>
            </w:r>
          </w:p>
        </w:tc>
        <w:tc>
          <w:tcPr>
            <w:tcW w:w="936" w:type="dxa"/>
            <w:tcBorders>
              <w:bottom w:val="single" w:color="auto" w:sz="12" w:space="0"/>
            </w:tcBorders>
            <w:shd w:val="clear" w:color="auto" w:fill="auto"/>
            <w:vAlign w:val="center"/>
          </w:tcPr>
          <w:p>
            <w:pPr>
              <w:widowControl/>
              <w:spacing w:line="240" w:lineRule="atLeast"/>
              <w:jc w:val="center"/>
              <w:rPr>
                <w:rFonts w:ascii="黑体" w:hAnsi="宋体" w:eastAsia="黑体" w:cs="宋体"/>
                <w:kern w:val="0"/>
                <w:sz w:val="18"/>
                <w:szCs w:val="18"/>
              </w:rPr>
            </w:pPr>
            <w:r>
              <w:rPr>
                <w:rFonts w:hint="eastAsia" w:ascii="黑体" w:hAnsi="宋体" w:eastAsia="黑体" w:cs="宋体"/>
                <w:kern w:val="0"/>
                <w:sz w:val="18"/>
                <w:szCs w:val="18"/>
              </w:rPr>
              <w:t>节肢动物</w:t>
            </w:r>
          </w:p>
        </w:tc>
        <w:tc>
          <w:tcPr>
            <w:tcW w:w="857" w:type="dxa"/>
            <w:tcBorders>
              <w:bottom w:val="single" w:color="auto" w:sz="12" w:space="0"/>
            </w:tcBorders>
            <w:shd w:val="clear" w:color="auto" w:fill="auto"/>
            <w:vAlign w:val="center"/>
          </w:tcPr>
          <w:p>
            <w:pPr>
              <w:widowControl/>
              <w:spacing w:line="240" w:lineRule="atLeast"/>
              <w:jc w:val="left"/>
              <w:rPr>
                <w:rFonts w:ascii="黑体" w:hAnsi="宋体" w:eastAsia="黑体" w:cs="宋体"/>
                <w:kern w:val="0"/>
                <w:sz w:val="18"/>
                <w:szCs w:val="18"/>
              </w:rPr>
            </w:pPr>
            <w:r>
              <w:rPr>
                <w:rFonts w:hint="eastAsia" w:ascii="黑体" w:hAnsi="宋体" w:eastAsia="黑体" w:cs="宋体"/>
                <w:kern w:val="0"/>
                <w:sz w:val="18"/>
                <w:szCs w:val="18"/>
              </w:rPr>
              <w:t>小计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15" w:hRule="atLeast"/>
        </w:trPr>
        <w:tc>
          <w:tcPr>
            <w:tcW w:w="857" w:type="dxa"/>
            <w:vMerge w:val="restart"/>
            <w:tcBorders>
              <w:top w:val="single" w:color="auto" w:sz="12" w:space="0"/>
            </w:tcBorders>
            <w:shd w:val="clear" w:color="auto" w:fill="auto"/>
            <w:vAlign w:val="center"/>
          </w:tcPr>
          <w:p>
            <w:pPr>
              <w:widowControl/>
              <w:spacing w:line="240" w:lineRule="atLeast"/>
              <w:jc w:val="center"/>
              <w:rPr>
                <w:rFonts w:eastAsia="楷体_GB2312"/>
                <w:color w:val="000000"/>
                <w:kern w:val="0"/>
                <w:sz w:val="18"/>
                <w:szCs w:val="18"/>
              </w:rPr>
            </w:pPr>
            <w:r>
              <w:rPr>
                <w:rFonts w:eastAsia="楷体_GB2312"/>
                <w:color w:val="000000"/>
                <w:kern w:val="0"/>
                <w:sz w:val="18"/>
                <w:szCs w:val="18"/>
              </w:rPr>
              <w:t>枝江</w:t>
            </w:r>
          </w:p>
        </w:tc>
        <w:tc>
          <w:tcPr>
            <w:tcW w:w="859" w:type="dxa"/>
            <w:tcBorders>
              <w:top w:val="single" w:color="auto" w:sz="12" w:space="0"/>
            </w:tcBorders>
            <w:shd w:val="clear" w:color="auto" w:fill="auto"/>
            <w:vAlign w:val="center"/>
          </w:tcPr>
          <w:p>
            <w:pPr>
              <w:widowControl/>
              <w:spacing w:line="240" w:lineRule="atLeast"/>
              <w:jc w:val="center"/>
              <w:rPr>
                <w:rFonts w:eastAsia="楷体_GB2312"/>
                <w:color w:val="000000"/>
                <w:kern w:val="0"/>
                <w:sz w:val="18"/>
                <w:szCs w:val="18"/>
              </w:rPr>
            </w:pPr>
            <w:r>
              <w:rPr>
                <w:rFonts w:eastAsia="楷体_GB2312"/>
                <w:color w:val="000000"/>
                <w:kern w:val="0"/>
                <w:sz w:val="18"/>
                <w:szCs w:val="18"/>
              </w:rPr>
              <w:t>4月</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0</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5</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16</w:t>
            </w:r>
          </w:p>
        </w:tc>
        <w:tc>
          <w:tcPr>
            <w:tcW w:w="859"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21</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0</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3.43</w:t>
            </w:r>
          </w:p>
        </w:tc>
        <w:tc>
          <w:tcPr>
            <w:tcW w:w="936"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0.8</w:t>
            </w:r>
          </w:p>
        </w:tc>
        <w:tc>
          <w:tcPr>
            <w:tcW w:w="857" w:type="dxa"/>
            <w:tcBorders>
              <w:top w:val="single" w:color="auto" w:sz="12" w:space="0"/>
            </w:tcBorders>
            <w:shd w:val="clear" w:color="auto" w:fill="auto"/>
            <w:vAlign w:val="center"/>
          </w:tcPr>
          <w:p>
            <w:pPr>
              <w:widowControl/>
              <w:spacing w:line="240" w:lineRule="atLeast"/>
              <w:jc w:val="center"/>
              <w:rPr>
                <w:color w:val="000000"/>
                <w:kern w:val="0"/>
                <w:sz w:val="18"/>
                <w:szCs w:val="18"/>
              </w:rPr>
            </w:pPr>
            <w:r>
              <w:rPr>
                <w:color w:val="000000"/>
                <w:kern w:val="0"/>
                <w:sz w:val="18"/>
                <w:szCs w:val="18"/>
              </w:rPr>
              <w:t>4.23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15" w:hRule="atLeast"/>
        </w:trPr>
        <w:tc>
          <w:tcPr>
            <w:tcW w:w="857" w:type="dxa"/>
            <w:vMerge w:val="continue"/>
            <w:tcBorders>
              <w:top w:val="single" w:color="auto" w:sz="12" w:space="0"/>
            </w:tcBorders>
            <w:vAlign w:val="center"/>
          </w:tcPr>
          <w:p>
            <w:pPr>
              <w:widowControl/>
              <w:spacing w:line="240" w:lineRule="atLeast"/>
              <w:jc w:val="left"/>
              <w:rPr>
                <w:rFonts w:eastAsia="楷体_GB2312"/>
                <w:color w:val="000000"/>
                <w:kern w:val="0"/>
                <w:sz w:val="18"/>
                <w:szCs w:val="18"/>
              </w:rPr>
            </w:pPr>
          </w:p>
        </w:tc>
        <w:tc>
          <w:tcPr>
            <w:tcW w:w="859" w:type="dxa"/>
            <w:shd w:val="clear" w:color="auto" w:fill="auto"/>
            <w:vAlign w:val="center"/>
          </w:tcPr>
          <w:p>
            <w:pPr>
              <w:widowControl/>
              <w:spacing w:line="240" w:lineRule="atLeast"/>
              <w:jc w:val="center"/>
              <w:rPr>
                <w:rFonts w:eastAsia="楷体_GB2312"/>
                <w:color w:val="000000"/>
                <w:kern w:val="0"/>
                <w:sz w:val="18"/>
                <w:szCs w:val="18"/>
              </w:rPr>
            </w:pPr>
            <w:r>
              <w:rPr>
                <w:rFonts w:eastAsia="楷体_GB2312"/>
                <w:color w:val="000000"/>
                <w:kern w:val="0"/>
                <w:sz w:val="18"/>
                <w:szCs w:val="18"/>
              </w:rPr>
              <w:t>7月</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0</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3</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4</w:t>
            </w:r>
          </w:p>
        </w:tc>
        <w:tc>
          <w:tcPr>
            <w:tcW w:w="859"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7</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0</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1.25</w:t>
            </w:r>
          </w:p>
        </w:tc>
        <w:tc>
          <w:tcPr>
            <w:tcW w:w="936"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0.99</w:t>
            </w:r>
          </w:p>
        </w:tc>
        <w:tc>
          <w:tcPr>
            <w:tcW w:w="857" w:type="dxa"/>
            <w:shd w:val="clear" w:color="auto" w:fill="auto"/>
            <w:vAlign w:val="center"/>
          </w:tcPr>
          <w:p>
            <w:pPr>
              <w:widowControl/>
              <w:spacing w:line="240" w:lineRule="atLeast"/>
              <w:jc w:val="center"/>
              <w:rPr>
                <w:color w:val="000000"/>
                <w:kern w:val="0"/>
                <w:sz w:val="18"/>
                <w:szCs w:val="18"/>
              </w:rPr>
            </w:pPr>
            <w:r>
              <w:rPr>
                <w:color w:val="000000"/>
                <w:kern w:val="0"/>
                <w:sz w:val="18"/>
                <w:szCs w:val="18"/>
              </w:rPr>
              <w:t>2.24</w:t>
            </w:r>
          </w:p>
        </w:tc>
      </w:tr>
    </w:tbl>
    <w:p>
      <w:pPr>
        <w:spacing w:line="360" w:lineRule="auto"/>
        <w:ind w:firstLine="480" w:firstLineChars="200"/>
        <w:rPr>
          <w:sz w:val="24"/>
        </w:rPr>
      </w:pPr>
      <w:r>
        <w:rPr>
          <w:rFonts w:hint="eastAsia"/>
          <w:sz w:val="24"/>
        </w:rPr>
        <w:t>（3）底栖动物生物多样性指数</w:t>
      </w:r>
    </w:p>
    <w:p>
      <w:pPr>
        <w:spacing w:line="360" w:lineRule="auto"/>
        <w:ind w:firstLine="480" w:firstLineChars="200"/>
        <w:rPr>
          <w:sz w:val="24"/>
        </w:rPr>
      </w:pPr>
      <w:r>
        <w:rPr>
          <w:rFonts w:hint="eastAsia"/>
          <w:sz w:val="24"/>
        </w:rPr>
        <w:t>枝江段底栖动物生物多样性指数4月份为2.4、7月份为2.1，底栖动物生物多样性指数一般。多样性指数见表3.6-16</w:t>
      </w:r>
    </w:p>
    <w:p>
      <w:pPr>
        <w:spacing w:line="360" w:lineRule="auto"/>
        <w:ind w:firstLine="480" w:firstLineChars="200"/>
        <w:rPr>
          <w:sz w:val="24"/>
        </w:rPr>
      </w:pPr>
      <w:r>
        <w:rPr>
          <w:rFonts w:hint="eastAsia"/>
          <w:sz w:val="24"/>
        </w:rPr>
        <w:t>评价区底栖动物</w:t>
      </w:r>
      <w:r>
        <w:rPr>
          <w:rFonts w:hint="eastAsia" w:ascii="宋体"/>
          <w:sz w:val="24"/>
        </w:rPr>
        <w:t>优势种有湖沼股蛤、河蚬、前突摇蚊、长臂虾、小长臂虾、沼虾等</w:t>
      </w:r>
      <w:r>
        <w:rPr>
          <w:rFonts w:hint="eastAsia"/>
          <w:sz w:val="24"/>
        </w:rPr>
        <w:t>，其主要生存范围为边滩及回水区域，主航道及深槽处底栖动物较少见。</w:t>
      </w:r>
    </w:p>
    <w:p>
      <w:pPr>
        <w:pStyle w:val="4"/>
        <w:ind w:firstLine="422"/>
        <w:jc w:val="center"/>
        <w:rPr>
          <w:b/>
        </w:rPr>
      </w:pPr>
      <w:r>
        <w:rPr>
          <w:rFonts w:hint="eastAsia"/>
          <w:b/>
        </w:rPr>
        <w:t>表3.6-16底栖动物生物多样性指数</w:t>
      </w:r>
    </w:p>
    <w:tbl>
      <w:tblPr>
        <w:tblStyle w:val="10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vMerge w:val="restart"/>
            <w:vAlign w:val="center"/>
          </w:tcPr>
          <w:p>
            <w:pPr>
              <w:autoSpaceDE w:val="0"/>
              <w:autoSpaceDN w:val="0"/>
              <w:spacing w:before="156" w:beforeLines="50"/>
              <w:jc w:val="center"/>
              <w:rPr>
                <w:rFonts w:ascii="楷体_GB2312" w:eastAsia="楷体_GB2312"/>
                <w:spacing w:val="-4"/>
                <w:kern w:val="0"/>
                <w:sz w:val="28"/>
                <w:szCs w:val="28"/>
              </w:rPr>
            </w:pPr>
            <w:r>
              <w:rPr>
                <w:kern w:val="0"/>
              </w:rPr>
              <w:t>指标</w:t>
            </w:r>
          </w:p>
        </w:tc>
        <w:tc>
          <w:tcPr>
            <w:tcW w:w="5682" w:type="dxa"/>
            <w:gridSpan w:val="2"/>
            <w:vAlign w:val="center"/>
          </w:tcPr>
          <w:p>
            <w:pPr>
              <w:autoSpaceDE w:val="0"/>
              <w:autoSpaceDN w:val="0"/>
              <w:spacing w:before="156" w:beforeLines="50"/>
              <w:jc w:val="center"/>
              <w:rPr>
                <w:rFonts w:ascii="楷体_GB2312" w:eastAsia="楷体_GB2312"/>
                <w:spacing w:val="-4"/>
                <w:kern w:val="0"/>
                <w:sz w:val="28"/>
                <w:szCs w:val="28"/>
              </w:rPr>
            </w:pPr>
            <w:r>
              <w:rPr>
                <w:kern w:val="0"/>
              </w:rPr>
              <w:t>枝江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vMerge w:val="continue"/>
            <w:vAlign w:val="center"/>
          </w:tcPr>
          <w:p>
            <w:pPr>
              <w:autoSpaceDE w:val="0"/>
              <w:autoSpaceDN w:val="0"/>
              <w:spacing w:before="156" w:beforeLines="50"/>
              <w:jc w:val="center"/>
              <w:rPr>
                <w:rFonts w:ascii="楷体_GB2312" w:eastAsia="楷体_GB2312"/>
                <w:spacing w:val="-4"/>
                <w:kern w:val="0"/>
                <w:sz w:val="28"/>
                <w:szCs w:val="28"/>
              </w:rPr>
            </w:pPr>
          </w:p>
        </w:tc>
        <w:tc>
          <w:tcPr>
            <w:tcW w:w="2841" w:type="dxa"/>
            <w:vAlign w:val="center"/>
          </w:tcPr>
          <w:p>
            <w:pPr>
              <w:jc w:val="center"/>
              <w:rPr>
                <w:kern w:val="0"/>
              </w:rPr>
            </w:pPr>
            <w:r>
              <w:rPr>
                <w:kern w:val="0"/>
              </w:rPr>
              <w:t>4月</w:t>
            </w:r>
          </w:p>
        </w:tc>
        <w:tc>
          <w:tcPr>
            <w:tcW w:w="2841" w:type="dxa"/>
            <w:vAlign w:val="center"/>
          </w:tcPr>
          <w:p>
            <w:pPr>
              <w:jc w:val="center"/>
              <w:rPr>
                <w:kern w:val="0"/>
              </w:rPr>
            </w:pPr>
            <w:r>
              <w:rPr>
                <w:kern w:val="0"/>
              </w:rPr>
              <w:t>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vAlign w:val="center"/>
          </w:tcPr>
          <w:p>
            <w:pPr>
              <w:jc w:val="center"/>
              <w:rPr>
                <w:kern w:val="0"/>
              </w:rPr>
            </w:pPr>
            <w:r>
              <w:rPr>
                <w:kern w:val="0"/>
              </w:rPr>
              <w:t>定性种数</w:t>
            </w:r>
          </w:p>
        </w:tc>
        <w:tc>
          <w:tcPr>
            <w:tcW w:w="2841" w:type="dxa"/>
            <w:vAlign w:val="center"/>
          </w:tcPr>
          <w:p>
            <w:pPr>
              <w:jc w:val="center"/>
              <w:rPr>
                <w:kern w:val="0"/>
              </w:rPr>
            </w:pPr>
            <w:r>
              <w:rPr>
                <w:kern w:val="0"/>
              </w:rPr>
              <w:t>14</w:t>
            </w:r>
          </w:p>
        </w:tc>
        <w:tc>
          <w:tcPr>
            <w:tcW w:w="2841" w:type="dxa"/>
            <w:vAlign w:val="center"/>
          </w:tcPr>
          <w:p>
            <w:pPr>
              <w:jc w:val="center"/>
              <w:rPr>
                <w:kern w:val="0"/>
              </w:rPr>
            </w:pPr>
            <w:r>
              <w:rPr>
                <w:kern w:val="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vAlign w:val="center"/>
          </w:tcPr>
          <w:p>
            <w:pPr>
              <w:jc w:val="center"/>
              <w:rPr>
                <w:kern w:val="0"/>
              </w:rPr>
            </w:pPr>
            <w:r>
              <w:rPr>
                <w:kern w:val="0"/>
              </w:rPr>
              <w:t>定量种数</w:t>
            </w:r>
          </w:p>
        </w:tc>
        <w:tc>
          <w:tcPr>
            <w:tcW w:w="2841" w:type="dxa"/>
            <w:vAlign w:val="center"/>
          </w:tcPr>
          <w:p>
            <w:pPr>
              <w:jc w:val="center"/>
              <w:rPr>
                <w:kern w:val="0"/>
              </w:rPr>
            </w:pPr>
            <w:r>
              <w:rPr>
                <w:kern w:val="0"/>
              </w:rPr>
              <w:t>6</w:t>
            </w:r>
          </w:p>
        </w:tc>
        <w:tc>
          <w:tcPr>
            <w:tcW w:w="2841" w:type="dxa"/>
            <w:vAlign w:val="center"/>
          </w:tcPr>
          <w:p>
            <w:pPr>
              <w:jc w:val="center"/>
              <w:rPr>
                <w:kern w:val="0"/>
              </w:rPr>
            </w:pPr>
            <w:r>
              <w:rPr>
                <w:kern w:val="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vAlign w:val="center"/>
          </w:tcPr>
          <w:p>
            <w:pPr>
              <w:jc w:val="center"/>
              <w:rPr>
                <w:kern w:val="0"/>
              </w:rPr>
            </w:pPr>
            <w:r>
              <w:rPr>
                <w:kern w:val="0"/>
              </w:rPr>
              <w:t>多样性指数</w:t>
            </w:r>
          </w:p>
        </w:tc>
        <w:tc>
          <w:tcPr>
            <w:tcW w:w="2841" w:type="dxa"/>
            <w:vAlign w:val="center"/>
          </w:tcPr>
          <w:p>
            <w:pPr>
              <w:jc w:val="center"/>
              <w:rPr>
                <w:kern w:val="0"/>
              </w:rPr>
            </w:pPr>
            <w:r>
              <w:rPr>
                <w:kern w:val="0"/>
              </w:rPr>
              <w:t>2.4</w:t>
            </w:r>
          </w:p>
        </w:tc>
        <w:tc>
          <w:tcPr>
            <w:tcW w:w="2841" w:type="dxa"/>
            <w:vAlign w:val="center"/>
          </w:tcPr>
          <w:p>
            <w:pPr>
              <w:jc w:val="center"/>
              <w:rPr>
                <w:kern w:val="0"/>
              </w:rPr>
            </w:pPr>
            <w:r>
              <w:rPr>
                <w:kern w:val="0"/>
              </w:rPr>
              <w:t>2.1</w:t>
            </w:r>
          </w:p>
        </w:tc>
      </w:tr>
    </w:tbl>
    <w:p>
      <w:pPr>
        <w:spacing w:line="360" w:lineRule="auto"/>
        <w:ind w:firstLine="480" w:firstLineChars="200"/>
        <w:rPr>
          <w:sz w:val="24"/>
        </w:rPr>
      </w:pPr>
      <w:r>
        <w:rPr>
          <w:rFonts w:hint="eastAsia"/>
          <w:sz w:val="24"/>
        </w:rPr>
        <w:t>（4）</w:t>
      </w:r>
      <w:r>
        <w:rPr>
          <w:sz w:val="24"/>
        </w:rPr>
        <w:t>底栖动物现状评价</w:t>
      </w:r>
    </w:p>
    <w:p>
      <w:pPr>
        <w:spacing w:line="360" w:lineRule="auto"/>
        <w:ind w:firstLine="480" w:firstLineChars="200"/>
        <w:rPr>
          <w:sz w:val="24"/>
        </w:rPr>
      </w:pPr>
      <w:r>
        <w:rPr>
          <w:rFonts w:hint="eastAsia"/>
          <w:sz w:val="24"/>
        </w:rPr>
        <w:t>该江段</w:t>
      </w:r>
      <w:r>
        <w:rPr>
          <w:sz w:val="24"/>
        </w:rPr>
        <w:t>底栖动物现存35种，其中软体动物、节肢动物、环节动物种类所占比重分别为65.71%、20.00%、14.29%，优势种有方格环棱螺、方格短沟蜷、湖沼股蛤、河蚬、闪蚬、短腕白虾、秀丽白虾、中华小长臂虾等。底栖动物平均密度27.11ind./m</w:t>
      </w:r>
      <w:r>
        <w:rPr>
          <w:sz w:val="24"/>
          <w:vertAlign w:val="superscript"/>
        </w:rPr>
        <w:t>2</w:t>
      </w:r>
      <w:r>
        <w:rPr>
          <w:sz w:val="24"/>
        </w:rPr>
        <w:t>，软体动物、节肢动物、环节动物密度所占比重分别为4.28%、61.16%、34.56%；平均生物量1.2g/m</w:t>
      </w:r>
      <w:r>
        <w:rPr>
          <w:sz w:val="24"/>
          <w:vertAlign w:val="superscript"/>
        </w:rPr>
        <w:t>2</w:t>
      </w:r>
      <w:r>
        <w:rPr>
          <w:sz w:val="24"/>
        </w:rPr>
        <w:t>，软体动物、节肢动物、环节动物生物量所占比重分别为82.54%、10.32%、7.14%。</w:t>
      </w:r>
    </w:p>
    <w:p>
      <w:pPr>
        <w:spacing w:line="360" w:lineRule="auto"/>
        <w:ind w:firstLine="480" w:firstLineChars="200"/>
        <w:rPr>
          <w:sz w:val="24"/>
        </w:rPr>
      </w:pPr>
      <w:r>
        <w:rPr>
          <w:rFonts w:hint="eastAsia"/>
          <w:sz w:val="24"/>
        </w:rPr>
        <w:t>长江该</w:t>
      </w:r>
      <w:r>
        <w:rPr>
          <w:sz w:val="24"/>
        </w:rPr>
        <w:t>断面种类较为丰富，该江段耐污型底栖动物种类分布较少，水体较为清澈，且部分站点有好氧型蜉蝣目生物检出，显示长江该区段水质较好。</w:t>
      </w:r>
    </w:p>
    <w:p>
      <w:pPr>
        <w:pStyle w:val="6"/>
        <w:tabs>
          <w:tab w:val="left" w:pos="-489"/>
          <w:tab w:val="left" w:pos="851"/>
          <w:tab w:val="clear" w:pos="1044"/>
        </w:tabs>
        <w:spacing w:beforeLines="0" w:afterLines="0"/>
        <w:ind w:left="0" w:firstLine="0"/>
        <w:rPr>
          <w:snapToGrid w:val="0"/>
        </w:rPr>
      </w:pPr>
      <w:r>
        <w:rPr>
          <w:snapToGrid w:val="0"/>
        </w:rPr>
        <w:t>鱼类资源</w:t>
      </w:r>
    </w:p>
    <w:p>
      <w:pPr>
        <w:spacing w:line="360" w:lineRule="auto"/>
        <w:ind w:firstLine="480" w:firstLineChars="200"/>
        <w:rPr>
          <w:sz w:val="24"/>
        </w:rPr>
      </w:pPr>
      <w:r>
        <w:rPr>
          <w:rFonts w:hint="eastAsia"/>
          <w:sz w:val="24"/>
        </w:rPr>
        <w:t>（1）鱼类重要生境</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eq \o\ac(○,1)</w:instrText>
      </w:r>
      <w:r>
        <w:rPr>
          <w:sz w:val="24"/>
        </w:rPr>
        <w:fldChar w:fldCharType="end"/>
      </w:r>
      <w:r>
        <w:rPr>
          <w:rFonts w:hint="eastAsia"/>
          <w:sz w:val="24"/>
        </w:rPr>
        <w:t>“四大家鱼”</w:t>
      </w:r>
      <w:r>
        <w:rPr>
          <w:sz w:val="24"/>
        </w:rPr>
        <w:t xml:space="preserve">产卵场 </w:t>
      </w:r>
    </w:p>
    <w:p>
      <w:pPr>
        <w:spacing w:line="360" w:lineRule="auto"/>
        <w:ind w:firstLine="480" w:firstLineChars="200"/>
        <w:rPr>
          <w:rFonts w:ascii="宋体" w:hAnsi="宋体"/>
          <w:sz w:val="24"/>
        </w:rPr>
      </w:pPr>
      <w:r>
        <w:rPr>
          <w:rFonts w:hint="eastAsia" w:ascii="宋体" w:hAnsi="宋体"/>
          <w:sz w:val="24"/>
        </w:rPr>
        <w:t>“四大家鱼”等产漂流性卵鱼类产卵的条件除需要具备一定的水温条件外，还需要河流的涨水刺激和特定的水文情势。江河涨水实际上包含流量加大、水位上升、流速加快、透明度减小以及流态紊乱等一行列水文因素的变化过程。</w:t>
      </w:r>
    </w:p>
    <w:p>
      <w:pPr>
        <w:spacing w:line="360" w:lineRule="auto"/>
        <w:ind w:firstLine="480" w:firstLineChars="200"/>
        <w:rPr>
          <w:rFonts w:ascii="宋体" w:hAnsi="宋体"/>
          <w:sz w:val="24"/>
        </w:rPr>
      </w:pPr>
      <w:r>
        <w:rPr>
          <w:rFonts w:hint="eastAsia" w:ascii="宋体" w:hAnsi="宋体"/>
          <w:sz w:val="24"/>
        </w:rPr>
        <w:t>“四大家鱼”等产漂流性卵鱼类产卵场的河道特点为河道多弯曲、复杂，</w:t>
      </w:r>
      <w:r>
        <w:rPr>
          <w:rFonts w:ascii="宋体" w:hAnsi="宋体"/>
          <w:sz w:val="24"/>
        </w:rPr>
        <w:t>或者有矶头伸入江中处，</w:t>
      </w:r>
      <w:r>
        <w:rPr>
          <w:rFonts w:hint="eastAsia" w:ascii="宋体" w:hAnsi="宋体"/>
          <w:sz w:val="24"/>
        </w:rPr>
        <w:t>江心多沙洲。这些特点可导致区域水文情势复杂，</w:t>
      </w:r>
      <w:r>
        <w:rPr>
          <w:rFonts w:ascii="宋体" w:hAnsi="宋体"/>
          <w:sz w:val="24"/>
        </w:rPr>
        <w:t>流速发生变化，</w:t>
      </w:r>
      <w:r>
        <w:rPr>
          <w:rFonts w:hint="eastAsia" w:ascii="宋体" w:hAnsi="宋体"/>
          <w:sz w:val="24"/>
        </w:rPr>
        <w:t>水流紊乱，形成泡漩水面，鱼类的精液和鱼卵可随水流上下翻腾，充分结合授精，是产漂流性卵鱼类最为适宜的繁殖条件。产卵季节，当水文条件适宜时，便能刺激亲鱼在产卵场水域产卵。</w:t>
      </w:r>
    </w:p>
    <w:p>
      <w:pPr>
        <w:spacing w:line="360" w:lineRule="auto"/>
        <w:ind w:firstLine="480" w:firstLineChars="200"/>
        <w:rPr>
          <w:sz w:val="24"/>
        </w:rPr>
      </w:pPr>
      <w:r>
        <w:rPr>
          <w:rFonts w:hAnsi="宋体"/>
          <w:sz w:val="24"/>
        </w:rPr>
        <w:t>据上世纪</w:t>
      </w:r>
      <w:r>
        <w:rPr>
          <w:sz w:val="24"/>
        </w:rPr>
        <w:t>80</w:t>
      </w:r>
      <w:r>
        <w:rPr>
          <w:rFonts w:hAnsi="宋体"/>
          <w:sz w:val="24"/>
        </w:rPr>
        <w:t>年代调查，长江宜昌至武穴江段分布有</w:t>
      </w:r>
      <w:r>
        <w:rPr>
          <w:sz w:val="24"/>
        </w:rPr>
        <w:t>19</w:t>
      </w:r>
      <w:r>
        <w:rPr>
          <w:rFonts w:hAnsi="宋体"/>
          <w:sz w:val="24"/>
        </w:rPr>
        <w:t>个青、草、鲢、鳙</w:t>
      </w:r>
      <w:r>
        <w:rPr>
          <w:sz w:val="24"/>
        </w:rPr>
        <w:t>“</w:t>
      </w:r>
      <w:r>
        <w:rPr>
          <w:rFonts w:hAnsi="宋体"/>
          <w:sz w:val="24"/>
        </w:rPr>
        <w:t>四大家鱼</w:t>
      </w:r>
      <w:r>
        <w:rPr>
          <w:sz w:val="24"/>
        </w:rPr>
        <w:t>”</w:t>
      </w:r>
      <w:r>
        <w:rPr>
          <w:rFonts w:hAnsi="宋体"/>
          <w:sz w:val="24"/>
        </w:rPr>
        <w:t>产卵场（图</w:t>
      </w:r>
      <w:r>
        <w:rPr>
          <w:rFonts w:hint="eastAsia"/>
          <w:sz w:val="24"/>
        </w:rPr>
        <w:t>3.6-1</w:t>
      </w:r>
      <w:r>
        <w:rPr>
          <w:rFonts w:hAnsi="宋体"/>
          <w:sz w:val="24"/>
        </w:rPr>
        <w:t>）。</w:t>
      </w:r>
    </w:p>
    <w:tbl>
      <w:tblPr>
        <w:tblStyle w:val="105"/>
        <w:tblW w:w="9048" w:type="dxa"/>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048"/>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9048" w:type="dxa"/>
            <w:vAlign w:val="center"/>
          </w:tcPr>
          <w:p>
            <w:pPr>
              <w:rPr>
                <w:kern w:val="0"/>
              </w:rPr>
            </w:pPr>
            <w:r>
              <w:rPr>
                <w:kern w:val="0"/>
              </w:rPr>
              <w:drawing>
                <wp:inline distT="0" distB="0" distL="0" distR="0">
                  <wp:extent cx="5343525" cy="3044190"/>
                  <wp:effectExtent l="0" t="0" r="0" b="3810"/>
                  <wp:docPr id="274" name="图片 274" descr="产卵场-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产卵场-1986"/>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a:xfrm>
                            <a:off x="0" y="0"/>
                            <a:ext cx="5343525" cy="3044801"/>
                          </a:xfrm>
                          <a:prstGeom prst="rect">
                            <a:avLst/>
                          </a:prstGeom>
                          <a:noFill/>
                          <a:ln>
                            <a:noFill/>
                          </a:ln>
                        </pic:spPr>
                      </pic:pic>
                    </a:graphicData>
                  </a:graphic>
                </wp:inline>
              </w:drawing>
            </w:r>
          </w:p>
          <w:p>
            <w:pPr>
              <w:jc w:val="center"/>
              <w:rPr>
                <w:kern w:val="0"/>
              </w:rPr>
            </w:pPr>
            <w:r>
              <w:rPr>
                <w:rFonts w:hint="eastAsia"/>
                <w:kern w:val="0"/>
              </w:rPr>
              <w:t>80年代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9048" w:type="dxa"/>
            <w:tcBorders>
              <w:bottom w:val="nil"/>
            </w:tcBorders>
            <w:vAlign w:val="center"/>
          </w:tcPr>
          <w:p>
            <w:pPr>
              <w:rPr>
                <w:kern w:val="0"/>
              </w:rPr>
            </w:pPr>
            <w:r>
              <w:rPr>
                <w:kern w:val="0"/>
              </w:rPr>
              <w:drawing>
                <wp:inline distT="0" distB="0" distL="0" distR="0">
                  <wp:extent cx="5400675" cy="2876550"/>
                  <wp:effectExtent l="0" t="0" r="0" b="0"/>
                  <wp:docPr id="273" name="图片 273" descr="云阳-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云阳-NEW"/>
                          <pic:cNvPicPr>
                            <a:picLocks noChangeAspect="1" noChangeArrowheads="1"/>
                          </pic:cNvPicPr>
                        </pic:nvPicPr>
                        <pic:blipFill>
                          <a:blip r:embed="rId33" cstate="email">
                            <a:extLst>
                              <a:ext uri="{28A0092B-C50C-407E-A947-70E740481C1C}">
                                <a14:useLocalDpi xmlns:a14="http://schemas.microsoft.com/office/drawing/2010/main" val="0"/>
                              </a:ext>
                            </a:extLst>
                          </a:blip>
                          <a:srcRect/>
                          <a:stretch>
                            <a:fillRect/>
                          </a:stretch>
                        </pic:blipFill>
                        <pic:spPr>
                          <a:xfrm>
                            <a:off x="0" y="0"/>
                            <a:ext cx="5400675" cy="2876550"/>
                          </a:xfrm>
                          <a:prstGeom prst="rect">
                            <a:avLst/>
                          </a:prstGeom>
                          <a:noFill/>
                          <a:ln>
                            <a:noFill/>
                          </a:ln>
                        </pic:spPr>
                      </pic:pic>
                    </a:graphicData>
                  </a:graphic>
                </wp:inline>
              </w:drawing>
            </w:r>
          </w:p>
          <w:p>
            <w:pPr>
              <w:jc w:val="center"/>
              <w:rPr>
                <w:kern w:val="0"/>
              </w:rPr>
            </w:pPr>
            <w:r>
              <w:rPr>
                <w:kern w:val="0"/>
              </w:rPr>
              <w:t>三峡蓄水后</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9048" w:type="dxa"/>
            <w:tcBorders>
              <w:top w:val="nil"/>
              <w:bottom w:val="nil"/>
            </w:tcBorders>
            <w:vAlign w:val="center"/>
          </w:tcPr>
          <w:p>
            <w:pPr>
              <w:jc w:val="center"/>
              <w:rPr>
                <w:b/>
                <w:kern w:val="0"/>
                <w:sz w:val="28"/>
                <w:szCs w:val="28"/>
              </w:rPr>
            </w:pPr>
            <w:r>
              <w:rPr>
                <w:rFonts w:hint="eastAsia"/>
                <w:b/>
                <w:kern w:val="0"/>
                <w:sz w:val="28"/>
                <w:szCs w:val="28"/>
              </w:rPr>
              <w:t>图3.6-1 长江中下游“四大家鱼”产卵场示意图</w:t>
            </w:r>
          </w:p>
        </w:tc>
      </w:tr>
    </w:tbl>
    <w:p>
      <w:pPr>
        <w:autoSpaceDE w:val="0"/>
        <w:autoSpaceDN w:val="0"/>
        <w:adjustRightInd w:val="0"/>
        <w:spacing w:line="360" w:lineRule="auto"/>
        <w:ind w:firstLine="480" w:firstLineChars="200"/>
        <w:jc w:val="left"/>
        <w:rPr>
          <w:sz w:val="24"/>
        </w:rPr>
      </w:pPr>
      <w:r>
        <w:rPr>
          <w:rFonts w:hint="eastAsia"/>
          <w:sz w:val="24"/>
        </w:rPr>
        <w:t>三峡水库蓄水后，长江水产研究所和水工程生态研究所等单位对长江中游产漂流性卵鱼类进行了连续监测，</w:t>
      </w:r>
      <w:r>
        <w:rPr>
          <w:sz w:val="24"/>
        </w:rPr>
        <w:t>在长江中游宜昌至城陵矶300km江段分布1</w:t>
      </w:r>
      <w:r>
        <w:rPr>
          <w:rFonts w:hint="eastAsia"/>
          <w:sz w:val="24"/>
        </w:rPr>
        <w:t>1</w:t>
      </w:r>
      <w:r>
        <w:rPr>
          <w:sz w:val="24"/>
        </w:rPr>
        <w:t>个四大家鱼产卵场</w:t>
      </w:r>
      <w:r>
        <w:rPr>
          <w:rFonts w:hint="eastAsia"/>
          <w:sz w:val="24"/>
        </w:rPr>
        <w:t>（图3.6-1）。</w:t>
      </w:r>
      <w:r>
        <w:rPr>
          <w:kern w:val="0"/>
          <w:sz w:val="24"/>
        </w:rPr>
        <w:t xml:space="preserve"> 2003～2006年长江中游主要产漂流性卵鱼类的产卵晕143720×10in</w:t>
      </w:r>
      <w:r>
        <w:rPr>
          <w:rFonts w:hint="eastAsia"/>
          <w:kern w:val="0"/>
          <w:sz w:val="24"/>
        </w:rPr>
        <w:t>d，</w:t>
      </w:r>
      <w:r>
        <w:rPr>
          <w:kern w:val="0"/>
          <w:sz w:val="24"/>
        </w:rPr>
        <w:t>产卵量约占全江产卵量的42</w:t>
      </w:r>
      <w:r>
        <w:rPr>
          <w:rFonts w:hint="eastAsia"/>
          <w:kern w:val="0"/>
          <w:sz w:val="24"/>
        </w:rPr>
        <w:t>.</w:t>
      </w:r>
      <w:r>
        <w:rPr>
          <w:kern w:val="0"/>
          <w:sz w:val="24"/>
        </w:rPr>
        <w:t>7％。</w:t>
      </w:r>
      <w:r>
        <w:rPr>
          <w:rFonts w:hint="eastAsia"/>
          <w:sz w:val="24"/>
        </w:rPr>
        <w:t>卵苗主要来源于宜昌、宜都、江口、石首和调关等产卵场。</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2"/>
          <w:sz w:val="24"/>
        </w:rPr>
        <w:instrText xml:space="preserve">2</w:instrText>
      </w:r>
      <w:r>
        <w:rPr>
          <w:rFonts w:hint="eastAsia"/>
          <w:sz w:val="24"/>
        </w:rPr>
        <w:instrText xml:space="preserve">)</w:instrText>
      </w:r>
      <w:r>
        <w:rPr>
          <w:sz w:val="24"/>
        </w:rPr>
        <w:fldChar w:fldCharType="end"/>
      </w:r>
      <w:r>
        <w:rPr>
          <w:sz w:val="24"/>
        </w:rPr>
        <w:t>索饵或育幼场</w:t>
      </w:r>
    </w:p>
    <w:p>
      <w:pPr>
        <w:spacing w:line="360" w:lineRule="auto"/>
        <w:ind w:firstLine="480" w:firstLineChars="200"/>
        <w:rPr>
          <w:sz w:val="24"/>
        </w:rPr>
      </w:pPr>
      <w:r>
        <w:rPr>
          <w:rFonts w:hAnsi="宋体"/>
          <w:sz w:val="24"/>
        </w:rPr>
        <w:t>鱼类的索饵或育幼场，常取决与其食性。摄食浮游生物的种类，如鲢鳙等，原多以水清质肥的通江湖泊作为其索饵场所。而长江由于三峡大坝蓄水，坝下河段透明度加大，初级生产力提高，逐渐演变为摄食浮游生物种类鱼类的索饵场。而草鱼等以摄食水生维管束植物、青鱼等以摄食螺蚌为生的鱼类，通江湖泊仍是其最主要的索饵场。</w:t>
      </w:r>
    </w:p>
    <w:p>
      <w:pPr>
        <w:spacing w:line="360" w:lineRule="auto"/>
        <w:ind w:firstLine="480" w:firstLineChars="20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2"/>
          <w:sz w:val="24"/>
        </w:rPr>
        <w:instrText xml:space="preserve">3</w:instrText>
      </w:r>
      <w:r>
        <w:rPr>
          <w:rFonts w:hint="eastAsia"/>
          <w:sz w:val="24"/>
        </w:rPr>
        <w:instrText xml:space="preserve">)</w:instrText>
      </w:r>
      <w:r>
        <w:rPr>
          <w:sz w:val="24"/>
        </w:rPr>
        <w:fldChar w:fldCharType="end"/>
      </w:r>
      <w:r>
        <w:t>越冬场</w:t>
      </w:r>
    </w:p>
    <w:p>
      <w:pPr>
        <w:spacing w:line="360" w:lineRule="auto"/>
        <w:ind w:firstLine="480" w:firstLineChars="200"/>
        <w:jc w:val="left"/>
        <w:rPr>
          <w:rFonts w:eastAsia="黑体"/>
          <w:sz w:val="24"/>
        </w:rPr>
      </w:pPr>
      <w:r>
        <w:rPr>
          <w:rFonts w:hAnsi="宋体"/>
          <w:sz w:val="24"/>
        </w:rPr>
        <w:t>冬季水位下降，鱼类的越冬场主要分布于河道的深槽中。</w:t>
      </w:r>
    </w:p>
    <w:p>
      <w:pPr>
        <w:spacing w:line="360" w:lineRule="auto"/>
        <w:ind w:firstLine="480" w:firstLineChars="200"/>
        <w:rPr>
          <w:rFonts w:hAnsi="宋体"/>
          <w:sz w:val="24"/>
        </w:rPr>
      </w:pPr>
      <w:bookmarkStart w:id="147" w:name="_Toc325405293"/>
      <w:r>
        <w:rPr>
          <w:rFonts w:hint="eastAsia" w:hAnsi="宋体"/>
          <w:sz w:val="24"/>
        </w:rPr>
        <w:t>（2）重要水生动物生物学及现状</w:t>
      </w:r>
      <w:bookmarkEnd w:id="147"/>
    </w:p>
    <w:p>
      <w:pPr>
        <w:pStyle w:val="162"/>
        <w:spacing w:line="360" w:lineRule="auto"/>
        <w:ind w:left="426" w:firstLine="0" w:firstLineChars="0"/>
        <w:rPr>
          <w:sz w:val="24"/>
        </w:rPr>
      </w:pPr>
      <w:r>
        <w:rPr>
          <w:rFonts w:hint="eastAsia"/>
          <w:sz w:val="24"/>
        </w:rPr>
        <w:t>重要水生动物生物学及现状见3.1.7。</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（3）该江段鱼类种类</w:t>
      </w:r>
    </w:p>
    <w:p>
      <w:pPr>
        <w:autoSpaceDE w:val="0"/>
        <w:autoSpaceDN w:val="0"/>
        <w:adjustRightInd w:val="0"/>
        <w:spacing w:line="360" w:lineRule="auto"/>
        <w:ind w:firstLine="480" w:firstLineChars="200"/>
        <w:jc w:val="left"/>
        <w:rPr>
          <w:snapToGrid w:val="0"/>
          <w:sz w:val="24"/>
        </w:rPr>
      </w:pPr>
      <w:r>
        <w:rPr>
          <w:rFonts w:hint="eastAsia" w:ascii="宋体" w:cs="宋体" w:hAnsiTheme="minorHAnsi"/>
          <w:kern w:val="0"/>
          <w:sz w:val="24"/>
        </w:rPr>
        <w:t>该江段有鱼类</w:t>
      </w:r>
      <w:r>
        <w:rPr>
          <w:rFonts w:ascii="TimesNewRomanPSMT" w:hAnsi="TimesNewRomanPSMT" w:cs="TimesNewRomanPSMT"/>
          <w:kern w:val="0"/>
          <w:sz w:val="24"/>
        </w:rPr>
        <w:t xml:space="preserve">123 </w:t>
      </w:r>
      <w:r>
        <w:rPr>
          <w:rFonts w:hint="eastAsia" w:ascii="宋体" w:cs="宋体" w:hAnsiTheme="minorHAnsi"/>
          <w:kern w:val="0"/>
          <w:sz w:val="24"/>
        </w:rPr>
        <w:t>种，分属</w:t>
      </w:r>
      <w:r>
        <w:rPr>
          <w:rFonts w:ascii="TimesNewRomanPSMT" w:hAnsi="TimesNewRomanPSMT" w:cs="TimesNewRomanPSMT"/>
          <w:kern w:val="0"/>
          <w:sz w:val="24"/>
        </w:rPr>
        <w:t xml:space="preserve">10 </w:t>
      </w:r>
      <w:r>
        <w:rPr>
          <w:rFonts w:hint="eastAsia" w:ascii="宋体" w:cs="宋体" w:hAnsiTheme="minorHAnsi"/>
          <w:kern w:val="0"/>
          <w:sz w:val="24"/>
        </w:rPr>
        <w:t>目</w:t>
      </w:r>
      <w:r>
        <w:rPr>
          <w:rFonts w:ascii="TimesNewRomanPSMT" w:hAnsi="TimesNewRomanPSMT" w:cs="TimesNewRomanPSMT"/>
          <w:kern w:val="0"/>
          <w:sz w:val="24"/>
        </w:rPr>
        <w:t xml:space="preserve">23 </w:t>
      </w:r>
      <w:r>
        <w:rPr>
          <w:rFonts w:hint="eastAsia" w:ascii="宋体" w:cs="宋体" w:hAnsiTheme="minorHAnsi"/>
          <w:kern w:val="0"/>
          <w:sz w:val="24"/>
        </w:rPr>
        <w:t>科</w:t>
      </w:r>
      <w:r>
        <w:rPr>
          <w:rFonts w:ascii="TimesNewRomanPSMT" w:hAnsi="TimesNewRomanPSMT" w:cs="TimesNewRomanPSMT"/>
          <w:kern w:val="0"/>
          <w:sz w:val="24"/>
        </w:rPr>
        <w:t xml:space="preserve">77 </w:t>
      </w:r>
      <w:r>
        <w:rPr>
          <w:rFonts w:hint="eastAsia" w:ascii="宋体" w:cs="宋体" w:hAnsiTheme="minorHAnsi"/>
          <w:kern w:val="0"/>
          <w:sz w:val="24"/>
        </w:rPr>
        <w:t>属，其中鲤形目有</w:t>
      </w:r>
      <w:r>
        <w:rPr>
          <w:rFonts w:ascii="TimesNewRomanPSMT" w:hAnsi="TimesNewRomanPSMT" w:cs="TimesNewRomanPSMT"/>
          <w:kern w:val="0"/>
          <w:sz w:val="24"/>
        </w:rPr>
        <w:t xml:space="preserve">54 </w:t>
      </w:r>
      <w:r>
        <w:rPr>
          <w:rFonts w:hint="eastAsia" w:ascii="宋体" w:cs="宋体" w:hAnsiTheme="minorHAnsi"/>
          <w:kern w:val="0"/>
          <w:sz w:val="24"/>
        </w:rPr>
        <w:t>属</w:t>
      </w:r>
      <w:r>
        <w:rPr>
          <w:rFonts w:ascii="TimesNewRomanPSMT" w:hAnsi="TimesNewRomanPSMT" w:cs="TimesNewRomanPSMT"/>
          <w:kern w:val="0"/>
          <w:sz w:val="24"/>
        </w:rPr>
        <w:t>83</w:t>
      </w:r>
      <w:r>
        <w:rPr>
          <w:rFonts w:hint="eastAsia" w:ascii="宋体" w:cs="宋体" w:hAnsiTheme="minorHAnsi"/>
          <w:kern w:val="0"/>
          <w:sz w:val="24"/>
        </w:rPr>
        <w:t>种或亚种，其余为鲶形目、鲈形目、鲟形目、鲱形目、鳉形目、合鳃目、颌针鱼目、鲑形目、鳗鲡目、鲀形目。鲤科鱼类占</w:t>
      </w:r>
      <w:r>
        <w:rPr>
          <w:rFonts w:ascii="TimesNewRomanPSMT" w:hAnsi="TimesNewRomanPSMT" w:cs="TimesNewRomanPSMT"/>
          <w:kern w:val="0"/>
          <w:sz w:val="24"/>
        </w:rPr>
        <w:t xml:space="preserve">46 </w:t>
      </w:r>
      <w:r>
        <w:rPr>
          <w:rFonts w:hint="eastAsia" w:ascii="宋体" w:cs="宋体" w:hAnsiTheme="minorHAnsi"/>
          <w:kern w:val="0"/>
          <w:sz w:val="24"/>
        </w:rPr>
        <w:t>属</w:t>
      </w:r>
      <w:r>
        <w:rPr>
          <w:rFonts w:ascii="TimesNewRomanPSMT" w:hAnsi="TimesNewRomanPSMT" w:cs="TimesNewRomanPSMT"/>
          <w:kern w:val="0"/>
          <w:sz w:val="24"/>
        </w:rPr>
        <w:t xml:space="preserve">69 </w:t>
      </w:r>
      <w:r>
        <w:rPr>
          <w:rFonts w:hint="eastAsia" w:ascii="宋体" w:cs="宋体" w:hAnsiTheme="minorHAnsi"/>
          <w:kern w:val="0"/>
          <w:sz w:val="24"/>
        </w:rPr>
        <w:t>种。此外，本江段还曾有大鲵、江豚的出现。</w:t>
      </w:r>
    </w:p>
    <w:p>
      <w:pPr>
        <w:pStyle w:val="162"/>
        <w:spacing w:line="360" w:lineRule="auto"/>
        <w:ind w:firstLine="424" w:firstLineChars="202"/>
        <w:rPr>
          <w:sz w:val="24"/>
        </w:rPr>
      </w:pPr>
      <w:r>
        <w:rPr>
          <w:rFonts w:hint="eastAsia"/>
        </w:rPr>
        <w:t>总之，</w:t>
      </w:r>
      <w:r>
        <w:rPr>
          <w:rFonts w:hint="eastAsia"/>
          <w:sz w:val="24"/>
        </w:rPr>
        <w:t>当前区域环境质量较好，只是由于区域内发生规模化开发，施工造成局部区域内生态环境破坏。</w:t>
      </w:r>
    </w:p>
    <w:p>
      <w:pPr>
        <w:widowControl/>
        <w:spacing w:line="360" w:lineRule="auto"/>
        <w:ind w:firstLine="566" w:firstLineChars="236"/>
        <w:jc w:val="left"/>
        <w:rPr>
          <w:rFonts w:eastAsia="新宋体"/>
          <w:sz w:val="24"/>
        </w:rPr>
        <w:sectPr>
          <w:headerReference r:id="rId9" w:type="default"/>
          <w:pgSz w:w="11906" w:h="16838"/>
          <w:pgMar w:top="1440" w:right="1274" w:bottom="1440" w:left="1800" w:header="851" w:footer="992" w:gutter="0"/>
          <w:cols w:space="425" w:num="1"/>
          <w:docGrid w:type="lines" w:linePitch="312" w:charSpace="0"/>
        </w:sectPr>
      </w:pPr>
    </w:p>
    <w:p>
      <w:pPr>
        <w:pStyle w:val="2"/>
        <w:tabs>
          <w:tab w:val="left" w:pos="2520"/>
          <w:tab w:val="clear" w:pos="6231"/>
        </w:tabs>
        <w:spacing w:before="240" w:beforeLines="0" w:after="240" w:afterLines="0" w:line="360" w:lineRule="auto"/>
        <w:ind w:left="2881" w:hanging="2342"/>
      </w:pPr>
      <w:bookmarkStart w:id="148" w:name="_Toc442195707"/>
      <w:bookmarkStart w:id="149" w:name="_Toc428863974"/>
      <w:r>
        <w:rPr>
          <w:rFonts w:hint="eastAsia"/>
        </w:rPr>
        <w:t>方案比选与工程分析</w:t>
      </w:r>
      <w:bookmarkEnd w:id="148"/>
      <w:bookmarkEnd w:id="149"/>
    </w:p>
    <w:p>
      <w:pPr>
        <w:pStyle w:val="3"/>
        <w:tabs>
          <w:tab w:val="left" w:pos="426"/>
          <w:tab w:val="left" w:pos="2200"/>
          <w:tab w:val="clear" w:pos="3695"/>
        </w:tabs>
        <w:spacing w:beforeLines="0" w:afterLines="0"/>
        <w:ind w:left="0" w:firstLine="0"/>
      </w:pPr>
      <w:bookmarkStart w:id="150" w:name="_Toc442195708"/>
      <w:r>
        <w:rPr>
          <w:rFonts w:hint="eastAsia"/>
        </w:rPr>
        <w:t>方案比选</w:t>
      </w:r>
      <w:bookmarkEnd w:id="150"/>
    </w:p>
    <w:p>
      <w:pPr>
        <w:pStyle w:val="5"/>
        <w:tabs>
          <w:tab w:val="left" w:pos="900"/>
          <w:tab w:val="left" w:pos="1210"/>
        </w:tabs>
        <w:ind w:left="843" w:hanging="843" w:hangingChars="300"/>
        <w:rPr>
          <w:rFonts w:ascii="宋体" w:hAnsi="宋体" w:eastAsia="宋体"/>
          <w:b/>
          <w:sz w:val="28"/>
          <w:szCs w:val="28"/>
        </w:rPr>
      </w:pPr>
      <w:bookmarkStart w:id="151" w:name="_Toc442195709"/>
      <w:r>
        <w:rPr>
          <w:rFonts w:hint="eastAsia" w:ascii="宋体" w:hAnsi="宋体" w:eastAsia="宋体"/>
          <w:b/>
          <w:sz w:val="28"/>
          <w:szCs w:val="28"/>
        </w:rPr>
        <w:t>零方案</w:t>
      </w:r>
      <w:r>
        <w:rPr>
          <w:rFonts w:ascii="宋体" w:hAnsi="宋体" w:eastAsia="宋体"/>
          <w:b/>
          <w:sz w:val="28"/>
          <w:szCs w:val="28"/>
        </w:rPr>
        <w:t>/</w:t>
      </w:r>
      <w:r>
        <w:rPr>
          <w:rFonts w:hint="eastAsia" w:ascii="宋体" w:hAnsi="宋体" w:eastAsia="宋体"/>
          <w:b/>
          <w:sz w:val="28"/>
          <w:szCs w:val="28"/>
        </w:rPr>
        <w:t>工程方案比选</w:t>
      </w:r>
      <w:bookmarkEnd w:id="151"/>
    </w:p>
    <w:p>
      <w:pPr>
        <w:pStyle w:val="6"/>
        <w:tabs>
          <w:tab w:val="left" w:pos="-489"/>
        </w:tabs>
        <w:spacing w:beforeLines="0" w:afterLines="0"/>
        <w:ind w:left="0" w:firstLine="0"/>
        <w:rPr>
          <w:rFonts w:ascii="微软雅黑" w:hAnsi="微软雅黑"/>
        </w:rPr>
      </w:pPr>
      <w:r>
        <w:rPr>
          <w:rFonts w:ascii="微软雅黑" w:hAnsi="微软雅黑"/>
        </w:rPr>
        <w:t>物流</w:t>
      </w:r>
      <w:r>
        <w:rPr>
          <w:rFonts w:hint="eastAsia" w:ascii="微软雅黑" w:hAnsi="微软雅黑"/>
        </w:rPr>
        <w:t>现状及存在问题</w:t>
      </w:r>
    </w:p>
    <w:p>
      <w:pPr>
        <w:spacing w:line="360" w:lineRule="auto"/>
        <w:ind w:firstLine="480" w:firstLineChars="200"/>
        <w:jc w:val="left"/>
        <w:rPr>
          <w:sz w:val="24"/>
        </w:rPr>
      </w:pPr>
      <w:r>
        <w:rPr>
          <w:sz w:val="24"/>
        </w:rPr>
        <w:t>宜昌市物流企业大多为小型物流公司甚至个体工商户，物流设施设备不齐全，仓库、堆场的拥有率偏低，物流服务功能单一，以运输业务为主，且企业拥有的运输车辆多为挂靠形式，自有车辆较少，没有专门的停车场；物流作业技术水平普遍偏低，物流从业人员业务水平及管理水平有限，作业不规范。</w:t>
      </w:r>
    </w:p>
    <w:p>
      <w:pPr>
        <w:spacing w:line="360" w:lineRule="auto"/>
        <w:ind w:firstLine="480" w:firstLineChars="200"/>
        <w:jc w:val="left"/>
        <w:rPr>
          <w:sz w:val="24"/>
        </w:rPr>
      </w:pPr>
      <w:r>
        <w:rPr>
          <w:sz w:val="24"/>
        </w:rPr>
        <w:t>宜昌市多数物流节点虽然具备了运输、装卸、仓储配送和信息服务等功能，但与物流发展的市场需求相比，仍然存在着专业化程度不高、设施装备配套性差、综合服务能力不强、信息联通不畅等问题，多式联运和甩挂作业、冷链物流服务、信息管理、流程优化、一站式服务等功能亟待完善和提高。</w:t>
      </w:r>
    </w:p>
    <w:p>
      <w:pPr>
        <w:pStyle w:val="4"/>
        <w:spacing w:line="360" w:lineRule="auto"/>
        <w:ind w:firstLine="480"/>
      </w:pPr>
      <w:r>
        <w:rPr>
          <w:rFonts w:hint="eastAsia"/>
          <w:bCs/>
          <w:sz w:val="24"/>
        </w:rPr>
        <w:t>工业区现状主要为村镇建设用地，随着宜昌市三峡物流园项目的实施，将彻底改变拟建区域现有土地利用格局，物流产业将快速发展，这将对物流园及白洋工业园区自身和宜昌整体经济发展带来深远的影响，对于解决区域现存物流问题充分发挥宜昌港得天独厚的优势具有十分重要的意义。如果不实施本项目对于本地区经济发展不利，同时也不利于宜昌港现状问题解决，更不利于宜昌物流的快速发展。当然，项目的建设会对当前项目区域内的生态环境产生一些影响，比如土地利用格局改变，增加该区域水体事故风险等。</w:t>
      </w:r>
    </w:p>
    <w:p>
      <w:pPr>
        <w:pStyle w:val="5"/>
        <w:tabs>
          <w:tab w:val="left" w:pos="900"/>
          <w:tab w:val="left" w:pos="1210"/>
        </w:tabs>
        <w:ind w:left="843" w:hanging="843" w:hangingChars="300"/>
        <w:rPr>
          <w:rFonts w:ascii="宋体" w:hAnsi="宋体" w:eastAsia="宋体"/>
          <w:b/>
          <w:sz w:val="28"/>
          <w:szCs w:val="28"/>
        </w:rPr>
      </w:pPr>
      <w:bookmarkStart w:id="152" w:name="_Toc442195710"/>
      <w:r>
        <w:rPr>
          <w:rFonts w:hint="eastAsia" w:ascii="宋体" w:hAnsi="宋体" w:eastAsia="宋体"/>
          <w:b/>
          <w:sz w:val="28"/>
          <w:szCs w:val="28"/>
        </w:rPr>
        <w:t>白洋物流园总体布局</w:t>
      </w:r>
      <w:bookmarkEnd w:id="152"/>
    </w:p>
    <w:p>
      <w:pPr>
        <w:spacing w:line="360" w:lineRule="auto"/>
        <w:ind w:firstLine="480" w:firstLineChars="200"/>
        <w:rPr>
          <w:sz w:val="24"/>
        </w:rPr>
      </w:pPr>
      <w:r>
        <w:rPr>
          <w:rFonts w:hint="eastAsia"/>
          <w:sz w:val="24"/>
        </w:rPr>
        <w:t>白洋物流园现有两方案平面布置见图4.1-1、4.1-2。</w:t>
      </w:r>
    </w:p>
    <w:p>
      <w:pPr>
        <w:snapToGrid w:val="0"/>
        <w:spacing w:line="360" w:lineRule="auto"/>
        <w:jc w:val="center"/>
        <w:rPr>
          <w:rFonts w:asciiTheme="minorEastAsia" w:hAnsiTheme="minorEastAsia" w:eastAsiaTheme="minorEastAsia"/>
          <w:color w:val="000000"/>
        </w:rPr>
      </w:pPr>
      <w:r>
        <w:rPr>
          <w:rFonts w:hint="eastAsia" w:asciiTheme="minorEastAsia" w:hAnsiTheme="minorEastAsia" w:eastAsiaTheme="minorEastAsia"/>
          <w:color w:val="000000"/>
        </w:rPr>
        <w:drawing>
          <wp:inline distT="0" distB="0" distL="0" distR="0">
            <wp:extent cx="5743575" cy="2550795"/>
            <wp:effectExtent l="0" t="0" r="0" b="1905"/>
            <wp:docPr id="88" name="图片 27" descr="说明: C:\Users\Administrator\Desktop\宜昌2015.11.20\白洋物流园区总体布局图--修改-11.24选中方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7" descr="说明: C:\Users\Administrator\Desktop\宜昌2015.11.20\白洋物流园区总体布局图--修改-11.24选中方案.jpg"/>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5747354" cy="2552908"/>
                    </a:xfrm>
                    <a:prstGeom prst="rect">
                      <a:avLst/>
                    </a:prstGeom>
                    <a:noFill/>
                    <a:ln>
                      <a:noFill/>
                    </a:ln>
                  </pic:spPr>
                </pic:pic>
              </a:graphicData>
            </a:graphic>
          </wp:inline>
        </w:drawing>
      </w:r>
    </w:p>
    <w:p>
      <w:pPr>
        <w:pStyle w:val="452"/>
      </w:pPr>
      <w:bookmarkStart w:id="153" w:name="_Ref437810073"/>
      <w:r>
        <w:rPr>
          <w:rFonts w:hint="eastAsia"/>
        </w:rPr>
        <w:t>图4.1-1白洋物流园区总体布局图一方案</w:t>
      </w:r>
      <w:bookmarkEnd w:id="153"/>
    </w:p>
    <w:p>
      <w:pPr>
        <w:snapToGrid w:val="0"/>
        <w:spacing w:line="360" w:lineRule="auto"/>
        <w:jc w:val="center"/>
        <w:rPr>
          <w:rFonts w:asciiTheme="minorEastAsia" w:hAnsiTheme="minorEastAsia" w:eastAsiaTheme="minorEastAsia"/>
          <w:color w:val="000000"/>
        </w:rPr>
      </w:pPr>
      <w:r>
        <w:rPr>
          <w:rFonts w:hint="eastAsia" w:asciiTheme="minorEastAsia" w:hAnsiTheme="minorEastAsia" w:eastAsiaTheme="minorEastAsia"/>
          <w:color w:val="000000"/>
        </w:rPr>
        <w:drawing>
          <wp:inline distT="0" distB="0" distL="0" distR="0">
            <wp:extent cx="5857875" cy="2451100"/>
            <wp:effectExtent l="0" t="0" r="0" b="6350"/>
            <wp:docPr id="87" name="图片 28" descr="说明: C:\Users\Administrator\Desktop\宜昌2015.11.20\白洋物流园区总体布局图--修改-11.24未选中方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descr="说明: C:\Users\Administrator\Desktop\宜昌2015.11.20\白洋物流园区总体布局图--修改-11.24未选中方案.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866173" cy="2454988"/>
                    </a:xfrm>
                    <a:prstGeom prst="rect">
                      <a:avLst/>
                    </a:prstGeom>
                    <a:noFill/>
                    <a:ln>
                      <a:noFill/>
                    </a:ln>
                  </pic:spPr>
                </pic:pic>
              </a:graphicData>
            </a:graphic>
          </wp:inline>
        </w:drawing>
      </w:r>
    </w:p>
    <w:p>
      <w:pPr>
        <w:pStyle w:val="452"/>
      </w:pPr>
      <w:bookmarkStart w:id="154" w:name="_Ref437810085"/>
      <w:r>
        <w:rPr>
          <w:rFonts w:hint="eastAsia"/>
          <w:highlight w:val="lightGray"/>
        </w:rPr>
        <w:t>图4.1-2</w:t>
      </w:r>
      <w:r>
        <w:rPr>
          <w:rFonts w:hint="eastAsia"/>
        </w:rPr>
        <w:t>白洋物流园区总体布局图二方案</w:t>
      </w:r>
      <w:bookmarkEnd w:id="154"/>
    </w:p>
    <w:p>
      <w:pPr>
        <w:spacing w:line="360" w:lineRule="auto"/>
        <w:ind w:firstLine="480" w:firstLineChars="200"/>
        <w:rPr>
          <w:sz w:val="24"/>
        </w:rPr>
      </w:pPr>
      <w:r>
        <w:rPr>
          <w:rFonts w:hint="eastAsia"/>
          <w:sz w:val="24"/>
        </w:rPr>
        <w:t>方案一与方案二在占地面积、周边环境的方面一致，在声环境、水环境及生态环境方面影响类似，其区别主要在大气环境及社会环境方面。见表4.1-1。</w:t>
      </w:r>
    </w:p>
    <w:p>
      <w:pPr>
        <w:pStyle w:val="4"/>
        <w:ind w:firstLine="422"/>
        <w:jc w:val="center"/>
        <w:rPr>
          <w:b/>
        </w:rPr>
      </w:pPr>
      <w:r>
        <w:rPr>
          <w:b/>
        </w:rPr>
        <w:t>表</w:t>
      </w:r>
      <w:r>
        <w:rPr>
          <w:rFonts w:hint="eastAsia"/>
          <w:b/>
        </w:rPr>
        <w:t>4</w:t>
      </w:r>
      <w:r>
        <w:rPr>
          <w:b/>
        </w:rPr>
        <w:t>.1-</w:t>
      </w:r>
      <w:r>
        <w:rPr>
          <w:rFonts w:hint="eastAsia"/>
          <w:b/>
        </w:rPr>
        <w:t>1</w:t>
      </w:r>
      <w:r>
        <w:rPr>
          <w:b/>
        </w:rPr>
        <w:t>规划方案环境影响方案比选</w:t>
      </w:r>
    </w:p>
    <w:tbl>
      <w:tblPr>
        <w:tblStyle w:val="104"/>
        <w:tblW w:w="8671" w:type="dxa"/>
        <w:jc w:val="center"/>
        <w:tblInd w:w="5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643"/>
        <w:gridCol w:w="3118"/>
        <w:gridCol w:w="3333"/>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1" w:hRule="atLeast"/>
          <w:tblHeader/>
          <w:jc w:val="center"/>
        </w:trPr>
        <w:tc>
          <w:tcPr>
            <w:tcW w:w="1210" w:type="dxa"/>
            <w:gridSpan w:val="2"/>
            <w:vAlign w:val="center"/>
          </w:tcPr>
          <w:p>
            <w:pPr>
              <w:jc w:val="center"/>
              <w:rPr>
                <w:szCs w:val="21"/>
              </w:rPr>
            </w:pPr>
            <w:r>
              <w:rPr>
                <w:szCs w:val="21"/>
              </w:rPr>
              <w:t>比较指标</w:t>
            </w:r>
          </w:p>
        </w:tc>
        <w:tc>
          <w:tcPr>
            <w:tcW w:w="3118" w:type="dxa"/>
            <w:vAlign w:val="center"/>
          </w:tcPr>
          <w:p>
            <w:pPr>
              <w:jc w:val="center"/>
              <w:rPr>
                <w:b/>
                <w:szCs w:val="21"/>
              </w:rPr>
            </w:pPr>
            <w:r>
              <w:rPr>
                <w:rFonts w:hint="eastAsia"/>
                <w:b/>
                <w:position w:val="2"/>
                <w:szCs w:val="21"/>
              </w:rPr>
              <w:t>方案一</w:t>
            </w:r>
          </w:p>
        </w:tc>
        <w:tc>
          <w:tcPr>
            <w:tcW w:w="3333" w:type="dxa"/>
            <w:vAlign w:val="center"/>
          </w:tcPr>
          <w:p>
            <w:pPr>
              <w:jc w:val="center"/>
              <w:rPr>
                <w:b/>
                <w:szCs w:val="21"/>
              </w:rPr>
            </w:pPr>
            <w:r>
              <w:rPr>
                <w:rFonts w:hint="eastAsia"/>
                <w:b/>
                <w:position w:val="2"/>
                <w:szCs w:val="21"/>
              </w:rPr>
              <w:t>方案二</w:t>
            </w:r>
          </w:p>
        </w:tc>
        <w:tc>
          <w:tcPr>
            <w:tcW w:w="1010" w:type="dxa"/>
            <w:vAlign w:val="center"/>
          </w:tcPr>
          <w:p>
            <w:pPr>
              <w:jc w:val="center"/>
              <w:rPr>
                <w:b/>
                <w:szCs w:val="21"/>
              </w:rPr>
            </w:pPr>
            <w:r>
              <w:rPr>
                <w:rFonts w:hint="eastAsia"/>
                <w:b/>
                <w:szCs w:val="21"/>
              </w:rPr>
              <w:t>推荐</w:t>
            </w:r>
          </w:p>
          <w:p>
            <w:pPr>
              <w:jc w:val="center"/>
              <w:rPr>
                <w:szCs w:val="21"/>
              </w:rPr>
            </w:pPr>
            <w:r>
              <w:rPr>
                <w:rFonts w:hint="eastAsia"/>
                <w:b/>
                <w:szCs w:val="21"/>
              </w:rPr>
              <w:t>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2" w:hRule="atLeast"/>
          <w:jc w:val="center"/>
        </w:trPr>
        <w:tc>
          <w:tcPr>
            <w:tcW w:w="567" w:type="dxa"/>
            <w:vMerge w:val="restart"/>
            <w:vAlign w:val="center"/>
          </w:tcPr>
          <w:p>
            <w:pPr>
              <w:jc w:val="center"/>
              <w:rPr>
                <w:szCs w:val="21"/>
              </w:rPr>
            </w:pPr>
            <w:r>
              <w:rPr>
                <w:szCs w:val="21"/>
              </w:rPr>
              <w:t>环</w:t>
            </w:r>
          </w:p>
          <w:p>
            <w:pPr>
              <w:jc w:val="center"/>
              <w:rPr>
                <w:szCs w:val="21"/>
              </w:rPr>
            </w:pPr>
            <w:r>
              <w:rPr>
                <w:szCs w:val="21"/>
              </w:rPr>
              <w:t>境</w:t>
            </w:r>
          </w:p>
          <w:p>
            <w:pPr>
              <w:jc w:val="center"/>
              <w:rPr>
                <w:szCs w:val="21"/>
              </w:rPr>
            </w:pPr>
            <w:r>
              <w:rPr>
                <w:szCs w:val="21"/>
              </w:rPr>
              <w:t>要</w:t>
            </w:r>
          </w:p>
          <w:p>
            <w:pPr>
              <w:jc w:val="center"/>
              <w:rPr>
                <w:szCs w:val="21"/>
              </w:rPr>
            </w:pPr>
            <w:r>
              <w:rPr>
                <w:szCs w:val="21"/>
              </w:rPr>
              <w:t>素</w:t>
            </w:r>
          </w:p>
        </w:tc>
        <w:tc>
          <w:tcPr>
            <w:tcW w:w="643" w:type="dxa"/>
            <w:vAlign w:val="center"/>
          </w:tcPr>
          <w:p>
            <w:pPr>
              <w:jc w:val="center"/>
              <w:rPr>
                <w:szCs w:val="21"/>
              </w:rPr>
            </w:pPr>
            <w:r>
              <w:rPr>
                <w:rFonts w:hint="eastAsia"/>
                <w:szCs w:val="21"/>
              </w:rPr>
              <w:t>大气环境</w:t>
            </w:r>
          </w:p>
        </w:tc>
        <w:tc>
          <w:tcPr>
            <w:tcW w:w="3118" w:type="dxa"/>
            <w:vAlign w:val="center"/>
          </w:tcPr>
          <w:p>
            <w:pPr>
              <w:rPr>
                <w:szCs w:val="21"/>
              </w:rPr>
            </w:pPr>
            <w:r>
              <w:rPr>
                <w:rFonts w:hint="eastAsia"/>
                <w:szCs w:val="21"/>
              </w:rPr>
              <w:t>商贸物流区和中转物流区内部布局较好，能有效减少中转机械及运输车辆行驶距离，机械尾气排放量相对较少</w:t>
            </w:r>
          </w:p>
        </w:tc>
        <w:tc>
          <w:tcPr>
            <w:tcW w:w="3333" w:type="dxa"/>
            <w:vAlign w:val="center"/>
          </w:tcPr>
          <w:p>
            <w:pPr>
              <w:rPr>
                <w:szCs w:val="21"/>
              </w:rPr>
            </w:pPr>
            <w:r>
              <w:rPr>
                <w:rFonts w:hint="eastAsia"/>
                <w:szCs w:val="21"/>
              </w:rPr>
              <w:t>集装箱区的货物到达后进行拆箱、换装、拼箱等作业，进入仓储区作业距离长，增加运输机械燃油量</w:t>
            </w:r>
          </w:p>
        </w:tc>
        <w:tc>
          <w:tcPr>
            <w:tcW w:w="1010" w:type="dxa"/>
            <w:vAlign w:val="center"/>
          </w:tcPr>
          <w:p>
            <w:pPr>
              <w:jc w:val="center"/>
              <w:rPr>
                <w:szCs w:val="21"/>
              </w:rPr>
            </w:pPr>
            <w:r>
              <w:rPr>
                <w:rFonts w:hint="eastAsia"/>
                <w:position w:val="2"/>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4" w:hRule="atLeast"/>
          <w:jc w:val="center"/>
        </w:trPr>
        <w:tc>
          <w:tcPr>
            <w:tcW w:w="567" w:type="dxa"/>
            <w:vMerge w:val="continue"/>
            <w:vAlign w:val="center"/>
          </w:tcPr>
          <w:p>
            <w:pPr>
              <w:jc w:val="center"/>
              <w:rPr>
                <w:szCs w:val="21"/>
              </w:rPr>
            </w:pPr>
          </w:p>
        </w:tc>
        <w:tc>
          <w:tcPr>
            <w:tcW w:w="643" w:type="dxa"/>
            <w:vAlign w:val="center"/>
          </w:tcPr>
          <w:p>
            <w:pPr>
              <w:jc w:val="center"/>
              <w:rPr>
                <w:szCs w:val="21"/>
              </w:rPr>
            </w:pPr>
            <w:r>
              <w:rPr>
                <w:szCs w:val="21"/>
              </w:rPr>
              <w:t>社会环境</w:t>
            </w:r>
          </w:p>
        </w:tc>
        <w:tc>
          <w:tcPr>
            <w:tcW w:w="3118" w:type="dxa"/>
            <w:vAlign w:val="center"/>
          </w:tcPr>
          <w:p>
            <w:pPr>
              <w:rPr>
                <w:szCs w:val="21"/>
              </w:rPr>
            </w:pPr>
            <w:r>
              <w:rPr>
                <w:rFonts w:hint="eastAsia"/>
                <w:szCs w:val="21"/>
              </w:rPr>
              <w:t>松岗二路设有3个出入口，停车场靠近展示交易区，更利于货流的组织与优化，对松岗二路交通干扰较小，从社会角度分析有利于节约资源、能源，提高区域内企业竞争力</w:t>
            </w:r>
          </w:p>
        </w:tc>
        <w:tc>
          <w:tcPr>
            <w:tcW w:w="3333" w:type="dxa"/>
            <w:vAlign w:val="center"/>
          </w:tcPr>
          <w:p>
            <w:pPr>
              <w:rPr>
                <w:szCs w:val="21"/>
              </w:rPr>
            </w:pPr>
            <w:r>
              <w:rPr>
                <w:rFonts w:hint="eastAsia"/>
                <w:szCs w:val="21"/>
              </w:rPr>
              <w:t>货流布局对松岗二路的交通干扰相对较大</w:t>
            </w:r>
            <w:r>
              <w:rPr>
                <w:szCs w:val="21"/>
              </w:rPr>
              <w:t>，</w:t>
            </w:r>
            <w:r>
              <w:rPr>
                <w:rFonts w:hint="eastAsia"/>
                <w:szCs w:val="21"/>
              </w:rPr>
              <w:t>不</w:t>
            </w:r>
            <w:r>
              <w:rPr>
                <w:szCs w:val="21"/>
              </w:rPr>
              <w:t>利于出行和</w:t>
            </w:r>
            <w:r>
              <w:rPr>
                <w:rFonts w:hint="eastAsia"/>
                <w:szCs w:val="21"/>
              </w:rPr>
              <w:t>企业</w:t>
            </w:r>
            <w:r>
              <w:rPr>
                <w:szCs w:val="21"/>
              </w:rPr>
              <w:t>经济发展。</w:t>
            </w:r>
          </w:p>
        </w:tc>
        <w:tc>
          <w:tcPr>
            <w:tcW w:w="1010" w:type="dxa"/>
            <w:vAlign w:val="center"/>
          </w:tcPr>
          <w:p>
            <w:pPr>
              <w:jc w:val="center"/>
              <w:rPr>
                <w:szCs w:val="21"/>
              </w:rPr>
            </w:pPr>
            <w:r>
              <w:rPr>
                <w:rFonts w:hint="eastAsia"/>
                <w:position w:val="2"/>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4" w:hRule="atLeast"/>
          <w:jc w:val="center"/>
        </w:trPr>
        <w:tc>
          <w:tcPr>
            <w:tcW w:w="7661" w:type="dxa"/>
            <w:gridSpan w:val="4"/>
            <w:vAlign w:val="center"/>
          </w:tcPr>
          <w:p>
            <w:pPr>
              <w:jc w:val="center"/>
              <w:rPr>
                <w:b/>
                <w:szCs w:val="21"/>
              </w:rPr>
            </w:pPr>
            <w:r>
              <w:rPr>
                <w:b/>
                <w:szCs w:val="21"/>
              </w:rPr>
              <w:t>综合推荐</w:t>
            </w:r>
          </w:p>
        </w:tc>
        <w:tc>
          <w:tcPr>
            <w:tcW w:w="1010" w:type="dxa"/>
            <w:vAlign w:val="center"/>
          </w:tcPr>
          <w:p>
            <w:pPr>
              <w:jc w:val="center"/>
              <w:rPr>
                <w:b/>
                <w:szCs w:val="21"/>
              </w:rPr>
            </w:pPr>
            <w:r>
              <w:rPr>
                <w:rFonts w:hint="eastAsia"/>
                <w:b/>
                <w:szCs w:val="21"/>
              </w:rPr>
              <w:t>方案一</w:t>
            </w:r>
          </w:p>
        </w:tc>
      </w:tr>
    </w:tbl>
    <w:p>
      <w:pPr>
        <w:spacing w:before="156" w:beforeLines="50" w:line="360" w:lineRule="auto"/>
        <w:ind w:firstLine="480" w:firstLineChars="200"/>
        <w:jc w:val="left"/>
        <w:rPr>
          <w:sz w:val="24"/>
        </w:rPr>
      </w:pPr>
      <w:r>
        <w:rPr>
          <w:rFonts w:hint="eastAsia"/>
          <w:sz w:val="24"/>
        </w:rPr>
        <w:t>方案一各功能分区布局合理，有效减少内部物流运转距离，从长远考虑，有利于节约资源、能源，减轻物流园运营期环境影响，因此，从环境角度来看，方案一更为合理。</w:t>
      </w:r>
    </w:p>
    <w:p>
      <w:pPr>
        <w:pStyle w:val="5"/>
        <w:tabs>
          <w:tab w:val="left" w:pos="900"/>
          <w:tab w:val="left" w:pos="1210"/>
        </w:tabs>
        <w:ind w:left="843" w:hanging="843" w:hangingChars="300"/>
        <w:rPr>
          <w:rFonts w:ascii="宋体" w:hAnsi="宋体" w:eastAsia="宋体"/>
          <w:b/>
          <w:sz w:val="28"/>
          <w:szCs w:val="28"/>
        </w:rPr>
      </w:pPr>
      <w:bookmarkStart w:id="155" w:name="_Toc442195711"/>
      <w:r>
        <w:rPr>
          <w:rFonts w:hint="eastAsia" w:ascii="宋体" w:hAnsi="宋体" w:eastAsia="宋体"/>
          <w:b/>
          <w:sz w:val="28"/>
          <w:szCs w:val="28"/>
        </w:rPr>
        <w:t>白洋港口区总平面布置</w:t>
      </w:r>
      <w:bookmarkEnd w:id="155"/>
    </w:p>
    <w:p>
      <w:pPr>
        <w:spacing w:line="360" w:lineRule="auto"/>
        <w:jc w:val="center"/>
        <w:rPr>
          <w:rFonts w:asciiTheme="minorEastAsia" w:hAnsiTheme="minorEastAsia" w:eastAsiaTheme="minorEastAsia"/>
          <w:color w:val="000000"/>
        </w:rPr>
      </w:pPr>
      <w:r>
        <w:rPr>
          <w:rFonts w:asciiTheme="minorEastAsia" w:hAnsiTheme="minorEastAsia" w:eastAsiaTheme="minorEastAsia"/>
          <w:color w:val="000000"/>
        </w:rPr>
        <w:drawing>
          <wp:inline distT="0" distB="0" distL="0" distR="0">
            <wp:extent cx="5291455" cy="2962275"/>
            <wp:effectExtent l="0" t="0" r="4445" b="0"/>
            <wp:docPr id="2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4"/>
                    <pic:cNvPicPr>
                      <a:picLocks noChangeAspect="1" noChangeArrowheads="1"/>
                    </pic:cNvPicPr>
                  </pic:nvPicPr>
                  <pic:blipFill>
                    <a:blip r:embed="rId36"/>
                    <a:srcRect/>
                    <a:stretch>
                      <a:fillRect/>
                    </a:stretch>
                  </pic:blipFill>
                  <pic:spPr>
                    <a:xfrm>
                      <a:off x="0" y="0"/>
                      <a:ext cx="5291734" cy="2962275"/>
                    </a:xfrm>
                    <a:prstGeom prst="rect">
                      <a:avLst/>
                    </a:prstGeom>
                    <a:noFill/>
                    <a:ln w="9525">
                      <a:noFill/>
                      <a:miter lim="800000"/>
                      <a:headEnd/>
                      <a:tailEnd/>
                    </a:ln>
                  </pic:spPr>
                </pic:pic>
              </a:graphicData>
            </a:graphic>
          </wp:inline>
        </w:drawing>
      </w:r>
    </w:p>
    <w:p>
      <w:pPr>
        <w:pStyle w:val="452"/>
      </w:pPr>
      <w:r>
        <w:rPr>
          <w:rFonts w:hint="eastAsia"/>
        </w:rPr>
        <w:t>图4.1-3 7～11号泊位平面</w:t>
      </w:r>
      <w:r>
        <w:t>布置图</w:t>
      </w:r>
      <w:r>
        <w:rPr>
          <w:rFonts w:hint="eastAsia"/>
        </w:rPr>
        <w:t>（一方案）</w:t>
      </w:r>
    </w:p>
    <w:p>
      <w:pPr>
        <w:spacing w:line="360" w:lineRule="auto"/>
        <w:jc w:val="center"/>
        <w:rPr>
          <w:rFonts w:asciiTheme="minorEastAsia" w:hAnsiTheme="minorEastAsia" w:eastAsiaTheme="minorEastAsia"/>
          <w:color w:val="000000"/>
        </w:rPr>
      </w:pPr>
      <w:r>
        <w:rPr>
          <w:rFonts w:asciiTheme="minorEastAsia" w:hAnsiTheme="minorEastAsia" w:eastAsiaTheme="minorEastAsia"/>
          <w:color w:val="000000"/>
        </w:rPr>
        <w:drawing>
          <wp:inline distT="0" distB="0" distL="0" distR="0">
            <wp:extent cx="5450840" cy="2091055"/>
            <wp:effectExtent l="0" t="0" r="0" b="4445"/>
            <wp:docPr id="2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7"/>
                    <pic:cNvPicPr>
                      <a:picLocks noChangeAspect="1" noChangeArrowheads="1"/>
                    </pic:cNvPicPr>
                  </pic:nvPicPr>
                  <pic:blipFill>
                    <a:blip r:embed="rId37"/>
                    <a:srcRect/>
                    <a:stretch>
                      <a:fillRect/>
                    </a:stretch>
                  </pic:blipFill>
                  <pic:spPr>
                    <a:xfrm>
                      <a:off x="0" y="0"/>
                      <a:ext cx="5458767" cy="2094203"/>
                    </a:xfrm>
                    <a:prstGeom prst="rect">
                      <a:avLst/>
                    </a:prstGeom>
                    <a:noFill/>
                    <a:ln w="9525">
                      <a:noFill/>
                      <a:miter lim="800000"/>
                      <a:headEnd/>
                      <a:tailEnd/>
                    </a:ln>
                  </pic:spPr>
                </pic:pic>
              </a:graphicData>
            </a:graphic>
          </wp:inline>
        </w:drawing>
      </w:r>
    </w:p>
    <w:p>
      <w:pPr>
        <w:pStyle w:val="452"/>
      </w:pPr>
      <w:r>
        <w:rPr>
          <w:rFonts w:hint="eastAsia"/>
        </w:rPr>
        <w:t>图4.1-4  12～13号泊位平面</w:t>
      </w:r>
      <w:r>
        <w:t>布置图</w:t>
      </w:r>
      <w:r>
        <w:rPr>
          <w:rFonts w:hint="eastAsia"/>
        </w:rPr>
        <w:t>（一方案</w:t>
      </w:r>
      <w:r>
        <w:t>）</w:t>
      </w:r>
    </w:p>
    <w:p>
      <w:pPr>
        <w:spacing w:line="360" w:lineRule="auto"/>
        <w:ind w:firstLine="482" w:firstLineChars="200"/>
        <w:rPr>
          <w:sz w:val="24"/>
        </w:rPr>
      </w:pPr>
      <w:r>
        <w:rPr>
          <w:rFonts w:hint="eastAsia"/>
          <w:b/>
          <w:sz w:val="24"/>
        </w:rPr>
        <w:t>环境空气影响：</w:t>
      </w:r>
      <w:r>
        <w:rPr>
          <w:b/>
          <w:sz w:val="24"/>
        </w:rPr>
        <w:t>方案</w:t>
      </w:r>
      <w:r>
        <w:rPr>
          <w:rFonts w:hint="eastAsia"/>
          <w:b/>
          <w:sz w:val="24"/>
        </w:rPr>
        <w:t>一</w:t>
      </w:r>
      <w:r>
        <w:rPr>
          <w:rFonts w:hint="eastAsia"/>
          <w:sz w:val="24"/>
        </w:rPr>
        <w:t>较</w:t>
      </w:r>
      <w:r>
        <w:rPr>
          <w:b/>
          <w:sz w:val="24"/>
        </w:rPr>
        <w:t>方案</w:t>
      </w:r>
      <w:r>
        <w:rPr>
          <w:rFonts w:hint="eastAsia"/>
          <w:b/>
          <w:sz w:val="24"/>
        </w:rPr>
        <w:t>二</w:t>
      </w:r>
      <w:r>
        <w:rPr>
          <w:rFonts w:hint="eastAsia"/>
          <w:sz w:val="24"/>
        </w:rPr>
        <w:t>堆场港区内流动机械和车辆通行无阻，有利于生产调度，便于水平运输，燃油消耗量较小，废气排放量较少；</w:t>
      </w:r>
    </w:p>
    <w:p>
      <w:pPr>
        <w:spacing w:line="360" w:lineRule="auto"/>
        <w:ind w:firstLine="482" w:firstLineChars="200"/>
        <w:rPr>
          <w:sz w:val="24"/>
        </w:rPr>
      </w:pPr>
      <w:r>
        <w:rPr>
          <w:rFonts w:hint="eastAsia"/>
          <w:b/>
          <w:sz w:val="24"/>
        </w:rPr>
        <w:t>水环境影响</w:t>
      </w:r>
      <w:r>
        <w:rPr>
          <w:rFonts w:hint="eastAsia"/>
          <w:sz w:val="24"/>
        </w:rPr>
        <w:t>：方案二10～11号泊位水工结构采用浮码头形式，墩台施工采用钻孔灌注桩，施工期易对地下水造成影响且钻孔泥浆易对地表水体污染。</w:t>
      </w:r>
    </w:p>
    <w:p>
      <w:pPr>
        <w:spacing w:line="360" w:lineRule="auto"/>
        <w:ind w:firstLine="480" w:firstLineChars="200"/>
        <w:rPr>
          <w:sz w:val="24"/>
        </w:rPr>
      </w:pPr>
      <w:r>
        <w:rPr>
          <w:rFonts w:hint="eastAsia"/>
          <w:sz w:val="24"/>
        </w:rPr>
        <w:t>结合堆场布置及码头水工结构优劣性，从环境影响角度考虑，</w:t>
      </w:r>
      <w:r>
        <w:rPr>
          <w:sz w:val="24"/>
        </w:rPr>
        <w:t>本环评同意《可研》所推荐的总平布置</w:t>
      </w:r>
      <w:r>
        <w:rPr>
          <w:b/>
          <w:sz w:val="24"/>
        </w:rPr>
        <w:t>方案</w:t>
      </w:r>
      <w:r>
        <w:rPr>
          <w:rFonts w:hint="eastAsia"/>
          <w:b/>
          <w:sz w:val="24"/>
        </w:rPr>
        <w:t>一</w:t>
      </w:r>
      <w:r>
        <w:rPr>
          <w:sz w:val="24"/>
        </w:rPr>
        <w:t>。</w:t>
      </w:r>
    </w:p>
    <w:p>
      <w:pPr>
        <w:pStyle w:val="5"/>
        <w:tabs>
          <w:tab w:val="left" w:pos="900"/>
          <w:tab w:val="left" w:pos="1210"/>
        </w:tabs>
        <w:ind w:left="843" w:hanging="843" w:hangingChars="300"/>
        <w:rPr>
          <w:rFonts w:ascii="宋体" w:hAnsi="宋体" w:eastAsia="宋体"/>
          <w:b/>
          <w:sz w:val="28"/>
          <w:szCs w:val="28"/>
        </w:rPr>
      </w:pPr>
      <w:bookmarkStart w:id="156" w:name="_Toc442195712"/>
      <w:r>
        <w:rPr>
          <w:rFonts w:hint="eastAsia" w:ascii="宋体" w:hAnsi="宋体" w:eastAsia="宋体"/>
          <w:b/>
          <w:sz w:val="28"/>
          <w:szCs w:val="28"/>
        </w:rPr>
        <w:t>白洋港口作业区装卸工艺</w:t>
      </w:r>
      <w:bookmarkEnd w:id="156"/>
    </w:p>
    <w:p>
      <w:pPr>
        <w:spacing w:line="360" w:lineRule="auto"/>
        <w:ind w:firstLine="480" w:firstLineChars="200"/>
        <w:rPr>
          <w:sz w:val="24"/>
        </w:rPr>
      </w:pPr>
      <w:r>
        <w:rPr>
          <w:sz w:val="24"/>
        </w:rPr>
        <w:t>《可研》所设计的</w:t>
      </w:r>
      <w:r>
        <w:rPr>
          <w:rFonts w:hint="eastAsia"/>
          <w:sz w:val="24"/>
        </w:rPr>
        <w:t>两个装卸工艺主要区别在于12～13号泊位装卸设备、7号泊位后方钢铁件杂堆场装卸设备不同。</w:t>
      </w:r>
    </w:p>
    <w:p>
      <w:pPr>
        <w:spacing w:line="360" w:lineRule="auto"/>
        <w:ind w:firstLine="482" w:firstLineChars="200"/>
        <w:rPr>
          <w:sz w:val="24"/>
        </w:rPr>
      </w:pPr>
      <w:r>
        <w:rPr>
          <w:rFonts w:hint="eastAsia"/>
          <w:b/>
          <w:sz w:val="24"/>
        </w:rPr>
        <w:t>噪声影响</w:t>
      </w:r>
      <w:r>
        <w:rPr>
          <w:rFonts w:hint="eastAsia"/>
          <w:sz w:val="24"/>
        </w:rPr>
        <w:t>：方案一、二所用装卸船设备以使用电能为主，能源清洁，其作业对环境噪声影响相似。</w:t>
      </w:r>
    </w:p>
    <w:p>
      <w:pPr>
        <w:spacing w:line="360" w:lineRule="auto"/>
        <w:ind w:firstLine="482" w:firstLineChars="200"/>
        <w:rPr>
          <w:sz w:val="24"/>
        </w:rPr>
      </w:pPr>
      <w:r>
        <w:rPr>
          <w:rFonts w:hint="eastAsia"/>
          <w:b/>
          <w:sz w:val="24"/>
        </w:rPr>
        <w:t>环境空气影响</w:t>
      </w:r>
      <w:r>
        <w:rPr>
          <w:rFonts w:hint="eastAsia"/>
          <w:sz w:val="24"/>
        </w:rPr>
        <w:t>：方案二钢铁件杂堆场堆取设备均采用轮胎起重机作业，由此产生的燃油机械尾气较方案一高。方案一散货堆场较方案二少</w:t>
      </w:r>
      <w:r>
        <w:rPr>
          <w:sz w:val="24"/>
        </w:rPr>
        <w:t>10752</w:t>
      </w:r>
      <w:r>
        <w:rPr>
          <w:rFonts w:hint="eastAsia"/>
          <w:sz w:val="24"/>
        </w:rPr>
        <w:t>m</w:t>
      </w:r>
      <w:r>
        <w:rPr>
          <w:rFonts w:hint="eastAsia"/>
          <w:sz w:val="24"/>
          <w:vertAlign w:val="superscript"/>
        </w:rPr>
        <w:t>2</w:t>
      </w:r>
      <w:r>
        <w:rPr>
          <w:rFonts w:hint="eastAsia"/>
          <w:sz w:val="24"/>
        </w:rPr>
        <w:t>，运营期堆场起尘量较小。</w:t>
      </w:r>
    </w:p>
    <w:p>
      <w:pPr>
        <w:spacing w:line="360" w:lineRule="auto"/>
        <w:ind w:firstLine="482" w:firstLineChars="200"/>
        <w:rPr>
          <w:b/>
          <w:sz w:val="24"/>
        </w:rPr>
      </w:pPr>
      <w:r>
        <w:rPr>
          <w:rFonts w:hint="eastAsia"/>
          <w:b/>
          <w:sz w:val="24"/>
        </w:rPr>
        <w:t>水环境影响：两者都会占用长江岸线，因而都存在泄漏风险，从环境角度来看，两者影响相当。</w:t>
      </w:r>
    </w:p>
    <w:p>
      <w:pPr>
        <w:spacing w:line="360" w:lineRule="auto"/>
        <w:ind w:firstLine="482" w:firstLineChars="200"/>
        <w:rPr>
          <w:b/>
          <w:sz w:val="24"/>
        </w:rPr>
      </w:pPr>
      <w:r>
        <w:rPr>
          <w:rFonts w:hint="eastAsia"/>
          <w:b/>
          <w:sz w:val="24"/>
        </w:rPr>
        <w:t>对中华鲟保护区的影响：两者均位于中华鲟保护区试验区之外，从法律角度，选址均符合要求，而距离保护区距离相当，因此两方案影响相当。</w:t>
      </w:r>
    </w:p>
    <w:p>
      <w:pPr>
        <w:spacing w:line="360" w:lineRule="auto"/>
        <w:ind w:firstLine="480" w:firstLineChars="200"/>
        <w:rPr>
          <w:sz w:val="24"/>
        </w:rPr>
      </w:pPr>
      <w:r>
        <w:rPr>
          <w:rFonts w:hint="eastAsia"/>
          <w:sz w:val="24"/>
        </w:rPr>
        <w:t>从环保角度推荐装卸工艺</w:t>
      </w:r>
      <w:r>
        <w:rPr>
          <w:rFonts w:hint="eastAsia"/>
          <w:b/>
          <w:sz w:val="24"/>
        </w:rPr>
        <w:t>方案一</w:t>
      </w:r>
      <w:r>
        <w:rPr>
          <w:rFonts w:hint="eastAsia"/>
          <w:sz w:val="24"/>
        </w:rPr>
        <w:t>。</w:t>
      </w:r>
    </w:p>
    <w:p>
      <w:pPr>
        <w:pStyle w:val="5"/>
        <w:tabs>
          <w:tab w:val="left" w:pos="900"/>
          <w:tab w:val="left" w:pos="1210"/>
        </w:tabs>
        <w:ind w:left="843" w:hanging="843" w:hangingChars="300"/>
        <w:rPr>
          <w:rFonts w:ascii="宋体" w:hAnsi="宋体" w:eastAsia="宋体"/>
          <w:b/>
          <w:sz w:val="28"/>
          <w:szCs w:val="28"/>
        </w:rPr>
      </w:pPr>
      <w:bookmarkStart w:id="157" w:name="_Toc442195713"/>
      <w:r>
        <w:rPr>
          <w:rFonts w:hint="eastAsia" w:ascii="宋体" w:hAnsi="宋体" w:eastAsia="宋体"/>
          <w:b/>
          <w:sz w:val="28"/>
          <w:szCs w:val="28"/>
        </w:rPr>
        <w:t>对外通道建设方案</w:t>
      </w:r>
      <w:bookmarkEnd w:id="157"/>
    </w:p>
    <w:p>
      <w:pPr>
        <w:spacing w:line="360" w:lineRule="auto"/>
        <w:ind w:firstLine="480" w:firstLineChars="200"/>
        <w:rPr>
          <w:sz w:val="24"/>
        </w:rPr>
      </w:pPr>
      <w:r>
        <w:rPr>
          <w:rFonts w:hint="eastAsia"/>
          <w:sz w:val="24"/>
        </w:rPr>
        <w:t>由于紫云铁路沙湾站与白洋港联系通道较少，为实现水铁联运，本次设计考虑两个方案。</w:t>
      </w:r>
      <w:r>
        <w:rPr>
          <w:rFonts w:hint="eastAsia"/>
          <w:b/>
          <w:sz w:val="24"/>
        </w:rPr>
        <w:t>方案一</w:t>
      </w:r>
      <w:r>
        <w:rPr>
          <w:rFonts w:hint="eastAsia"/>
          <w:sz w:val="24"/>
        </w:rPr>
        <w:t>：将沙湾路北段设置双向四车道上跨桥，上跨白洋大道，使得铁路编组站与白洋物流园相连；</w:t>
      </w:r>
      <w:r>
        <w:rPr>
          <w:rFonts w:hint="eastAsia"/>
          <w:b/>
          <w:sz w:val="24"/>
        </w:rPr>
        <w:t>方案二</w:t>
      </w:r>
      <w:r>
        <w:rPr>
          <w:rFonts w:hint="eastAsia"/>
          <w:sz w:val="24"/>
        </w:rPr>
        <w:t>：沙湾路北段设置双向两车道上跨桥并修建联系铁路编组站的疏港铁路。</w:t>
      </w:r>
    </w:p>
    <w:p>
      <w:pPr>
        <w:spacing w:line="360" w:lineRule="auto"/>
        <w:ind w:firstLine="480" w:firstLineChars="200"/>
        <w:rPr>
          <w:sz w:val="24"/>
        </w:rPr>
      </w:pPr>
      <w:r>
        <w:rPr>
          <w:rFonts w:hint="eastAsia"/>
          <w:sz w:val="24"/>
        </w:rPr>
        <w:t>方案比较见图4.1-5、4.1-6。</w:t>
      </w:r>
    </w:p>
    <w:p>
      <w:pPr>
        <w:spacing w:line="360" w:lineRule="auto"/>
        <w:ind w:firstLine="482" w:firstLineChars="200"/>
        <w:rPr>
          <w:b/>
          <w:sz w:val="24"/>
        </w:rPr>
      </w:pPr>
      <w:r>
        <w:rPr>
          <w:rFonts w:hint="eastAsia"/>
          <w:b/>
          <w:sz w:val="24"/>
        </w:rPr>
        <w:t>（1）方案一：沙湾路北段上跨方案</w:t>
      </w:r>
    </w:p>
    <w:p>
      <w:pPr>
        <w:spacing w:line="360" w:lineRule="auto"/>
        <w:ind w:firstLine="480" w:firstLineChars="200"/>
        <w:rPr>
          <w:sz w:val="24"/>
        </w:rPr>
      </w:pPr>
      <w:r>
        <w:rPr>
          <w:rFonts w:hint="eastAsia"/>
          <w:sz w:val="24"/>
        </w:rPr>
        <w:t>沙湾路上跨桥为南北走向，起于松岗二路北侧，向北上跨白洋大道，终点止于紫云铁路编组站东侧进场道路处，道路等级为城市次干路，道路全长675m。上跨桥为架空结构，桥面宽17m，双向四车道，桥梁段长280m。</w:t>
      </w:r>
    </w:p>
    <w:p>
      <w:pPr>
        <w:spacing w:line="360" w:lineRule="auto"/>
        <w:jc w:val="center"/>
        <w:rPr>
          <w:rFonts w:ascii="微软雅黑" w:hAnsi="微软雅黑"/>
        </w:rPr>
      </w:pPr>
      <w:r>
        <w:rPr>
          <w:rFonts w:ascii="微软雅黑" w:hAnsi="微软雅黑"/>
        </w:rPr>
        <w:drawing>
          <wp:inline distT="0" distB="0" distL="0" distR="0">
            <wp:extent cx="4076700" cy="255270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a:xfrm>
                      <a:off x="0" y="0"/>
                      <a:ext cx="4076700" cy="2552700"/>
                    </a:xfrm>
                    <a:prstGeom prst="rect">
                      <a:avLst/>
                    </a:prstGeom>
                    <a:noFill/>
                    <a:ln>
                      <a:noFill/>
                    </a:ln>
                  </pic:spPr>
                </pic:pic>
              </a:graphicData>
            </a:graphic>
          </wp:inline>
        </w:drawing>
      </w:r>
    </w:p>
    <w:p>
      <w:pPr>
        <w:pStyle w:val="452"/>
      </w:pPr>
      <w:r>
        <w:t>图</w:t>
      </w:r>
      <w:r>
        <w:rPr>
          <w:rFonts w:hint="eastAsia"/>
        </w:rPr>
        <w:t>4.1-5</w:t>
      </w:r>
      <w:r>
        <w:t xml:space="preserve"> 沙湾路上跨桥工程示意图</w:t>
      </w:r>
      <w:r>
        <w:rPr>
          <w:rFonts w:hint="eastAsia"/>
        </w:rPr>
        <w:t>（方案一）</w:t>
      </w:r>
    </w:p>
    <w:p>
      <w:pPr>
        <w:spacing w:line="360" w:lineRule="auto"/>
        <w:ind w:firstLine="482"/>
        <w:rPr>
          <w:rFonts w:ascii="微软雅黑" w:hAnsi="微软雅黑"/>
          <w:b/>
          <w:sz w:val="24"/>
        </w:rPr>
      </w:pPr>
      <w:r>
        <w:rPr>
          <w:rFonts w:hint="eastAsia" w:ascii="微软雅黑" w:hAnsi="微软雅黑"/>
          <w:b/>
          <w:sz w:val="24"/>
        </w:rPr>
        <w:t>（2）方案二：沙湾路北段上跨+铁路引线工程方案</w:t>
      </w:r>
    </w:p>
    <w:p>
      <w:pPr>
        <w:spacing w:line="360" w:lineRule="auto"/>
        <w:ind w:firstLine="482"/>
        <w:rPr>
          <w:sz w:val="24"/>
        </w:rPr>
      </w:pPr>
      <w:r>
        <w:rPr>
          <w:rFonts w:hint="eastAsia"/>
          <w:sz w:val="24"/>
        </w:rPr>
        <w:t>该方案为铁路与城市道路结合的形式。沙湾路上跨工程道路等级、平面线形、纵断面线型均与方案一相同，仅对上跨桥桥面宽度进行调整，桥面宽12m，双向两车道，桥梁段长280m；专用线拟从沙湾站接轨，定位为国铁Ⅳ级铁路，设计时速40km/h。根据线路技术参数、长度以及对周边用地影响，《可研》对铁路引线提供了东线、西线方案。</w:t>
      </w:r>
    </w:p>
    <w:p>
      <w:pPr>
        <w:pStyle w:val="452"/>
      </w:pPr>
      <w:r>
        <w:drawing>
          <wp:inline distT="0" distB="0" distL="0" distR="0">
            <wp:extent cx="4324350" cy="268605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a:xfrm>
                      <a:off x="0" y="0"/>
                      <a:ext cx="4324350" cy="2686050"/>
                    </a:xfrm>
                    <a:prstGeom prst="rect">
                      <a:avLst/>
                    </a:prstGeom>
                    <a:noFill/>
                    <a:ln>
                      <a:noFill/>
                    </a:ln>
                  </pic:spPr>
                </pic:pic>
              </a:graphicData>
            </a:graphic>
          </wp:inline>
        </w:drawing>
      </w:r>
    </w:p>
    <w:p>
      <w:pPr>
        <w:pStyle w:val="452"/>
      </w:pPr>
      <w:r>
        <w:t>图</w:t>
      </w:r>
      <w:r>
        <w:rPr>
          <w:rFonts w:hint="eastAsia"/>
        </w:rPr>
        <w:t>4.1-6</w:t>
      </w:r>
      <w:r>
        <w:t>疏港铁路引出线工程方案示意图</w:t>
      </w:r>
      <w:r>
        <w:rPr>
          <w:rFonts w:hint="eastAsia"/>
        </w:rPr>
        <w:t>（方案二）</w:t>
      </w:r>
    </w:p>
    <w:p>
      <w:pPr>
        <w:pStyle w:val="4"/>
        <w:ind w:firstLine="422"/>
        <w:jc w:val="center"/>
        <w:rPr>
          <w:b/>
        </w:rPr>
      </w:pPr>
    </w:p>
    <w:p>
      <w:pPr>
        <w:pStyle w:val="4"/>
        <w:ind w:firstLine="422"/>
        <w:jc w:val="center"/>
        <w:rPr>
          <w:b/>
        </w:rPr>
      </w:pPr>
      <w:r>
        <w:rPr>
          <w:rFonts w:hint="eastAsia"/>
          <w:b/>
        </w:rPr>
        <w:t>表4.1-2环境因素比选</w:t>
      </w:r>
    </w:p>
    <w:tbl>
      <w:tblPr>
        <w:tblStyle w:val="104"/>
        <w:tblW w:w="856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938"/>
        <w:gridCol w:w="3189"/>
        <w:gridCol w:w="2828"/>
        <w:gridCol w:w="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613" w:type="dxa"/>
            <w:gridSpan w:val="2"/>
            <w:vAlign w:val="center"/>
          </w:tcPr>
          <w:p>
            <w:pPr>
              <w:spacing w:line="240" w:lineRule="exact"/>
              <w:jc w:val="center"/>
              <w:rPr>
                <w:szCs w:val="21"/>
              </w:rPr>
            </w:pPr>
            <w:r>
              <w:rPr>
                <w:szCs w:val="21"/>
              </w:rPr>
              <w:t>环境因素</w:t>
            </w:r>
          </w:p>
        </w:tc>
        <w:tc>
          <w:tcPr>
            <w:tcW w:w="3189" w:type="dxa"/>
            <w:vAlign w:val="center"/>
          </w:tcPr>
          <w:p>
            <w:pPr>
              <w:pStyle w:val="1076"/>
              <w:spacing w:before="120" w:line="240" w:lineRule="exact"/>
              <w:rPr>
                <w:rFonts w:ascii="Times New Roman" w:hAnsi="Times New Roman" w:eastAsia="宋体"/>
              </w:rPr>
            </w:pPr>
            <w:r>
              <w:rPr>
                <w:rFonts w:hint="eastAsia" w:ascii="Times New Roman" w:hAnsi="Times New Roman" w:eastAsia="宋体"/>
              </w:rPr>
              <w:t>方案一</w:t>
            </w:r>
          </w:p>
          <w:p>
            <w:pPr>
              <w:spacing w:line="240" w:lineRule="exact"/>
              <w:jc w:val="center"/>
              <w:rPr>
                <w:b/>
                <w:szCs w:val="21"/>
              </w:rPr>
            </w:pPr>
            <w:r>
              <w:rPr>
                <w:szCs w:val="21"/>
              </w:rPr>
              <w:t>（</w:t>
            </w:r>
            <w:r>
              <w:rPr>
                <w:rFonts w:hint="eastAsia"/>
                <w:szCs w:val="21"/>
              </w:rPr>
              <w:t>沙湾路北段上跨</w:t>
            </w:r>
            <w:r>
              <w:rPr>
                <w:szCs w:val="21"/>
              </w:rPr>
              <w:t>）</w:t>
            </w:r>
          </w:p>
        </w:tc>
        <w:tc>
          <w:tcPr>
            <w:tcW w:w="2828" w:type="dxa"/>
            <w:vAlign w:val="center"/>
          </w:tcPr>
          <w:p>
            <w:pPr>
              <w:pStyle w:val="1076"/>
              <w:spacing w:before="120" w:line="240" w:lineRule="exact"/>
              <w:rPr>
                <w:rFonts w:ascii="Times New Roman" w:hAnsi="Times New Roman" w:eastAsia="宋体"/>
              </w:rPr>
            </w:pPr>
            <w:r>
              <w:rPr>
                <w:rFonts w:hint="eastAsia" w:ascii="Times New Roman" w:hAnsi="Times New Roman" w:eastAsia="宋体"/>
              </w:rPr>
              <w:t>方案二</w:t>
            </w:r>
          </w:p>
          <w:p>
            <w:pPr>
              <w:widowControl/>
              <w:spacing w:line="240" w:lineRule="exact"/>
              <w:jc w:val="center"/>
              <w:rPr>
                <w:b/>
                <w:szCs w:val="21"/>
              </w:rPr>
            </w:pPr>
            <w:r>
              <w:rPr>
                <w:szCs w:val="21"/>
              </w:rPr>
              <w:t>（</w:t>
            </w:r>
            <w:r>
              <w:rPr>
                <w:rFonts w:hint="eastAsia"/>
                <w:szCs w:val="21"/>
              </w:rPr>
              <w:t>沙湾路北段上跨+铁路引线</w:t>
            </w:r>
            <w:r>
              <w:rPr>
                <w:szCs w:val="21"/>
              </w:rPr>
              <w:t>）</w:t>
            </w:r>
          </w:p>
        </w:tc>
        <w:tc>
          <w:tcPr>
            <w:tcW w:w="931" w:type="dxa"/>
            <w:vAlign w:val="center"/>
          </w:tcPr>
          <w:p>
            <w:pPr>
              <w:spacing w:line="240" w:lineRule="exact"/>
              <w:jc w:val="center"/>
              <w:rPr>
                <w:szCs w:val="21"/>
              </w:rPr>
            </w:pPr>
            <w:r>
              <w:rPr>
                <w:szCs w:val="21"/>
              </w:rPr>
              <w:t>推荐</w:t>
            </w:r>
          </w:p>
          <w:p>
            <w:pPr>
              <w:spacing w:line="240" w:lineRule="exact"/>
              <w:jc w:val="center"/>
              <w:rPr>
                <w:szCs w:val="21"/>
              </w:rPr>
            </w:pPr>
            <w:r>
              <w:rPr>
                <w:szCs w:val="21"/>
              </w:rPr>
              <w:t>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75" w:type="dxa"/>
            <w:vMerge w:val="restart"/>
            <w:vAlign w:val="center"/>
          </w:tcPr>
          <w:p>
            <w:pPr>
              <w:spacing w:line="240" w:lineRule="exact"/>
              <w:jc w:val="center"/>
              <w:rPr>
                <w:szCs w:val="21"/>
              </w:rPr>
            </w:pPr>
            <w:r>
              <w:rPr>
                <w:szCs w:val="21"/>
              </w:rPr>
              <w:t>社会环境</w:t>
            </w:r>
          </w:p>
        </w:tc>
        <w:tc>
          <w:tcPr>
            <w:tcW w:w="938" w:type="dxa"/>
            <w:vAlign w:val="center"/>
          </w:tcPr>
          <w:p>
            <w:pPr>
              <w:spacing w:line="240" w:lineRule="exact"/>
              <w:jc w:val="center"/>
              <w:rPr>
                <w:szCs w:val="21"/>
              </w:rPr>
            </w:pPr>
            <w:r>
              <w:rPr>
                <w:szCs w:val="21"/>
              </w:rPr>
              <w:t>1．占地</w:t>
            </w:r>
          </w:p>
        </w:tc>
        <w:tc>
          <w:tcPr>
            <w:tcW w:w="6017" w:type="dxa"/>
            <w:gridSpan w:val="2"/>
            <w:vAlign w:val="center"/>
          </w:tcPr>
          <w:p>
            <w:pPr>
              <w:spacing w:line="240" w:lineRule="exact"/>
              <w:jc w:val="center"/>
              <w:rPr>
                <w:szCs w:val="21"/>
              </w:rPr>
            </w:pPr>
            <w:r>
              <w:rPr>
                <w:szCs w:val="21"/>
              </w:rPr>
              <w:t>方案</w:t>
            </w:r>
            <w:r>
              <w:rPr>
                <w:rFonts w:hint="eastAsia"/>
                <w:szCs w:val="21"/>
              </w:rPr>
              <w:t>二</w:t>
            </w:r>
            <w:r>
              <w:rPr>
                <w:szCs w:val="21"/>
              </w:rPr>
              <w:t>占地比方案</w:t>
            </w:r>
            <w:r>
              <w:rPr>
                <w:rFonts w:hint="eastAsia"/>
                <w:szCs w:val="21"/>
              </w:rPr>
              <w:t>一</w:t>
            </w:r>
            <w:r>
              <w:rPr>
                <w:szCs w:val="21"/>
              </w:rPr>
              <w:t>多，</w:t>
            </w:r>
            <w:r>
              <w:rPr>
                <w:rFonts w:hint="eastAsia"/>
                <w:szCs w:val="21"/>
              </w:rPr>
              <w:t>且对垭子山村</w:t>
            </w:r>
            <w:r>
              <w:rPr>
                <w:szCs w:val="21"/>
              </w:rPr>
              <w:t>农业生产的损失大；受影响户数相对多</w:t>
            </w:r>
          </w:p>
        </w:tc>
        <w:tc>
          <w:tcPr>
            <w:tcW w:w="931" w:type="dxa"/>
            <w:vAlign w:val="center"/>
          </w:tcPr>
          <w:p>
            <w:pPr>
              <w:spacing w:line="240" w:lineRule="exact"/>
              <w:jc w:val="center"/>
              <w:rPr>
                <w:szCs w:val="21"/>
              </w:rPr>
            </w:pPr>
            <w:r>
              <w:rPr>
                <w:rFonts w:hint="eastAsia"/>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75" w:type="dxa"/>
            <w:vMerge w:val="continue"/>
            <w:textDirection w:val="tbRlV"/>
            <w:vAlign w:val="center"/>
          </w:tcPr>
          <w:p>
            <w:pPr>
              <w:spacing w:line="240" w:lineRule="exact"/>
              <w:jc w:val="center"/>
              <w:rPr>
                <w:szCs w:val="21"/>
              </w:rPr>
            </w:pPr>
          </w:p>
        </w:tc>
        <w:tc>
          <w:tcPr>
            <w:tcW w:w="938" w:type="dxa"/>
            <w:vMerge w:val="restart"/>
            <w:vAlign w:val="center"/>
          </w:tcPr>
          <w:p>
            <w:pPr>
              <w:spacing w:line="240" w:lineRule="exact"/>
              <w:jc w:val="center"/>
              <w:rPr>
                <w:szCs w:val="21"/>
              </w:rPr>
            </w:pPr>
            <w:r>
              <w:rPr>
                <w:rFonts w:hint="eastAsia"/>
                <w:szCs w:val="21"/>
              </w:rPr>
              <w:t>2</w:t>
            </w:r>
            <w:r>
              <w:rPr>
                <w:szCs w:val="21"/>
              </w:rPr>
              <w:t>．拆迁</w:t>
            </w:r>
          </w:p>
        </w:tc>
        <w:tc>
          <w:tcPr>
            <w:tcW w:w="3189" w:type="dxa"/>
            <w:vAlign w:val="center"/>
          </w:tcPr>
          <w:p>
            <w:pPr>
              <w:spacing w:line="240" w:lineRule="exact"/>
              <w:jc w:val="center"/>
              <w:rPr>
                <w:szCs w:val="21"/>
              </w:rPr>
            </w:pPr>
            <w:r>
              <w:rPr>
                <w:szCs w:val="21"/>
              </w:rPr>
              <w:t>无拆迁</w:t>
            </w:r>
          </w:p>
        </w:tc>
        <w:tc>
          <w:tcPr>
            <w:tcW w:w="2828" w:type="dxa"/>
            <w:vAlign w:val="center"/>
          </w:tcPr>
          <w:p>
            <w:pPr>
              <w:spacing w:line="240" w:lineRule="exact"/>
              <w:jc w:val="center"/>
              <w:rPr>
                <w:szCs w:val="21"/>
              </w:rPr>
            </w:pPr>
            <w:r>
              <w:rPr>
                <w:rFonts w:hint="eastAsia"/>
                <w:szCs w:val="21"/>
              </w:rPr>
              <w:t>有</w:t>
            </w:r>
            <w:r>
              <w:rPr>
                <w:szCs w:val="21"/>
              </w:rPr>
              <w:t>拆迁</w:t>
            </w:r>
          </w:p>
        </w:tc>
        <w:tc>
          <w:tcPr>
            <w:tcW w:w="931" w:type="dxa"/>
            <w:vMerge w:val="restart"/>
            <w:vAlign w:val="center"/>
          </w:tcPr>
          <w:p>
            <w:pPr>
              <w:spacing w:line="240" w:lineRule="exact"/>
              <w:jc w:val="center"/>
              <w:rPr>
                <w:szCs w:val="21"/>
              </w:rPr>
            </w:pPr>
            <w:r>
              <w:rPr>
                <w:rFonts w:hint="eastAsia"/>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75" w:type="dxa"/>
            <w:vMerge w:val="continue"/>
            <w:textDirection w:val="tbRlV"/>
            <w:vAlign w:val="center"/>
          </w:tcPr>
          <w:p>
            <w:pPr>
              <w:spacing w:line="240" w:lineRule="exact"/>
              <w:jc w:val="center"/>
              <w:rPr>
                <w:szCs w:val="21"/>
              </w:rPr>
            </w:pPr>
          </w:p>
        </w:tc>
        <w:tc>
          <w:tcPr>
            <w:tcW w:w="938" w:type="dxa"/>
            <w:vMerge w:val="continue"/>
            <w:vAlign w:val="center"/>
          </w:tcPr>
          <w:p>
            <w:pPr>
              <w:spacing w:line="240" w:lineRule="exact"/>
              <w:jc w:val="center"/>
              <w:rPr>
                <w:szCs w:val="21"/>
              </w:rPr>
            </w:pPr>
          </w:p>
        </w:tc>
        <w:tc>
          <w:tcPr>
            <w:tcW w:w="6017" w:type="dxa"/>
            <w:gridSpan w:val="2"/>
            <w:vAlign w:val="center"/>
          </w:tcPr>
          <w:p>
            <w:pPr>
              <w:spacing w:line="240" w:lineRule="exact"/>
              <w:jc w:val="center"/>
              <w:rPr>
                <w:szCs w:val="21"/>
              </w:rPr>
            </w:pPr>
            <w:r>
              <w:rPr>
                <w:rFonts w:hint="eastAsia"/>
                <w:szCs w:val="21"/>
              </w:rPr>
              <w:t>方案一</w:t>
            </w:r>
            <w:r>
              <w:rPr>
                <w:szCs w:val="21"/>
              </w:rPr>
              <w:t>不涉及拆迁，无拆迁安置问题。</w:t>
            </w:r>
          </w:p>
        </w:tc>
        <w:tc>
          <w:tcPr>
            <w:tcW w:w="931" w:type="dxa"/>
            <w:vMerge w:val="continue"/>
            <w:vAlign w:val="center"/>
          </w:tcPr>
          <w:p>
            <w:pPr>
              <w:spacing w:line="240" w:lineRule="exact"/>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76" w:hRule="atLeast"/>
          <w:jc w:val="center"/>
        </w:trPr>
        <w:tc>
          <w:tcPr>
            <w:tcW w:w="675" w:type="dxa"/>
            <w:vMerge w:val="restart"/>
            <w:vAlign w:val="center"/>
          </w:tcPr>
          <w:p>
            <w:pPr>
              <w:spacing w:line="240" w:lineRule="exact"/>
              <w:jc w:val="center"/>
              <w:rPr>
                <w:szCs w:val="21"/>
              </w:rPr>
            </w:pPr>
            <w:r>
              <w:rPr>
                <w:szCs w:val="21"/>
              </w:rPr>
              <w:t>生态影响</w:t>
            </w:r>
          </w:p>
        </w:tc>
        <w:tc>
          <w:tcPr>
            <w:tcW w:w="938" w:type="dxa"/>
            <w:vAlign w:val="center"/>
          </w:tcPr>
          <w:p>
            <w:pPr>
              <w:spacing w:line="240" w:lineRule="exact"/>
              <w:jc w:val="center"/>
              <w:rPr>
                <w:szCs w:val="21"/>
              </w:rPr>
            </w:pPr>
            <w:r>
              <w:rPr>
                <w:szCs w:val="21"/>
              </w:rPr>
              <w:t>1．植被及植物种类</w:t>
            </w:r>
          </w:p>
        </w:tc>
        <w:tc>
          <w:tcPr>
            <w:tcW w:w="6017" w:type="dxa"/>
            <w:gridSpan w:val="2"/>
            <w:vAlign w:val="center"/>
          </w:tcPr>
          <w:p>
            <w:pPr>
              <w:spacing w:line="240" w:lineRule="exact"/>
              <w:jc w:val="center"/>
              <w:rPr>
                <w:szCs w:val="21"/>
              </w:rPr>
            </w:pPr>
            <w:r>
              <w:rPr>
                <w:rFonts w:hint="eastAsia"/>
                <w:szCs w:val="21"/>
              </w:rPr>
              <w:t>方案一以旧路为主，</w:t>
            </w:r>
            <w:r>
              <w:rPr>
                <w:szCs w:val="21"/>
              </w:rPr>
              <w:t>占用耕地较</w:t>
            </w:r>
            <w:r>
              <w:rPr>
                <w:rFonts w:hint="eastAsia"/>
                <w:szCs w:val="21"/>
              </w:rPr>
              <w:t>方案二少</w:t>
            </w:r>
            <w:r>
              <w:rPr>
                <w:szCs w:val="21"/>
              </w:rPr>
              <w:t>，对地表植被包括经济作物植被的破坏较</w:t>
            </w:r>
            <w:r>
              <w:rPr>
                <w:rFonts w:hint="eastAsia"/>
                <w:szCs w:val="21"/>
              </w:rPr>
              <w:t>小</w:t>
            </w:r>
            <w:r>
              <w:rPr>
                <w:szCs w:val="21"/>
              </w:rPr>
              <w:t>；生物量损失相对较</w:t>
            </w:r>
            <w:r>
              <w:rPr>
                <w:rFonts w:hint="eastAsia"/>
                <w:szCs w:val="21"/>
              </w:rPr>
              <w:t>小</w:t>
            </w:r>
            <w:r>
              <w:rPr>
                <w:szCs w:val="21"/>
              </w:rPr>
              <w:t>。</w:t>
            </w:r>
          </w:p>
        </w:tc>
        <w:tc>
          <w:tcPr>
            <w:tcW w:w="931" w:type="dxa"/>
            <w:vAlign w:val="center"/>
          </w:tcPr>
          <w:p>
            <w:pPr>
              <w:spacing w:line="240" w:lineRule="exact"/>
              <w:jc w:val="center"/>
              <w:rPr>
                <w:szCs w:val="21"/>
              </w:rPr>
            </w:pPr>
            <w:r>
              <w:rPr>
                <w:rFonts w:hint="eastAsia"/>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75" w:type="dxa"/>
            <w:vMerge w:val="continue"/>
            <w:vAlign w:val="center"/>
          </w:tcPr>
          <w:p>
            <w:pPr>
              <w:spacing w:line="240" w:lineRule="exact"/>
              <w:jc w:val="center"/>
              <w:rPr>
                <w:szCs w:val="21"/>
              </w:rPr>
            </w:pPr>
          </w:p>
        </w:tc>
        <w:tc>
          <w:tcPr>
            <w:tcW w:w="938" w:type="dxa"/>
            <w:vAlign w:val="center"/>
          </w:tcPr>
          <w:p>
            <w:pPr>
              <w:spacing w:line="240" w:lineRule="exact"/>
              <w:jc w:val="center"/>
              <w:rPr>
                <w:szCs w:val="21"/>
              </w:rPr>
            </w:pPr>
            <w:r>
              <w:rPr>
                <w:szCs w:val="21"/>
              </w:rPr>
              <w:t>2．水土流失</w:t>
            </w:r>
          </w:p>
        </w:tc>
        <w:tc>
          <w:tcPr>
            <w:tcW w:w="6017" w:type="dxa"/>
            <w:gridSpan w:val="2"/>
            <w:vAlign w:val="center"/>
          </w:tcPr>
          <w:p>
            <w:pPr>
              <w:spacing w:line="240" w:lineRule="exact"/>
              <w:jc w:val="center"/>
              <w:rPr>
                <w:b/>
                <w:szCs w:val="21"/>
              </w:rPr>
            </w:pPr>
            <w:r>
              <w:rPr>
                <w:rFonts w:hint="eastAsia"/>
                <w:szCs w:val="21"/>
              </w:rPr>
              <w:t>方案一</w:t>
            </w:r>
            <w:r>
              <w:rPr>
                <w:szCs w:val="21"/>
              </w:rPr>
              <w:t>利用旧路较多，土石方量相对较小，</w:t>
            </w:r>
            <w:r>
              <w:rPr>
                <w:rFonts w:hint="eastAsia"/>
                <w:szCs w:val="21"/>
              </w:rPr>
              <w:t>方案二路线长，且</w:t>
            </w:r>
            <w:r>
              <w:rPr>
                <w:szCs w:val="21"/>
              </w:rPr>
              <w:t>不良地质路段相对较长，由此可能引发的水土流失量更大。</w:t>
            </w:r>
          </w:p>
        </w:tc>
        <w:tc>
          <w:tcPr>
            <w:tcW w:w="931" w:type="dxa"/>
            <w:vAlign w:val="center"/>
          </w:tcPr>
          <w:p>
            <w:pPr>
              <w:spacing w:line="240" w:lineRule="exact"/>
              <w:jc w:val="center"/>
              <w:rPr>
                <w:szCs w:val="21"/>
              </w:rPr>
            </w:pPr>
            <w:r>
              <w:rPr>
                <w:rFonts w:hint="eastAsia"/>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13" w:type="dxa"/>
            <w:gridSpan w:val="2"/>
            <w:tcMar>
              <w:left w:w="0" w:type="dxa"/>
              <w:right w:w="0" w:type="dxa"/>
            </w:tcMar>
            <w:vAlign w:val="center"/>
          </w:tcPr>
          <w:p>
            <w:pPr>
              <w:spacing w:line="240" w:lineRule="exact"/>
              <w:jc w:val="center"/>
              <w:rPr>
                <w:szCs w:val="21"/>
              </w:rPr>
            </w:pPr>
            <w:r>
              <w:rPr>
                <w:szCs w:val="21"/>
              </w:rPr>
              <w:t>声环境与大气环境</w:t>
            </w:r>
          </w:p>
        </w:tc>
        <w:tc>
          <w:tcPr>
            <w:tcW w:w="3189" w:type="dxa"/>
            <w:vAlign w:val="center"/>
          </w:tcPr>
          <w:p>
            <w:pPr>
              <w:spacing w:line="240" w:lineRule="exact"/>
              <w:jc w:val="center"/>
              <w:rPr>
                <w:szCs w:val="21"/>
              </w:rPr>
            </w:pPr>
            <w:r>
              <w:rPr>
                <w:rFonts w:hint="eastAsia"/>
                <w:szCs w:val="21"/>
              </w:rPr>
              <w:t>上跨桥两侧有零散居民点，</w:t>
            </w:r>
            <w:r>
              <w:rPr>
                <w:szCs w:val="21"/>
              </w:rPr>
              <w:t>约</w:t>
            </w:r>
            <w:r>
              <w:rPr>
                <w:rFonts w:hint="eastAsia"/>
                <w:szCs w:val="21"/>
              </w:rPr>
              <w:t>5户</w:t>
            </w:r>
            <w:r>
              <w:rPr>
                <w:szCs w:val="21"/>
              </w:rPr>
              <w:t>。</w:t>
            </w:r>
          </w:p>
        </w:tc>
        <w:tc>
          <w:tcPr>
            <w:tcW w:w="2828" w:type="dxa"/>
            <w:vAlign w:val="center"/>
          </w:tcPr>
          <w:p>
            <w:pPr>
              <w:spacing w:line="240" w:lineRule="exact"/>
              <w:jc w:val="center"/>
              <w:rPr>
                <w:szCs w:val="21"/>
              </w:rPr>
            </w:pPr>
            <w:r>
              <w:rPr>
                <w:rFonts w:hint="eastAsia"/>
                <w:szCs w:val="21"/>
              </w:rPr>
              <w:t>铁路线穿越垭子山村</w:t>
            </w:r>
            <w:r>
              <w:rPr>
                <w:szCs w:val="21"/>
              </w:rPr>
              <w:t>，受影响</w:t>
            </w:r>
            <w:r>
              <w:rPr>
                <w:rFonts w:hint="eastAsia"/>
                <w:szCs w:val="21"/>
              </w:rPr>
              <w:t>居民约20户</w:t>
            </w:r>
            <w:r>
              <w:rPr>
                <w:szCs w:val="21"/>
              </w:rPr>
              <w:t>。</w:t>
            </w:r>
          </w:p>
        </w:tc>
        <w:tc>
          <w:tcPr>
            <w:tcW w:w="931" w:type="dxa"/>
            <w:vAlign w:val="center"/>
          </w:tcPr>
          <w:p>
            <w:pPr>
              <w:spacing w:line="240" w:lineRule="exact"/>
              <w:jc w:val="center"/>
              <w:rPr>
                <w:szCs w:val="21"/>
              </w:rPr>
            </w:pPr>
            <w:r>
              <w:rPr>
                <w:rFonts w:hint="eastAsia"/>
                <w:szCs w:val="21"/>
              </w:rPr>
              <w:t>方案一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jc w:val="center"/>
        </w:trPr>
        <w:tc>
          <w:tcPr>
            <w:tcW w:w="7630" w:type="dxa"/>
            <w:gridSpan w:val="4"/>
            <w:vAlign w:val="center"/>
          </w:tcPr>
          <w:p>
            <w:pPr>
              <w:spacing w:line="240" w:lineRule="exact"/>
              <w:jc w:val="center"/>
              <w:rPr>
                <w:b/>
                <w:szCs w:val="21"/>
              </w:rPr>
            </w:pPr>
            <w:r>
              <w:rPr>
                <w:b/>
                <w:szCs w:val="21"/>
              </w:rPr>
              <w:t>环境影响比较推荐结论</w:t>
            </w:r>
          </w:p>
        </w:tc>
        <w:tc>
          <w:tcPr>
            <w:tcW w:w="931" w:type="dxa"/>
            <w:vAlign w:val="center"/>
          </w:tcPr>
          <w:p>
            <w:pPr>
              <w:spacing w:line="240" w:lineRule="exact"/>
              <w:jc w:val="center"/>
              <w:rPr>
                <w:b/>
                <w:szCs w:val="21"/>
              </w:rPr>
            </w:pPr>
            <w:r>
              <w:rPr>
                <w:rFonts w:hint="eastAsia"/>
                <w:szCs w:val="21"/>
              </w:rPr>
              <w:t>方案一</w:t>
            </w:r>
          </w:p>
        </w:tc>
      </w:tr>
    </w:tbl>
    <w:p>
      <w:pPr>
        <w:tabs>
          <w:tab w:val="left" w:pos="540"/>
          <w:tab w:val="left" w:pos="1440"/>
        </w:tabs>
        <w:spacing w:line="360" w:lineRule="auto"/>
        <w:ind w:firstLine="482" w:firstLineChars="200"/>
        <w:rPr>
          <w:sz w:val="24"/>
        </w:rPr>
      </w:pPr>
      <w:r>
        <w:rPr>
          <w:rFonts w:hint="eastAsia"/>
          <w:b/>
          <w:sz w:val="24"/>
        </w:rPr>
        <w:t>社会环境</w:t>
      </w:r>
      <w:r>
        <w:rPr>
          <w:rFonts w:hint="eastAsia"/>
          <w:sz w:val="24"/>
        </w:rPr>
        <w:t>方面，方案一主要利用旧路，无拆迁，对周边区域社会环境影响相对较小；</w:t>
      </w:r>
      <w:r>
        <w:rPr>
          <w:rFonts w:hint="eastAsia"/>
          <w:b/>
          <w:sz w:val="24"/>
        </w:rPr>
        <w:t>生态影响</w:t>
      </w:r>
      <w:r>
        <w:rPr>
          <w:rFonts w:hint="eastAsia"/>
          <w:sz w:val="24"/>
        </w:rPr>
        <w:t>方面，方案二占地较多，不良地质路段相对较长，由此引发的水土流失量相对较大；</w:t>
      </w:r>
      <w:r>
        <w:rPr>
          <w:rFonts w:hint="eastAsia"/>
          <w:b/>
          <w:sz w:val="24"/>
        </w:rPr>
        <w:t>声环境与大气环境</w:t>
      </w:r>
      <w:r>
        <w:rPr>
          <w:rFonts w:hint="eastAsia"/>
          <w:sz w:val="24"/>
        </w:rPr>
        <w:t>方面，方案一路线短，线路两侧居民点少，避免穿越垭子山村，影响人口较少。从环境因素考虑，本评价推荐方案一。</w:t>
      </w:r>
    </w:p>
    <w:p>
      <w:pPr>
        <w:autoSpaceDE w:val="0"/>
        <w:autoSpaceDN w:val="0"/>
        <w:adjustRightInd w:val="0"/>
        <w:spacing w:line="360" w:lineRule="auto"/>
        <w:ind w:firstLine="480" w:firstLineChars="200"/>
        <w:jc w:val="left"/>
        <w:rPr>
          <w:rFonts w:ascii="宋体" w:cs="宋体"/>
          <w:kern w:val="0"/>
          <w:sz w:val="24"/>
        </w:rPr>
        <w:sectPr>
          <w:headerReference r:id="rId10" w:type="default"/>
          <w:footerReference r:id="rId11" w:type="default"/>
          <w:pgSz w:w="11906" w:h="16838"/>
          <w:pgMar w:top="1440" w:right="1274" w:bottom="1440" w:left="1800" w:header="851" w:footer="992" w:gutter="0"/>
          <w:cols w:space="425" w:num="1"/>
          <w:docGrid w:type="lines" w:linePitch="312" w:charSpace="0"/>
        </w:sectPr>
      </w:pPr>
      <w:bookmarkStart w:id="158" w:name="_Toc346318308"/>
      <w:bookmarkEnd w:id="158"/>
      <w:bookmarkStart w:id="159" w:name="_Toc346318534"/>
      <w:bookmarkEnd w:id="159"/>
      <w:bookmarkStart w:id="160" w:name="_Toc346318758"/>
      <w:bookmarkEnd w:id="160"/>
    </w:p>
    <w:p>
      <w:pPr>
        <w:pStyle w:val="2"/>
        <w:tabs>
          <w:tab w:val="left" w:pos="2520"/>
          <w:tab w:val="clear" w:pos="6231"/>
        </w:tabs>
        <w:spacing w:before="360" w:beforeLines="150" w:after="360" w:afterLines="150" w:line="360" w:lineRule="auto"/>
        <w:ind w:left="2881" w:hanging="2342"/>
      </w:pPr>
      <w:bookmarkStart w:id="161" w:name="_Toc442195714"/>
      <w:r>
        <w:rPr>
          <w:rFonts w:hint="eastAsia"/>
        </w:rPr>
        <w:t>环境影响评价</w:t>
      </w:r>
      <w:bookmarkEnd w:id="161"/>
    </w:p>
    <w:p>
      <w:pPr>
        <w:pStyle w:val="3"/>
        <w:tabs>
          <w:tab w:val="clear" w:pos="3695"/>
        </w:tabs>
        <w:spacing w:before="120" w:after="120"/>
        <w:ind w:left="567"/>
      </w:pPr>
      <w:bookmarkStart w:id="162" w:name="_Toc442195715"/>
      <w:r>
        <w:rPr>
          <w:rFonts w:hint="eastAsia"/>
        </w:rPr>
        <w:t>施工期影响评价</w:t>
      </w:r>
      <w:bookmarkEnd w:id="162"/>
    </w:p>
    <w:p>
      <w:pPr>
        <w:pStyle w:val="5"/>
        <w:tabs>
          <w:tab w:val="left" w:pos="567"/>
        </w:tabs>
        <w:spacing w:before="0" w:beforeLines="0" w:after="0" w:afterLines="0" w:line="360" w:lineRule="auto"/>
        <w:ind w:hanging="1713"/>
      </w:pPr>
      <w:bookmarkStart w:id="163" w:name="_Toc442195716"/>
      <w:r>
        <w:rPr>
          <w:rFonts w:hint="eastAsia"/>
        </w:rPr>
        <w:t>水环境影响评价</w:t>
      </w:r>
      <w:bookmarkEnd w:id="163"/>
    </w:p>
    <w:p>
      <w:pPr>
        <w:autoSpaceDE w:val="0"/>
        <w:autoSpaceDN w:val="0"/>
        <w:adjustRightInd w:val="0"/>
        <w:spacing w:line="360" w:lineRule="auto"/>
        <w:ind w:firstLine="480" w:firstLineChars="200"/>
        <w:rPr>
          <w:kern w:val="0"/>
          <w:sz w:val="24"/>
        </w:rPr>
      </w:pPr>
      <w:r>
        <w:rPr>
          <w:kern w:val="0"/>
          <w:sz w:val="24"/>
        </w:rPr>
        <w:t>本工程施工期污水来源主要为施工人员生活污水、施工生产废水。</w:t>
      </w:r>
    </w:p>
    <w:p>
      <w:pPr>
        <w:autoSpaceDE w:val="0"/>
        <w:autoSpaceDN w:val="0"/>
        <w:adjustRightInd w:val="0"/>
        <w:spacing w:line="360" w:lineRule="auto"/>
        <w:ind w:left="420"/>
        <w:jc w:val="left"/>
        <w:rPr>
          <w:rFonts w:eastAsiaTheme="minorEastAsia"/>
          <w:kern w:val="0"/>
          <w:sz w:val="24"/>
        </w:rPr>
      </w:pPr>
      <w:r>
        <w:rPr>
          <w:rFonts w:hint="eastAsia" w:eastAsiaTheme="minorEastAsia"/>
          <w:kern w:val="0"/>
          <w:sz w:val="24"/>
        </w:rPr>
        <w:t>（1）</w:t>
      </w:r>
      <w:r>
        <w:rPr>
          <w:rFonts w:eastAsiaTheme="minorEastAsia"/>
          <w:kern w:val="0"/>
          <w:sz w:val="24"/>
        </w:rPr>
        <w:t xml:space="preserve"> 码头施工</w:t>
      </w:r>
    </w:p>
    <w:p>
      <w:pPr>
        <w:autoSpaceDE w:val="0"/>
        <w:autoSpaceDN w:val="0"/>
        <w:adjustRightInd w:val="0"/>
        <w:spacing w:line="360" w:lineRule="auto"/>
        <w:ind w:firstLine="480" w:firstLineChars="200"/>
        <w:jc w:val="left"/>
        <w:rPr>
          <w:rFonts w:ascii="微软雅黑" w:hAnsi="微软雅黑"/>
          <w:color w:val="000000" w:themeColor="text1"/>
          <w:sz w:val="24"/>
          <w14:textFill>
            <w14:solidFill>
              <w14:schemeClr w14:val="tx1"/>
            </w14:solidFill>
          </w14:textFill>
        </w:rPr>
      </w:pPr>
      <w:r>
        <w:rPr>
          <w:rFonts w:hint="eastAsia" w:ascii="微软雅黑" w:hAnsi="微软雅黑"/>
          <w:color w:val="000000" w:themeColor="text1"/>
          <w:sz w:val="24"/>
          <w14:textFill>
            <w14:solidFill>
              <w14:schemeClr w14:val="tx1"/>
            </w14:solidFill>
          </w14:textFill>
        </w:rPr>
        <w:t>本工程水域建设高桩梁板码头、浮码头和斜坡码头各2座，其中高桩梁板码头尺寸分别为216×28m和102×28m，浮码头前方配备90×16m钢制趸船，斜坡码头前方配备65×16m钢制趸船。</w:t>
      </w:r>
    </w:p>
    <w:p>
      <w:pPr>
        <w:autoSpaceDE w:val="0"/>
        <w:autoSpaceDN w:val="0"/>
        <w:adjustRightInd w:val="0"/>
        <w:spacing w:line="360" w:lineRule="auto"/>
        <w:ind w:firstLine="480" w:firstLineChars="200"/>
        <w:jc w:val="left"/>
        <w:rPr>
          <w:rFonts w:eastAsiaTheme="minorEastAsia"/>
          <w:kern w:val="0"/>
          <w:sz w:val="24"/>
        </w:rPr>
      </w:pPr>
      <w:r>
        <w:rPr>
          <w:rFonts w:hint="eastAsia" w:ascii="微软雅黑" w:hAnsi="微软雅黑"/>
          <w:sz w:val="24"/>
        </w:rPr>
        <w:t>对于</w:t>
      </w:r>
      <w:r>
        <w:rPr>
          <w:rFonts w:eastAsiaTheme="minorEastAsia"/>
          <w:kern w:val="0"/>
          <w:sz w:val="24"/>
        </w:rPr>
        <w:t>高桩梁板结构形式</w:t>
      </w:r>
      <w:r>
        <w:rPr>
          <w:rFonts w:hint="eastAsia" w:eastAsiaTheme="minorEastAsia"/>
          <w:kern w:val="0"/>
          <w:sz w:val="24"/>
        </w:rPr>
        <w:t>码头</w:t>
      </w:r>
      <w:r>
        <w:rPr>
          <w:rFonts w:eastAsiaTheme="minorEastAsia"/>
          <w:kern w:val="0"/>
          <w:sz w:val="24"/>
        </w:rPr>
        <w:t>，钢管桩和灌注管桩均在现场钻孔、灌注成桩</w:t>
      </w:r>
      <w:r>
        <w:rPr>
          <w:rFonts w:hint="eastAsia" w:eastAsiaTheme="minorEastAsia"/>
          <w:kern w:val="0"/>
          <w:sz w:val="24"/>
        </w:rPr>
        <w:t>，对水域的影响主要来自此</w:t>
      </w:r>
      <w:r>
        <w:rPr>
          <w:rFonts w:eastAsiaTheme="minorEastAsia"/>
          <w:kern w:val="0"/>
          <w:sz w:val="24"/>
        </w:rPr>
        <w:t>。</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打桩施工对水环境的影响主要是造成水体中悬浮物浓度增加，水下打桩施工的影响范围呈椭圆形。据调查，打桩施工造成悬浮物浓度增加值超过10mg/L 的范围为沿水流方向长约100～250m，垂直岸边宽约50～100m，打桩施工引起的悬浮物不会对下游的取水口和水源保护区水质产生污染影响。</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工程引桥桩基采用钻孔灌注桩，部分桩基位于水下，水下桩基将采用围堰施工方式，在将围堰内水抽干后实施旱地施工，因此引桥桩基施工过程带来的污染较小，污染主要来源于循环泥浆池溢出的污水。</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在钻孔灌注桩桩基钻孔施工作业时，需要在岸边滩地设置泥浆池，从泥浆池中抽出泥浆水注入钻孔内，对钻孔壁进行保护，泥浆水通过泥浆泵的抽压在泥浆池和钻孔内循环回用。钻孔作业完成时，泥浆池内的泥浆经自然风干后就地堆放，这也是目前国内采用的最普遍方式。</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灌注桩施工过程若遇降雨，由于雨水的进入，泥浆池污水会部分溢出，污水中SS 浓度很高，会对工程长江段水体产生污染影响。</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为此，评价提出了在泥浆池四周采用抛包围堰，并在泥浆池上方设置遮盖装置，防止地面径流雨污水或雨水进入泥浆池后造成的废水溢出。在泥浆池设置溢流口并在溢流口布设土工布，降低由于暴雨等因素造成泥浆废水溢出带来的SS 污染。</w:t>
      </w:r>
    </w:p>
    <w:p>
      <w:pPr>
        <w:autoSpaceDE w:val="0"/>
        <w:autoSpaceDN w:val="0"/>
        <w:adjustRightInd w:val="0"/>
        <w:spacing w:line="360" w:lineRule="auto"/>
        <w:ind w:left="420"/>
        <w:jc w:val="left"/>
        <w:rPr>
          <w:rFonts w:eastAsiaTheme="minorEastAsia"/>
          <w:kern w:val="0"/>
          <w:sz w:val="24"/>
        </w:rPr>
      </w:pPr>
      <w:r>
        <w:rPr>
          <w:rFonts w:hint="eastAsia" w:eastAsiaTheme="minorEastAsia"/>
          <w:kern w:val="0"/>
          <w:sz w:val="24"/>
        </w:rPr>
        <w:t>（2）</w:t>
      </w:r>
      <w:r>
        <w:rPr>
          <w:rFonts w:eastAsiaTheme="minorEastAsia"/>
          <w:kern w:val="0"/>
          <w:sz w:val="24"/>
        </w:rPr>
        <w:t>施工船舶污水污染分析</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施工船舶污水包括船舶舱底油污水和船舶生活污水。船舶水上施工按1</w:t>
      </w:r>
      <w:r>
        <w:rPr>
          <w:rFonts w:hint="eastAsia" w:eastAsiaTheme="minorEastAsia"/>
          <w:kern w:val="0"/>
          <w:sz w:val="24"/>
        </w:rPr>
        <w:t>2</w:t>
      </w:r>
      <w:r>
        <w:rPr>
          <w:rFonts w:eastAsiaTheme="minorEastAsia"/>
          <w:kern w:val="0"/>
          <w:sz w:val="24"/>
        </w:rPr>
        <w:t>0 天计，船舶舱底油污水按0.</w:t>
      </w:r>
      <w:r>
        <w:rPr>
          <w:rFonts w:hint="eastAsia" w:eastAsiaTheme="minorEastAsia"/>
          <w:kern w:val="0"/>
          <w:sz w:val="24"/>
        </w:rPr>
        <w:t>56</w:t>
      </w:r>
      <w:r>
        <w:rPr>
          <w:rFonts w:eastAsiaTheme="minorEastAsia"/>
          <w:kern w:val="0"/>
          <w:sz w:val="24"/>
        </w:rPr>
        <w:t>t/d 计，施工期船舶舱底油污水产生量为</w:t>
      </w:r>
      <w:r>
        <w:rPr>
          <w:rFonts w:hint="eastAsia" w:eastAsiaTheme="minorEastAsia"/>
          <w:kern w:val="0"/>
          <w:sz w:val="24"/>
        </w:rPr>
        <w:t>67.2</w:t>
      </w:r>
      <w:r>
        <w:rPr>
          <w:rFonts w:eastAsiaTheme="minorEastAsia"/>
          <w:kern w:val="0"/>
          <w:sz w:val="24"/>
        </w:rPr>
        <w:t>t，其石油类贡献总量为</w:t>
      </w:r>
      <w:r>
        <w:rPr>
          <w:rFonts w:hint="eastAsia" w:eastAsiaTheme="minorEastAsia"/>
          <w:kern w:val="0"/>
          <w:sz w:val="24"/>
        </w:rPr>
        <w:t>0.84</w:t>
      </w:r>
      <w:r>
        <w:rPr>
          <w:rFonts w:eastAsiaTheme="minorEastAsia"/>
          <w:kern w:val="0"/>
          <w:sz w:val="24"/>
        </w:rPr>
        <w:t>kg。施工船舶生活污水按每人每天平均用水量150L 计，则船舶生活污水发生量为</w:t>
      </w:r>
      <w:r>
        <w:rPr>
          <w:rFonts w:hint="eastAsia" w:eastAsiaTheme="minorEastAsia"/>
          <w:kern w:val="0"/>
          <w:sz w:val="24"/>
        </w:rPr>
        <w:t>9.6t/d</w:t>
      </w:r>
      <w:r>
        <w:rPr>
          <w:rFonts w:eastAsiaTheme="minorEastAsia"/>
          <w:kern w:val="0"/>
          <w:sz w:val="24"/>
        </w:rPr>
        <w:t>。</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本次评价要求施工船舶禁止向长江排放污水，施工船舶如需排放污水，应向宜昌市海事局提出申请并经批准后，由海事部门审核备案的污染物接收船有偿接收处理。</w:t>
      </w:r>
    </w:p>
    <w:p>
      <w:pPr>
        <w:autoSpaceDE w:val="0"/>
        <w:autoSpaceDN w:val="0"/>
        <w:adjustRightInd w:val="0"/>
        <w:spacing w:line="360" w:lineRule="auto"/>
        <w:ind w:firstLine="480" w:firstLineChars="200"/>
        <w:jc w:val="left"/>
        <w:rPr>
          <w:rFonts w:eastAsiaTheme="minorEastAsia"/>
          <w:kern w:val="0"/>
          <w:sz w:val="24"/>
        </w:rPr>
      </w:pPr>
      <w:r>
        <w:rPr>
          <w:rFonts w:hint="eastAsia" w:ascii="宋体" w:hAnsi="宋体" w:cs="宋体"/>
          <w:kern w:val="0"/>
          <w:sz w:val="24"/>
        </w:rPr>
        <w:t>（3）</w:t>
      </w:r>
      <w:r>
        <w:rPr>
          <w:rFonts w:eastAsiaTheme="minorEastAsia"/>
          <w:kern w:val="0"/>
          <w:sz w:val="24"/>
        </w:rPr>
        <w:t>陆域施工废水及施工人员生活污水</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陆域施工过程将产生少量的生产废水和生活污水，生产废水中主要的污染因子为SS，施工现场应通过设置沉淀池，生产废水经沉淀后用于施工现场抑尘洒水或自然蒸发、土壤吸收予以消化。</w:t>
      </w:r>
    </w:p>
    <w:p>
      <w:pPr>
        <w:autoSpaceDE w:val="0"/>
        <w:autoSpaceDN w:val="0"/>
        <w:adjustRightInd w:val="0"/>
        <w:spacing w:line="360" w:lineRule="auto"/>
        <w:ind w:firstLine="480" w:firstLineChars="200"/>
        <w:jc w:val="left"/>
        <w:rPr>
          <w:rFonts w:eastAsiaTheme="minorEastAsia"/>
          <w:kern w:val="0"/>
          <w:sz w:val="24"/>
        </w:rPr>
      </w:pPr>
      <w:r>
        <w:rPr>
          <w:rFonts w:eastAsiaTheme="minorEastAsia"/>
          <w:kern w:val="0"/>
          <w:sz w:val="24"/>
        </w:rPr>
        <w:t>尽量避免在施工现场对施工机械进行冲洗，避免含油冲洗废水带来的影响。施工机械若需进行现场冲洗，应通过设置污水收集池等措施收集冲洗废水，并送船舶污染物接收船接收处理。</w:t>
      </w:r>
    </w:p>
    <w:p>
      <w:pPr>
        <w:autoSpaceDE w:val="0"/>
        <w:autoSpaceDN w:val="0"/>
        <w:adjustRightInd w:val="0"/>
        <w:spacing w:line="360" w:lineRule="auto"/>
        <w:ind w:firstLine="480" w:firstLineChars="200"/>
        <w:rPr>
          <w:rFonts w:eastAsiaTheme="minorEastAsia"/>
          <w:kern w:val="0"/>
          <w:sz w:val="24"/>
        </w:rPr>
      </w:pPr>
      <w:r>
        <w:rPr>
          <w:rFonts w:eastAsiaTheme="minorEastAsia"/>
          <w:kern w:val="0"/>
          <w:sz w:val="24"/>
        </w:rPr>
        <w:t>根据本项目建设规模，同时类比类似工程，施工高峰期现场施工人员约400人，生活用水量按100L/（人·d）计，产污系数按90%计，则产生的生活污水最大产生量为36m³/d，主要污染物为 COD、动植物油、SS等，其污水水质为COD：200~300mg/L，动植物油：50mg/L、SS：80~100mg/L。由于生活污水量相对较少，经化粪池处理后用于农田灌溉，对环境影响较小。施工结束后，施工人员生活污水的影响将消失。</w:t>
      </w:r>
    </w:p>
    <w:p>
      <w:pPr>
        <w:pStyle w:val="5"/>
        <w:spacing w:before="48" w:beforeLines="20" w:after="48" w:line="360" w:lineRule="auto"/>
        <w:ind w:left="0" w:firstLine="0"/>
        <w:rPr>
          <w:rFonts w:ascii="宋体" w:hAnsi="宋体" w:eastAsia="宋体"/>
          <w:b/>
          <w:sz w:val="28"/>
          <w:szCs w:val="28"/>
        </w:rPr>
      </w:pPr>
      <w:bookmarkStart w:id="164" w:name="_Toc442195717"/>
      <w:r>
        <w:rPr>
          <w:rFonts w:hint="eastAsia" w:ascii="宋体" w:hAnsi="宋体" w:eastAsia="宋体"/>
          <w:b/>
          <w:sz w:val="28"/>
          <w:szCs w:val="28"/>
        </w:rPr>
        <w:t>生态环境影响评价</w:t>
      </w:r>
      <w:bookmarkEnd w:id="164"/>
    </w:p>
    <w:p>
      <w:pPr>
        <w:pStyle w:val="6"/>
        <w:tabs>
          <w:tab w:val="left" w:pos="1006"/>
        </w:tabs>
        <w:spacing w:beforeLines="0" w:afterLines="0"/>
        <w:ind w:left="0" w:firstLine="0"/>
      </w:pPr>
      <w:r>
        <w:rPr>
          <w:rFonts w:hint="eastAsia"/>
        </w:rPr>
        <w:t>陆生生态影响分析</w:t>
      </w:r>
    </w:p>
    <w:p>
      <w:pPr>
        <w:autoSpaceDE w:val="0"/>
        <w:autoSpaceDN w:val="0"/>
        <w:adjustRightInd w:val="0"/>
        <w:spacing w:line="360" w:lineRule="auto"/>
        <w:ind w:firstLine="480" w:firstLineChars="200"/>
        <w:rPr>
          <w:sz w:val="24"/>
        </w:rPr>
      </w:pPr>
      <w:r>
        <w:rPr>
          <w:rFonts w:hint="eastAsia"/>
          <w:sz w:val="24"/>
        </w:rPr>
        <w:t>（1）对陆生植物的影响评价</w:t>
      </w:r>
    </w:p>
    <w:p>
      <w:pPr>
        <w:autoSpaceDE w:val="0"/>
        <w:autoSpaceDN w:val="0"/>
        <w:adjustRightInd w:val="0"/>
        <w:spacing w:line="360" w:lineRule="auto"/>
        <w:ind w:firstLine="480" w:firstLineChars="200"/>
        <w:rPr>
          <w:kern w:val="0"/>
          <w:sz w:val="24"/>
        </w:rPr>
      </w:pPr>
      <w:r>
        <w:rPr>
          <w:sz w:val="24"/>
        </w:rPr>
        <w:t>项目总占地面积约158.61hm</w:t>
      </w:r>
      <w:r>
        <w:rPr>
          <w:sz w:val="24"/>
          <w:vertAlign w:val="superscript"/>
        </w:rPr>
        <w:t>2</w:t>
      </w:r>
      <w:r>
        <w:rPr>
          <w:sz w:val="24"/>
        </w:rPr>
        <w:t>hm</w:t>
      </w:r>
      <w:r>
        <w:rPr>
          <w:sz w:val="24"/>
          <w:vertAlign w:val="superscript"/>
        </w:rPr>
        <w:t>2</w:t>
      </w:r>
      <w:r>
        <w:rPr>
          <w:rFonts w:hint="eastAsia"/>
          <w:sz w:val="24"/>
        </w:rPr>
        <w:t>，</w:t>
      </w:r>
      <w:r>
        <w:rPr>
          <w:kern w:val="0"/>
          <w:sz w:val="24"/>
        </w:rPr>
        <w:t>以</w:t>
      </w:r>
      <w:r>
        <w:rPr>
          <w:rFonts w:hint="eastAsia"/>
          <w:kern w:val="0"/>
          <w:sz w:val="24"/>
        </w:rPr>
        <w:t>农业用地</w:t>
      </w:r>
      <w:r>
        <w:rPr>
          <w:kern w:val="0"/>
          <w:sz w:val="24"/>
        </w:rPr>
        <w:t>占绝对主导地位，同时有</w:t>
      </w:r>
      <w:r>
        <w:rPr>
          <w:rFonts w:hint="eastAsia"/>
          <w:kern w:val="0"/>
          <w:sz w:val="24"/>
        </w:rPr>
        <w:t>数量不多的</w:t>
      </w:r>
      <w:r>
        <w:rPr>
          <w:kern w:val="0"/>
          <w:sz w:val="24"/>
        </w:rPr>
        <w:t>灌</w:t>
      </w:r>
      <w:r>
        <w:rPr>
          <w:rFonts w:hint="eastAsia"/>
          <w:kern w:val="0"/>
          <w:sz w:val="24"/>
        </w:rPr>
        <w:t>草</w:t>
      </w:r>
      <w:r>
        <w:rPr>
          <w:kern w:val="0"/>
          <w:sz w:val="24"/>
        </w:rPr>
        <w:t>丛</w:t>
      </w:r>
      <w:r>
        <w:rPr>
          <w:rFonts w:hint="eastAsia"/>
          <w:kern w:val="0"/>
          <w:sz w:val="24"/>
        </w:rPr>
        <w:t>、水域和建设用地。</w:t>
      </w:r>
      <w:r>
        <w:rPr>
          <w:kern w:val="0"/>
          <w:sz w:val="24"/>
        </w:rPr>
        <w:t>工程影响区内植被</w:t>
      </w:r>
      <w:r>
        <w:rPr>
          <w:rFonts w:hint="eastAsia"/>
          <w:kern w:val="0"/>
          <w:sz w:val="24"/>
        </w:rPr>
        <w:t>现状</w:t>
      </w:r>
      <w:r>
        <w:rPr>
          <w:kern w:val="0"/>
          <w:sz w:val="24"/>
        </w:rPr>
        <w:t>主要为</w:t>
      </w:r>
      <w:r>
        <w:rPr>
          <w:rFonts w:hint="eastAsia"/>
          <w:kern w:val="0"/>
          <w:sz w:val="24"/>
        </w:rPr>
        <w:t>农业</w:t>
      </w:r>
      <w:r>
        <w:rPr>
          <w:kern w:val="0"/>
          <w:sz w:val="24"/>
        </w:rPr>
        <w:t>植被</w:t>
      </w:r>
      <w:r>
        <w:rPr>
          <w:rFonts w:hint="eastAsia"/>
          <w:kern w:val="0"/>
          <w:sz w:val="24"/>
        </w:rPr>
        <w:t>，少量次生植被。</w:t>
      </w:r>
    </w:p>
    <w:p>
      <w:pPr>
        <w:autoSpaceDE w:val="0"/>
        <w:autoSpaceDN w:val="0"/>
        <w:adjustRightInd w:val="0"/>
        <w:spacing w:line="360" w:lineRule="auto"/>
        <w:ind w:firstLine="480" w:firstLineChars="200"/>
        <w:rPr>
          <w:kern w:val="0"/>
          <w:sz w:val="24"/>
        </w:rPr>
      </w:pPr>
      <w:r>
        <w:rPr>
          <w:rFonts w:hint="eastAsia"/>
          <w:kern w:val="0"/>
          <w:sz w:val="24"/>
        </w:rPr>
        <w:t>项目建设中影响植被的主要工程环节有以下几个方面：</w:t>
      </w:r>
    </w:p>
    <w:p>
      <w:pPr>
        <w:autoSpaceDE w:val="0"/>
        <w:autoSpaceDN w:val="0"/>
        <w:adjustRightInd w:val="0"/>
        <w:spacing w:line="360" w:lineRule="auto"/>
        <w:ind w:firstLine="480" w:firstLineChars="200"/>
        <w:rPr>
          <w:kern w:val="0"/>
          <w:sz w:val="24"/>
        </w:rPr>
      </w:pPr>
      <w:r>
        <w:rPr>
          <w:rFonts w:hint="eastAsia"/>
          <w:kern w:val="0"/>
          <w:sz w:val="24"/>
        </w:rPr>
        <w:t>①</w:t>
      </w:r>
      <w:r>
        <w:rPr>
          <w:kern w:val="0"/>
          <w:sz w:val="24"/>
        </w:rPr>
        <w:t>永久占</w:t>
      </w:r>
      <w:r>
        <w:rPr>
          <w:rFonts w:hint="eastAsia"/>
          <w:kern w:val="0"/>
          <w:sz w:val="24"/>
        </w:rPr>
        <w:t>地将使植被生境遭到破坏，生物个体失去生长环境，影响的程度是不可逆的。</w:t>
      </w:r>
    </w:p>
    <w:p>
      <w:pPr>
        <w:autoSpaceDE w:val="0"/>
        <w:autoSpaceDN w:val="0"/>
        <w:adjustRightInd w:val="0"/>
        <w:spacing w:line="360" w:lineRule="auto"/>
        <w:ind w:firstLine="480" w:firstLineChars="200"/>
        <w:rPr>
          <w:kern w:val="0"/>
          <w:sz w:val="24"/>
        </w:rPr>
      </w:pPr>
      <w:r>
        <w:rPr>
          <w:rFonts w:hint="eastAsia"/>
          <w:kern w:val="0"/>
          <w:sz w:val="24"/>
        </w:rPr>
        <w:t>②项目用地的植被受到破坏，从植被分布现状调查的结果看，受项目直接影响的植被类型主要为橘园、农田和灌草丛等。</w:t>
      </w:r>
    </w:p>
    <w:p>
      <w:pPr>
        <w:autoSpaceDE w:val="0"/>
        <w:autoSpaceDN w:val="0"/>
        <w:adjustRightInd w:val="0"/>
        <w:spacing w:line="360" w:lineRule="auto"/>
        <w:ind w:firstLine="480" w:firstLineChars="200"/>
        <w:rPr>
          <w:kern w:val="0"/>
          <w:sz w:val="24"/>
        </w:rPr>
      </w:pPr>
      <w:r>
        <w:rPr>
          <w:rFonts w:hint="eastAsia"/>
          <w:kern w:val="0"/>
          <w:sz w:val="24"/>
        </w:rPr>
        <w:t>③ 施工期，本工程临时用地主要为临时堆土场用地，主要占用农用地，将使植被遭到破坏。</w:t>
      </w:r>
    </w:p>
    <w:p>
      <w:pPr>
        <w:autoSpaceDE w:val="0"/>
        <w:autoSpaceDN w:val="0"/>
        <w:adjustRightInd w:val="0"/>
        <w:spacing w:line="360" w:lineRule="auto"/>
        <w:ind w:firstLine="480" w:firstLineChars="200"/>
        <w:rPr>
          <w:kern w:val="0"/>
          <w:sz w:val="24"/>
        </w:rPr>
      </w:pPr>
      <w:r>
        <w:rPr>
          <w:rFonts w:hint="eastAsia"/>
          <w:kern w:val="0"/>
          <w:sz w:val="24"/>
        </w:rPr>
        <w:t>④施工期由于机械碾压、施工人员践踏等，施工作业周围的植被将遭到破坏。</w:t>
      </w:r>
    </w:p>
    <w:p>
      <w:pPr>
        <w:autoSpaceDE w:val="0"/>
        <w:autoSpaceDN w:val="0"/>
        <w:adjustRightInd w:val="0"/>
        <w:spacing w:line="360" w:lineRule="auto"/>
        <w:ind w:firstLine="480" w:firstLineChars="200"/>
        <w:rPr>
          <w:kern w:val="0"/>
          <w:sz w:val="24"/>
        </w:rPr>
      </w:pPr>
      <w:r>
        <w:rPr>
          <w:rFonts w:hint="eastAsia"/>
          <w:kern w:val="0"/>
          <w:sz w:val="24"/>
        </w:rPr>
        <w:t>总之，</w:t>
      </w:r>
      <w:r>
        <w:rPr>
          <w:kern w:val="0"/>
          <w:sz w:val="24"/>
        </w:rPr>
        <w:t>拟建项目</w:t>
      </w:r>
      <w:r>
        <w:rPr>
          <w:rFonts w:hint="eastAsia"/>
          <w:kern w:val="0"/>
          <w:sz w:val="24"/>
        </w:rPr>
        <w:t>区域以农用地为主，工程征占地主要为农业用地。工程建设附近现有的生态系统产生一定的影响，但受到损失的植物均属评价范围内的常见作物及物种，其生长范围广，适应性强，项目施工不会导致区域内植物种群消失或灭绝。工程影响范围总体面状，地表植被的损失将对现有生态系统产生一定的影响，但由于工程建设引起的损失面积相对于整个地区是少量的</w:t>
      </w:r>
      <w:r>
        <w:rPr>
          <w:kern w:val="0"/>
          <w:sz w:val="24"/>
        </w:rPr>
        <w:t>，</w:t>
      </w:r>
      <w:r>
        <w:rPr>
          <w:rFonts w:hint="eastAsia"/>
          <w:kern w:val="0"/>
          <w:sz w:val="24"/>
        </w:rPr>
        <w:t>加上后期绿化将弥补部分损失的生物量，因而损失量不大，基本不会影响更大区域生态系统的稳定性和完整性。</w:t>
      </w:r>
    </w:p>
    <w:p>
      <w:pPr>
        <w:autoSpaceDE w:val="0"/>
        <w:autoSpaceDN w:val="0"/>
        <w:adjustRightInd w:val="0"/>
        <w:spacing w:line="360" w:lineRule="auto"/>
        <w:ind w:firstLine="480" w:firstLineChars="200"/>
        <w:rPr>
          <w:kern w:val="0"/>
          <w:sz w:val="24"/>
        </w:rPr>
      </w:pPr>
      <w:r>
        <w:rPr>
          <w:rFonts w:hint="eastAsia"/>
          <w:kern w:val="0"/>
          <w:sz w:val="24"/>
        </w:rPr>
        <w:t>（2）对陆生动物的影响评价</w:t>
      </w:r>
    </w:p>
    <w:p>
      <w:pPr>
        <w:autoSpaceDE w:val="0"/>
        <w:autoSpaceDN w:val="0"/>
        <w:adjustRightInd w:val="0"/>
        <w:spacing w:line="360" w:lineRule="auto"/>
        <w:ind w:firstLine="480" w:firstLineChars="200"/>
        <w:rPr>
          <w:kern w:val="0"/>
          <w:sz w:val="24"/>
        </w:rPr>
      </w:pPr>
      <w:r>
        <w:rPr>
          <w:rFonts w:hint="eastAsia"/>
          <w:kern w:val="0"/>
          <w:sz w:val="24"/>
        </w:rPr>
        <w:t>项目施工期间，开挖和基础设施的建设，会导致植被的破坏，地面的扰动，将使开挖区域动物的栖息地直接受到破坏，受影响的主要是在农田、灌草丛中栖息的两栖类、爬行类和鸟类。另外，施工机械设备的噪声、土石方和建筑材料的运输等均会对临近区域的陆生动物的栖息环境、取食、活动通道、繁衍迁移规律等造成影响。施工行为将彻底改变评价区部分地块的用地类型，对部分陆生动物的影响是永久性的，这主要是那些不适应人居环境的动物。</w:t>
      </w:r>
    </w:p>
    <w:p>
      <w:pPr>
        <w:autoSpaceDE w:val="0"/>
        <w:autoSpaceDN w:val="0"/>
        <w:adjustRightInd w:val="0"/>
        <w:spacing w:line="360" w:lineRule="auto"/>
        <w:ind w:firstLine="480" w:firstLineChars="200"/>
        <w:rPr>
          <w:kern w:val="0"/>
          <w:sz w:val="24"/>
        </w:rPr>
      </w:pPr>
      <w:r>
        <w:rPr>
          <w:rFonts w:hint="eastAsia"/>
          <w:kern w:val="0"/>
          <w:sz w:val="24"/>
        </w:rPr>
        <w:t>由于项目区域大部分已经是人类活动较为频繁的场所，区域内陆生动物对于生长环境要求较宽，对人为影响适应性较强。区域内能适应的动物已经适应其变化，不能适应的已开始迁移，施工区附近有大量的类似生境（农田、灌草丛、池塘等），加之现有的陆生动物多为广布种，对区域内动物的多样性不会造成重大影响</w:t>
      </w:r>
      <w:r>
        <w:rPr>
          <w:kern w:val="0"/>
          <w:sz w:val="24"/>
        </w:rPr>
        <w:t>。</w:t>
      </w:r>
    </w:p>
    <w:p>
      <w:pPr>
        <w:autoSpaceDE w:val="0"/>
        <w:autoSpaceDN w:val="0"/>
        <w:adjustRightInd w:val="0"/>
        <w:spacing w:line="360" w:lineRule="auto"/>
        <w:ind w:firstLine="480" w:firstLineChars="200"/>
        <w:rPr>
          <w:kern w:val="0"/>
          <w:sz w:val="24"/>
        </w:rPr>
      </w:pPr>
      <w:r>
        <w:rPr>
          <w:rFonts w:hint="eastAsia"/>
          <w:kern w:val="0"/>
          <w:sz w:val="24"/>
        </w:rPr>
        <w:t>（3）农业生态系统的影响</w:t>
      </w:r>
    </w:p>
    <w:p>
      <w:pPr>
        <w:pStyle w:val="4"/>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土壤结构与性质发生变化，导致土壤已不在是土壤，已经不能进行农业生产，该区域的农业将受到致命的影响，</w:t>
      </w:r>
    </w:p>
    <w:p>
      <w:pPr>
        <w:pStyle w:val="23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1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①</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耕地面积将大幅度减少</w:t>
      </w:r>
    </w:p>
    <w:p>
      <w:pPr>
        <w:pStyle w:val="235"/>
        <w:rPr>
          <w:color w:val="000000" w:themeColor="text1"/>
          <w14:textFill>
            <w14:solidFill>
              <w14:schemeClr w14:val="tx1"/>
            </w14:solidFill>
          </w14:textFill>
        </w:rPr>
      </w:pPr>
      <w:r>
        <w:rPr>
          <w:color w:val="000000" w:themeColor="text1"/>
          <w14:textFill>
            <w14:solidFill>
              <w14:schemeClr w14:val="tx1"/>
            </w14:solidFill>
          </w14:textFill>
        </w:rPr>
        <w:t xml:space="preserve">从规划对现状用地的分析了解到，建设用地面积增加大多数是占用原有农田。规划区耕地面积的大幅度减少是大规模开发建设的必然趋势，开发建设过程中尤其是公共设施、工业和交通用地较多地占用了耕地，使农田的生产规模大大减小，生产潜力将受到削弱；农田数量上的改变，即相对面积的缩小，不利于生态动态控制和平衡能力的保持。 </w:t>
      </w:r>
    </w:p>
    <w:p>
      <w:pPr>
        <w:pStyle w:val="23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2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②</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农田生产潜力将降低</w:t>
      </w:r>
    </w:p>
    <w:p>
      <w:pPr>
        <w:pStyle w:val="235"/>
        <w:rPr>
          <w:color w:val="000000" w:themeColor="text1"/>
          <w14:textFill>
            <w14:solidFill>
              <w14:schemeClr w14:val="tx1"/>
            </w14:solidFill>
          </w14:textFill>
        </w:rPr>
      </w:pPr>
      <w:r>
        <w:rPr>
          <w:color w:val="000000" w:themeColor="text1"/>
          <w14:textFill>
            <w14:solidFill>
              <w14:schemeClr w14:val="tx1"/>
            </w14:solidFill>
          </w14:textFill>
        </w:rPr>
        <w:t>从规划区的功能定位可以看出，主要是以</w:t>
      </w:r>
      <w:r>
        <w:rPr>
          <w:rFonts w:hint="eastAsia"/>
          <w:color w:val="000000" w:themeColor="text1"/>
          <w14:textFill>
            <w14:solidFill>
              <w14:schemeClr w14:val="tx1"/>
            </w14:solidFill>
          </w14:textFill>
        </w:rPr>
        <w:t>物流</w:t>
      </w:r>
      <w:r>
        <w:rPr>
          <w:color w:val="000000" w:themeColor="text1"/>
          <w14:textFill>
            <w14:solidFill>
              <w14:schemeClr w14:val="tx1"/>
            </w14:solidFill>
          </w14:textFill>
        </w:rPr>
        <w:t>等为主。其生产和研发将会产生一些大气污染物和水污染物，导致大气污染、水污染和土壤污染，这些污染将无疑会在不同程度上影响</w:t>
      </w:r>
      <w:r>
        <w:rPr>
          <w:rFonts w:hint="eastAsia"/>
          <w:color w:val="000000" w:themeColor="text1"/>
          <w14:textFill>
            <w14:solidFill>
              <w14:schemeClr w14:val="tx1"/>
            </w14:solidFill>
          </w14:textFill>
        </w:rPr>
        <w:t>周围</w:t>
      </w:r>
      <w:r>
        <w:rPr>
          <w:color w:val="000000" w:themeColor="text1"/>
          <w14:textFill>
            <w14:solidFill>
              <w14:schemeClr w14:val="tx1"/>
            </w14:solidFill>
          </w14:textFill>
        </w:rPr>
        <w:t xml:space="preserve">耕地的质量，进一步降低农田的生产潜力。 </w:t>
      </w:r>
    </w:p>
    <w:p>
      <w:pPr>
        <w:pStyle w:val="235"/>
        <w:rPr>
          <w:color w:val="000000" w:themeColor="text1"/>
          <w14:textFill>
            <w14:solidFill>
              <w14:schemeClr w14:val="tx1"/>
            </w14:solidFill>
          </w14:textFill>
        </w:rPr>
      </w:pPr>
      <w:r>
        <w:rPr>
          <w:color w:val="000000" w:themeColor="text1"/>
          <w14:textFill>
            <w14:solidFill>
              <w14:schemeClr w14:val="tx1"/>
            </w14:solidFill>
          </w14:textFill>
        </w:rPr>
        <w:t>随着</w:t>
      </w:r>
      <w:r>
        <w:rPr>
          <w:rFonts w:hint="eastAsia"/>
          <w:color w:val="000000" w:themeColor="text1"/>
          <w14:textFill>
            <w14:solidFill>
              <w14:schemeClr w14:val="tx1"/>
            </w14:solidFill>
          </w14:textFill>
        </w:rPr>
        <w:t>经济</w:t>
      </w:r>
      <w:r>
        <w:rPr>
          <w:color w:val="000000" w:themeColor="text1"/>
          <w14:textFill>
            <w14:solidFill>
              <w14:schemeClr w14:val="tx1"/>
            </w14:solidFill>
          </w14:textFill>
        </w:rPr>
        <w:t>发展，耕地占用的强度显然不会降低，为弥补数量上的不足必然致力于农田产量的提高以保证其产值。然而，开发引进新的高产、低投入、收效快的品种，寻求高效、快速的方法保障作物生产，化学药剂的不断开发和投入使用，不但会使害虫产生抗药性，使得次要害虫再生猖獗，而且会引起水域污染，使得栖息其中的鱼类、软体类等农田鸟类赖以生存的食物减少，导致农田鸟类的减少，另外还会引起农药残留等一系列问题，进一步引起农田土地质量和生产力的下降，最终高产农田提前进入衰老期而只能另为他用。</w:t>
      </w:r>
    </w:p>
    <w:p>
      <w:pPr>
        <w:autoSpaceDE w:val="0"/>
        <w:autoSpaceDN w:val="0"/>
        <w:adjustRightInd w:val="0"/>
        <w:spacing w:line="360" w:lineRule="auto"/>
        <w:ind w:firstLine="420" w:firstLineChars="200"/>
        <w:jc w:val="left"/>
        <w:rPr>
          <w:color w:val="000000" w:themeColor="text1"/>
          <w:kern w:val="0"/>
          <w14:textFill>
            <w14:solidFill>
              <w14:schemeClr w14:val="tx1"/>
            </w14:solidFill>
          </w14:textFill>
        </w:rPr>
      </w:pPr>
      <w:r>
        <w:rPr>
          <w:color w:val="000000" w:themeColor="text1"/>
          <w:kern w:val="0"/>
          <w14:textFill>
            <w14:solidFill>
              <w14:schemeClr w14:val="tx1"/>
            </w14:solidFill>
          </w14:textFill>
        </w:rPr>
        <w:fldChar w:fldCharType="begin"/>
      </w:r>
      <w:r>
        <w:rPr>
          <w:color w:val="000000" w:themeColor="text1"/>
          <w:kern w:val="0"/>
          <w14:textFill>
            <w14:solidFill>
              <w14:schemeClr w14:val="tx1"/>
            </w14:solidFill>
          </w14:textFill>
        </w:rPr>
        <w:instrText xml:space="preserve"> </w:instrText>
      </w:r>
      <w:r>
        <w:rPr>
          <w:rFonts w:hint="eastAsia"/>
          <w:color w:val="000000" w:themeColor="text1"/>
          <w:kern w:val="0"/>
          <w14:textFill>
            <w14:solidFill>
              <w14:schemeClr w14:val="tx1"/>
            </w14:solidFill>
          </w14:textFill>
        </w:rPr>
        <w:instrText xml:space="preserve">= 3 \* GB3</w:instrText>
      </w:r>
      <w:r>
        <w:rPr>
          <w:color w:val="000000" w:themeColor="text1"/>
          <w:kern w:val="0"/>
          <w14:textFill>
            <w14:solidFill>
              <w14:schemeClr w14:val="tx1"/>
            </w14:solidFill>
          </w14:textFill>
        </w:rPr>
        <w:instrText xml:space="preserve"> </w:instrText>
      </w:r>
      <w:r>
        <w:rPr>
          <w:color w:val="000000" w:themeColor="text1"/>
          <w:kern w:val="0"/>
          <w14:textFill>
            <w14:solidFill>
              <w14:schemeClr w14:val="tx1"/>
            </w14:solidFill>
          </w14:textFill>
        </w:rPr>
        <w:fldChar w:fldCharType="separate"/>
      </w:r>
      <w:r>
        <w:rPr>
          <w:rFonts w:hint="eastAsia"/>
          <w:color w:val="000000" w:themeColor="text1"/>
          <w:kern w:val="0"/>
          <w14:textFill>
            <w14:solidFill>
              <w14:schemeClr w14:val="tx1"/>
            </w14:solidFill>
          </w14:textFill>
        </w:rPr>
        <w:t>③</w:t>
      </w:r>
      <w:r>
        <w:rPr>
          <w:color w:val="000000" w:themeColor="text1"/>
          <w:kern w:val="0"/>
          <w14:textFill>
            <w14:solidFill>
              <w14:schemeClr w14:val="tx1"/>
            </w14:solidFill>
          </w14:textFill>
        </w:rPr>
        <w:fldChar w:fldCharType="end"/>
      </w:r>
      <w:r>
        <w:rPr>
          <w:rFonts w:hint="eastAsia"/>
          <w:color w:val="000000" w:themeColor="text1"/>
          <w:kern w:val="0"/>
          <w14:textFill>
            <w14:solidFill>
              <w14:schemeClr w14:val="tx1"/>
            </w14:solidFill>
          </w14:textFill>
        </w:rPr>
        <w:t xml:space="preserve"> </w:t>
      </w:r>
      <w:r>
        <w:rPr>
          <w:color w:val="000000" w:themeColor="text1"/>
          <w:kern w:val="0"/>
          <w14:textFill>
            <w14:solidFill>
              <w14:schemeClr w14:val="tx1"/>
            </w14:solidFill>
          </w14:textFill>
        </w:rPr>
        <w:t>农业生产量</w:t>
      </w:r>
      <w:r>
        <w:rPr>
          <w:rFonts w:hint="eastAsia"/>
          <w:color w:val="000000" w:themeColor="text1"/>
          <w:kern w:val="0"/>
          <w14:textFill>
            <w14:solidFill>
              <w14:schemeClr w14:val="tx1"/>
            </w14:solidFill>
          </w14:textFill>
        </w:rPr>
        <w:t>减少</w:t>
      </w:r>
    </w:p>
    <w:p>
      <w:pPr>
        <w:autoSpaceDE w:val="0"/>
        <w:autoSpaceDN w:val="0"/>
        <w:adjustRightInd w:val="0"/>
        <w:spacing w:line="360" w:lineRule="auto"/>
        <w:ind w:firstLine="480" w:firstLineChars="200"/>
        <w:rPr>
          <w:kern w:val="0"/>
          <w:sz w:val="24"/>
        </w:rPr>
      </w:pPr>
      <w:r>
        <w:rPr>
          <w:rFonts w:hint="eastAsia"/>
          <w:kern w:val="0"/>
          <w:sz w:val="24"/>
        </w:rPr>
        <w:t>本项目共计永久征收土地2614亩，全部为集体土地，农业用地为</w:t>
      </w:r>
      <w:r>
        <w:rPr>
          <w:rFonts w:hint="eastAsia" w:ascii="宋体" w:hAnsi="宋体" w:cs="宋体"/>
          <w:kern w:val="0"/>
          <w:sz w:val="24"/>
        </w:rPr>
        <w:t>1944.50亩，水塘为184.20亩，这将造成农业损失达到每年5321750元（以每亩2500元计算）</w:t>
      </w:r>
      <w:r>
        <w:rPr>
          <w:rFonts w:hint="eastAsia"/>
          <w:kern w:val="0"/>
          <w:sz w:val="24"/>
        </w:rPr>
        <w:t>。</w:t>
      </w:r>
    </w:p>
    <w:p>
      <w:pPr>
        <w:autoSpaceDE w:val="0"/>
        <w:autoSpaceDN w:val="0"/>
        <w:adjustRightInd w:val="0"/>
        <w:spacing w:line="360" w:lineRule="auto"/>
        <w:ind w:firstLine="480" w:firstLineChars="200"/>
        <w:rPr>
          <w:rFonts w:ascii="宋体" w:hAnsi="宋体" w:cs="宋体"/>
          <w:kern w:val="0"/>
          <w:sz w:val="24"/>
        </w:rPr>
      </w:pPr>
      <w:r>
        <w:rPr>
          <w:rFonts w:hint="eastAsia" w:ascii="宋体" w:hAnsi="宋体" w:cs="宋体"/>
          <w:kern w:val="0"/>
          <w:sz w:val="24"/>
        </w:rPr>
        <w:t>（4）对区域生态完整的影响评价</w:t>
      </w:r>
    </w:p>
    <w:p>
      <w:pPr>
        <w:autoSpaceDE w:val="0"/>
        <w:autoSpaceDN w:val="0"/>
        <w:adjustRightInd w:val="0"/>
        <w:spacing w:line="360" w:lineRule="auto"/>
        <w:ind w:firstLine="480" w:firstLineChars="200"/>
        <w:rPr>
          <w:kern w:val="0"/>
          <w:sz w:val="24"/>
        </w:rPr>
      </w:pPr>
      <w:r>
        <w:rPr>
          <w:rFonts w:hint="eastAsia"/>
          <w:kern w:val="0"/>
          <w:sz w:val="24"/>
        </w:rPr>
        <w:t>对区域自然体系生态完整性的影响是由工程占地引起的，</w:t>
      </w:r>
      <w:r>
        <w:rPr>
          <w:sz w:val="24"/>
        </w:rPr>
        <w:t>项目总占地面积约158.61hm</w:t>
      </w:r>
      <w:r>
        <w:rPr>
          <w:sz w:val="24"/>
          <w:vertAlign w:val="superscript"/>
        </w:rPr>
        <w:t>2</w:t>
      </w:r>
      <w:r>
        <w:rPr>
          <w:rFonts w:hint="eastAsia"/>
          <w:kern w:val="0"/>
          <w:sz w:val="24"/>
        </w:rPr>
        <w:t>，其中主要是农业用地。在项目建设完成后，使评价区各种用地类型面积发生变化，导致评价区域自然生态体系生产能力和稳定状况也发生改变，使得评价区域生态完整性产生较大影响，但这些改变相对于更大范围（比如白杨镇而言）生态完整性影响是较小的。</w:t>
      </w:r>
    </w:p>
    <w:p>
      <w:pPr>
        <w:pStyle w:val="6"/>
        <w:tabs>
          <w:tab w:val="left" w:pos="1006"/>
        </w:tabs>
        <w:spacing w:beforeLines="0" w:afterLines="0"/>
        <w:ind w:left="0" w:firstLine="0"/>
      </w:pPr>
      <w:r>
        <w:rPr>
          <w:rFonts w:hint="eastAsia"/>
        </w:rPr>
        <w:t>水域生态影响分析</w:t>
      </w:r>
    </w:p>
    <w:p>
      <w:pPr>
        <w:autoSpaceDE w:val="0"/>
        <w:autoSpaceDN w:val="0"/>
        <w:adjustRightInd w:val="0"/>
        <w:spacing w:line="360" w:lineRule="auto"/>
        <w:ind w:firstLine="480" w:firstLineChars="200"/>
        <w:rPr>
          <w:rFonts w:ascii="宋体" w:cs="宋体"/>
          <w:sz w:val="24"/>
        </w:rPr>
      </w:pPr>
      <w:r>
        <w:rPr>
          <w:rFonts w:hint="eastAsia" w:ascii="宋体" w:cs="宋体"/>
          <w:sz w:val="24"/>
        </w:rPr>
        <w:t>（1）水生生态影响类型和范围判定</w:t>
      </w:r>
    </w:p>
    <w:p>
      <w:pPr>
        <w:autoSpaceDE w:val="0"/>
        <w:autoSpaceDN w:val="0"/>
        <w:adjustRightInd w:val="0"/>
        <w:spacing w:line="360" w:lineRule="auto"/>
        <w:ind w:firstLine="480" w:firstLineChars="200"/>
        <w:rPr>
          <w:rFonts w:ascii="宋体" w:cs="宋体"/>
          <w:sz w:val="24"/>
        </w:rPr>
      </w:pPr>
      <w:r>
        <w:rPr>
          <w:rFonts w:hint="eastAsia" w:ascii="宋体" w:cs="宋体"/>
          <w:sz w:val="24"/>
        </w:rPr>
        <w:t>工程建设对水生生态的影响主要发生在施工期，施工期水生生态影响包括直接影响和间接影响两个方面。直接影响主要是抛石护岸的施工作业过程，将直接破坏底栖生物生境，掩埋底栖生物栖息地；间接影响则是由于水下施工扰动使得施工局部水域的悬浮物浓度增加以及施工行动的干扰等。</w:t>
      </w:r>
    </w:p>
    <w:p>
      <w:pPr>
        <w:spacing w:line="360" w:lineRule="auto"/>
        <w:ind w:firstLine="480" w:firstLineChars="200"/>
        <w:rPr>
          <w:rFonts w:ascii="宋体" w:cs="宋体"/>
          <w:sz w:val="24"/>
        </w:rPr>
      </w:pPr>
      <w:r>
        <w:rPr>
          <w:rFonts w:hint="eastAsia" w:ascii="宋体" w:cs="宋体"/>
          <w:sz w:val="24"/>
        </w:rPr>
        <w:t>施工活动直接、间接生态影响判定表见表6</w:t>
      </w:r>
      <w:r>
        <w:rPr>
          <w:rFonts w:ascii="宋体" w:cs="宋体"/>
          <w:sz w:val="24"/>
        </w:rPr>
        <w:t>.</w:t>
      </w:r>
      <w:r>
        <w:rPr>
          <w:rFonts w:hint="eastAsia" w:ascii="宋体" w:cs="宋体"/>
          <w:sz w:val="24"/>
        </w:rPr>
        <w:t>1</w:t>
      </w:r>
      <w:r>
        <w:rPr>
          <w:rFonts w:ascii="宋体" w:cs="宋体"/>
          <w:sz w:val="24"/>
        </w:rPr>
        <w:t>-1</w:t>
      </w:r>
      <w:r>
        <w:rPr>
          <w:rFonts w:hint="eastAsia" w:ascii="宋体" w:cs="宋体"/>
          <w:sz w:val="24"/>
        </w:rPr>
        <w:t>。</w:t>
      </w:r>
    </w:p>
    <w:p>
      <w:pPr>
        <w:jc w:val="center"/>
        <w:rPr>
          <w:rFonts w:cs="黑体" w:asciiTheme="minorEastAsia" w:hAnsiTheme="minorEastAsia" w:eastAsiaTheme="minorEastAsia"/>
          <w:b/>
          <w:szCs w:val="21"/>
        </w:rPr>
      </w:pPr>
      <w:r>
        <w:rPr>
          <w:rFonts w:hint="eastAsia" w:cs="黑体" w:asciiTheme="minorEastAsia" w:hAnsiTheme="minorEastAsia" w:eastAsiaTheme="minorEastAsia"/>
          <w:b/>
          <w:szCs w:val="21"/>
        </w:rPr>
        <w:t>表</w:t>
      </w:r>
      <w:r>
        <w:rPr>
          <w:rFonts w:hint="eastAsia" w:cs="宋体" w:asciiTheme="minorEastAsia" w:hAnsiTheme="minorEastAsia" w:eastAsiaTheme="minorEastAsia"/>
          <w:b/>
          <w:szCs w:val="21"/>
        </w:rPr>
        <w:t>6</w:t>
      </w:r>
      <w:r>
        <w:rPr>
          <w:rFonts w:cs="宋体" w:asciiTheme="minorEastAsia" w:hAnsiTheme="minorEastAsia" w:eastAsiaTheme="minorEastAsia"/>
          <w:b/>
          <w:szCs w:val="21"/>
        </w:rPr>
        <w:t>.</w:t>
      </w:r>
      <w:r>
        <w:rPr>
          <w:rFonts w:hint="eastAsia" w:cs="宋体" w:asciiTheme="minorEastAsia" w:hAnsiTheme="minorEastAsia" w:eastAsiaTheme="minorEastAsia"/>
          <w:b/>
          <w:szCs w:val="21"/>
        </w:rPr>
        <w:t>1</w:t>
      </w:r>
      <w:r>
        <w:rPr>
          <w:rFonts w:cs="宋体" w:asciiTheme="minorEastAsia" w:hAnsiTheme="minorEastAsia" w:eastAsiaTheme="minorEastAsia"/>
          <w:b/>
          <w:szCs w:val="21"/>
        </w:rPr>
        <w:t xml:space="preserve">-1 </w:t>
      </w:r>
      <w:r>
        <w:rPr>
          <w:rFonts w:hint="eastAsia" w:cs="黑体" w:asciiTheme="minorEastAsia" w:hAnsiTheme="minorEastAsia" w:eastAsiaTheme="minorEastAsia"/>
          <w:b/>
          <w:szCs w:val="21"/>
        </w:rPr>
        <w:t>施工期直接、间接影响判定</w:t>
      </w:r>
    </w:p>
    <w:tbl>
      <w:tblPr>
        <w:tblStyle w:val="105"/>
        <w:tblW w:w="8522" w:type="dxa"/>
        <w:jc w:val="center"/>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984"/>
        <w:gridCol w:w="1418"/>
        <w:gridCol w:w="1275"/>
        <w:gridCol w:w="2744"/>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01" w:type="dxa"/>
            <w:vAlign w:val="center"/>
          </w:tcPr>
          <w:p>
            <w:pPr>
              <w:rPr>
                <w:kern w:val="0"/>
              </w:rPr>
            </w:pPr>
            <w:r>
              <w:rPr>
                <w:rFonts w:hint="eastAsia"/>
                <w:kern w:val="0"/>
              </w:rPr>
              <w:t>影响类型</w:t>
            </w:r>
          </w:p>
        </w:tc>
        <w:tc>
          <w:tcPr>
            <w:tcW w:w="1984" w:type="dxa"/>
            <w:vAlign w:val="center"/>
          </w:tcPr>
          <w:p>
            <w:pPr>
              <w:rPr>
                <w:kern w:val="0"/>
              </w:rPr>
            </w:pPr>
            <w:r>
              <w:rPr>
                <w:rFonts w:hint="eastAsia"/>
                <w:kern w:val="0"/>
              </w:rPr>
              <w:t>影响区域</w:t>
            </w:r>
          </w:p>
        </w:tc>
        <w:tc>
          <w:tcPr>
            <w:tcW w:w="1418" w:type="dxa"/>
            <w:vAlign w:val="center"/>
          </w:tcPr>
          <w:p>
            <w:pPr>
              <w:rPr>
                <w:kern w:val="0"/>
              </w:rPr>
            </w:pPr>
            <w:r>
              <w:rPr>
                <w:rFonts w:hint="eastAsia"/>
                <w:kern w:val="0"/>
              </w:rPr>
              <w:t>影响原因</w:t>
            </w:r>
          </w:p>
        </w:tc>
        <w:tc>
          <w:tcPr>
            <w:tcW w:w="1275" w:type="dxa"/>
            <w:vAlign w:val="center"/>
          </w:tcPr>
          <w:p>
            <w:pPr>
              <w:rPr>
                <w:kern w:val="0"/>
              </w:rPr>
            </w:pPr>
            <w:r>
              <w:rPr>
                <w:rFonts w:hint="eastAsia"/>
                <w:kern w:val="0"/>
              </w:rPr>
              <w:t>恢复可能性</w:t>
            </w:r>
          </w:p>
        </w:tc>
        <w:tc>
          <w:tcPr>
            <w:tcW w:w="2744" w:type="dxa"/>
            <w:vAlign w:val="center"/>
          </w:tcPr>
          <w:p>
            <w:pPr>
              <w:rPr>
                <w:kern w:val="0"/>
              </w:rPr>
            </w:pPr>
            <w:r>
              <w:rPr>
                <w:rFonts w:hint="eastAsia"/>
                <w:kern w:val="0"/>
              </w:rPr>
              <w:t>生物表现</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01" w:type="dxa"/>
            <w:vAlign w:val="center"/>
          </w:tcPr>
          <w:p>
            <w:pPr>
              <w:rPr>
                <w:kern w:val="0"/>
              </w:rPr>
            </w:pPr>
            <w:r>
              <w:rPr>
                <w:rFonts w:hint="eastAsia"/>
                <w:kern w:val="0"/>
              </w:rPr>
              <w:t>直接影响</w:t>
            </w:r>
          </w:p>
        </w:tc>
        <w:tc>
          <w:tcPr>
            <w:tcW w:w="1984" w:type="dxa"/>
            <w:vAlign w:val="center"/>
          </w:tcPr>
          <w:p>
            <w:pPr>
              <w:ind w:leftChars="-54" w:hanging="113" w:hangingChars="54"/>
              <w:rPr>
                <w:kern w:val="0"/>
              </w:rPr>
            </w:pPr>
            <w:r>
              <w:rPr>
                <w:rFonts w:hint="eastAsia"/>
                <w:kern w:val="0"/>
              </w:rPr>
              <w:t>疏浚挖泥</w:t>
            </w:r>
          </w:p>
        </w:tc>
        <w:tc>
          <w:tcPr>
            <w:tcW w:w="1418" w:type="dxa"/>
            <w:vAlign w:val="center"/>
          </w:tcPr>
          <w:p>
            <w:pPr>
              <w:rPr>
                <w:kern w:val="0"/>
              </w:rPr>
            </w:pPr>
            <w:r>
              <w:rPr>
                <w:rFonts w:hint="eastAsia"/>
                <w:kern w:val="0"/>
              </w:rPr>
              <w:t>覆盖、扰动</w:t>
            </w:r>
          </w:p>
        </w:tc>
        <w:tc>
          <w:tcPr>
            <w:tcW w:w="1275" w:type="dxa"/>
            <w:vAlign w:val="center"/>
          </w:tcPr>
          <w:p>
            <w:pPr>
              <w:rPr>
                <w:kern w:val="0"/>
              </w:rPr>
            </w:pPr>
            <w:r>
              <w:rPr>
                <w:rFonts w:hint="eastAsia"/>
                <w:kern w:val="0"/>
              </w:rPr>
              <w:t>可以恢复</w:t>
            </w:r>
          </w:p>
        </w:tc>
        <w:tc>
          <w:tcPr>
            <w:tcW w:w="2744" w:type="dxa"/>
            <w:vAlign w:val="center"/>
          </w:tcPr>
          <w:p>
            <w:pPr>
              <w:rPr>
                <w:kern w:val="0"/>
              </w:rPr>
            </w:pPr>
            <w:r>
              <w:rPr>
                <w:rFonts w:hint="eastAsia"/>
                <w:kern w:val="0"/>
              </w:rPr>
              <w:t>河底生物全部消失，但影响面积较小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01" w:type="dxa"/>
            <w:vAlign w:val="center"/>
          </w:tcPr>
          <w:p>
            <w:pPr>
              <w:rPr>
                <w:kern w:val="0"/>
              </w:rPr>
            </w:pPr>
            <w:r>
              <w:rPr>
                <w:rFonts w:hint="eastAsia"/>
                <w:kern w:val="0"/>
              </w:rPr>
              <w:t>间接影响</w:t>
            </w:r>
          </w:p>
        </w:tc>
        <w:tc>
          <w:tcPr>
            <w:tcW w:w="1984" w:type="dxa"/>
            <w:vAlign w:val="center"/>
          </w:tcPr>
          <w:p>
            <w:pPr>
              <w:ind w:leftChars="-54" w:right="-149" w:rightChars="-71" w:hanging="113" w:hangingChars="54"/>
              <w:rPr>
                <w:kern w:val="0"/>
              </w:rPr>
            </w:pPr>
            <w:r>
              <w:rPr>
                <w:rFonts w:hint="eastAsia"/>
                <w:kern w:val="0"/>
              </w:rPr>
              <w:t>施工悬浮物增量扩散</w:t>
            </w:r>
          </w:p>
        </w:tc>
        <w:tc>
          <w:tcPr>
            <w:tcW w:w="1418" w:type="dxa"/>
            <w:vAlign w:val="center"/>
          </w:tcPr>
          <w:p>
            <w:pPr>
              <w:rPr>
                <w:kern w:val="0"/>
              </w:rPr>
            </w:pPr>
            <w:r>
              <w:rPr>
                <w:rFonts w:hint="eastAsia"/>
                <w:kern w:val="0"/>
              </w:rPr>
              <w:t>透明度降低</w:t>
            </w:r>
          </w:p>
        </w:tc>
        <w:tc>
          <w:tcPr>
            <w:tcW w:w="1275" w:type="dxa"/>
            <w:vAlign w:val="center"/>
          </w:tcPr>
          <w:p>
            <w:pPr>
              <w:rPr>
                <w:kern w:val="0"/>
              </w:rPr>
            </w:pPr>
            <w:r>
              <w:rPr>
                <w:rFonts w:hint="eastAsia"/>
                <w:kern w:val="0"/>
              </w:rPr>
              <w:t>可以恢复</w:t>
            </w:r>
          </w:p>
        </w:tc>
        <w:tc>
          <w:tcPr>
            <w:tcW w:w="2744" w:type="dxa"/>
            <w:vAlign w:val="center"/>
          </w:tcPr>
          <w:p>
            <w:pPr>
              <w:rPr>
                <w:kern w:val="0"/>
              </w:rPr>
            </w:pPr>
            <w:r>
              <w:rPr>
                <w:rFonts w:hint="eastAsia"/>
                <w:kern w:val="0"/>
              </w:rPr>
              <w:t>水域生物部分受损</w:t>
            </w:r>
          </w:p>
        </w:tc>
      </w:tr>
    </w:tbl>
    <w:p>
      <w:pPr>
        <w:autoSpaceDE w:val="0"/>
        <w:autoSpaceDN w:val="0"/>
        <w:adjustRightInd w:val="0"/>
        <w:spacing w:before="120" w:beforeLines="50" w:line="360" w:lineRule="auto"/>
        <w:ind w:firstLine="480" w:firstLineChars="200"/>
        <w:rPr>
          <w:rFonts w:ascii="宋体" w:cs="宋体"/>
          <w:sz w:val="24"/>
        </w:rPr>
      </w:pPr>
      <w:r>
        <w:rPr>
          <w:rFonts w:hint="eastAsia" w:ascii="宋体" w:cs="宋体"/>
          <w:sz w:val="24"/>
        </w:rPr>
        <w:t>（2）施工作业对浮游生物的影响</w:t>
      </w:r>
    </w:p>
    <w:p>
      <w:pPr>
        <w:autoSpaceDE w:val="0"/>
        <w:autoSpaceDN w:val="0"/>
        <w:adjustRightInd w:val="0"/>
        <w:spacing w:line="360" w:lineRule="auto"/>
        <w:ind w:firstLine="480" w:firstLineChars="200"/>
        <w:rPr>
          <w:rFonts w:ascii="宋体" w:cs="宋体"/>
          <w:sz w:val="24"/>
        </w:rPr>
      </w:pPr>
      <w:r>
        <w:rPr>
          <w:rFonts w:hint="eastAsia" w:ascii="宋体" w:cs="宋体"/>
          <w:sz w:val="24"/>
        </w:rPr>
        <w:t>施工作业特别是水下施工作业对河床的扰动会引起水中悬浮物的增加，降低水质透光率，影响浮游植物的光合作用，降低局部水域内的初级生产力水平，同时也会打乱一些靠光线强度变化而进行上下垂直回游的动物的生活规律；悬浮物还会粘附在浮游生物体表，使其运动、摄食等活动受到影响，严重时会造成死亡，使局部水域内浮游生物的数量减少。</w:t>
      </w:r>
    </w:p>
    <w:p>
      <w:pPr>
        <w:autoSpaceDE w:val="0"/>
        <w:autoSpaceDN w:val="0"/>
        <w:adjustRightInd w:val="0"/>
        <w:spacing w:line="360" w:lineRule="auto"/>
        <w:ind w:firstLine="480" w:firstLineChars="200"/>
        <w:rPr>
          <w:rFonts w:ascii="宋体" w:cs="宋体"/>
          <w:sz w:val="24"/>
        </w:rPr>
      </w:pPr>
      <w:r>
        <w:rPr>
          <w:rFonts w:hint="eastAsia" w:ascii="宋体" w:cs="宋体"/>
          <w:sz w:val="24"/>
        </w:rPr>
        <w:t>根据有关资料，水体悬浮物质含量的增加，对浮游桡足类动物的存活和繁殖有明显的抑制作用。过量的悬浮物质会堵塞浮游桡足类动物的食物过滤系统和消化器官，尤其在悬浮物含量水平达到</w:t>
      </w:r>
      <w:r>
        <w:rPr>
          <w:rFonts w:ascii="TimesNewRomanPSMT" w:hAnsi="TimesNewRomanPSMT" w:cs="TimesNewRomanPSMT"/>
          <w:sz w:val="24"/>
        </w:rPr>
        <w:t xml:space="preserve">300mg/L </w:t>
      </w:r>
      <w:r>
        <w:rPr>
          <w:rFonts w:hint="eastAsia" w:ascii="宋体" w:cs="宋体"/>
          <w:sz w:val="24"/>
        </w:rPr>
        <w:t>以上时，这种危害特别明显。在悬浮物质中，又以粘性淤泥的危害最大，泥土及细砂泥次之。</w:t>
      </w:r>
    </w:p>
    <w:p>
      <w:pPr>
        <w:autoSpaceDE w:val="0"/>
        <w:autoSpaceDN w:val="0"/>
        <w:adjustRightInd w:val="0"/>
        <w:spacing w:line="360" w:lineRule="auto"/>
        <w:ind w:firstLine="480" w:firstLineChars="200"/>
        <w:rPr>
          <w:rFonts w:ascii="宋体" w:cs="宋体"/>
          <w:sz w:val="24"/>
        </w:rPr>
      </w:pPr>
      <w:r>
        <w:rPr>
          <w:rFonts w:hint="eastAsia" w:ascii="宋体" w:cs="宋体"/>
          <w:sz w:val="24"/>
        </w:rPr>
        <w:t>浮游植物生物量的减少，还会进一步影响到其它生物的数量。浮游植物的减少，会使以浮游植物为饵料的浮游动物在单位水体中所拥有的生物量也相应减少，以这些浮游生物为食的鱼类由于饵料的贫乏而导致渔业资源量下降，同样，以捕食鱼类为生的一些高级消费者也会由于低营养级生物数量的减少而难以觅食。可见，水体中悬浮物质含量的增加，对整个生态食物链的影响是多环节的。</w:t>
      </w:r>
    </w:p>
    <w:p>
      <w:pPr>
        <w:autoSpaceDE w:val="0"/>
        <w:autoSpaceDN w:val="0"/>
        <w:adjustRightInd w:val="0"/>
        <w:spacing w:line="360" w:lineRule="auto"/>
        <w:ind w:firstLine="480" w:firstLineChars="200"/>
        <w:jc w:val="left"/>
        <w:rPr>
          <w:rFonts w:ascii="宋体" w:cs="宋体"/>
          <w:sz w:val="24"/>
        </w:rPr>
      </w:pPr>
      <w:r>
        <w:rPr>
          <w:rFonts w:hint="eastAsia" w:ascii="宋体" w:cs="宋体" w:hAnsiTheme="minorHAnsi"/>
          <w:kern w:val="0"/>
          <w:sz w:val="24"/>
        </w:rPr>
        <w:t>比照长江口航道疏浚悬浮泥沙对水生生物的毒性效应的试验结果，当悬浮泥沙浓度达到</w:t>
      </w:r>
      <w:r>
        <w:rPr>
          <w:rFonts w:eastAsia="TimesNewRoman"/>
          <w:kern w:val="0"/>
          <w:sz w:val="24"/>
        </w:rPr>
        <w:t xml:space="preserve">9mg/L </w:t>
      </w:r>
      <w:r>
        <w:rPr>
          <w:rFonts w:hint="eastAsia" w:ascii="宋体" w:cs="宋体" w:hAnsiTheme="minorHAnsi"/>
          <w:kern w:val="0"/>
          <w:sz w:val="24"/>
        </w:rPr>
        <w:t>时，将影响浮游动物的存活率和浮游植物光合作用。但由于本码头桩基采用打桩、桩内钻岩、桩内钻孔灌注桩的施工工艺，施工面较小，施工影响范围在</w:t>
      </w:r>
      <w:r>
        <w:rPr>
          <w:rFonts w:ascii="TimesNewRomanPSMT" w:hAnsi="TimesNewRomanPSMT" w:cs="TimesNewRomanPSMT"/>
          <w:kern w:val="0"/>
          <w:sz w:val="24"/>
        </w:rPr>
        <w:t xml:space="preserve">100m </w:t>
      </w:r>
      <w:r>
        <w:rPr>
          <w:rFonts w:hint="eastAsia" w:ascii="宋体" w:cs="宋体" w:hAnsiTheme="minorHAnsi"/>
          <w:kern w:val="0"/>
          <w:sz w:val="24"/>
        </w:rPr>
        <w:t>左右，相对于本江段</w:t>
      </w:r>
      <w:r>
        <w:rPr>
          <w:rFonts w:ascii="TimesNewRomanPSMT" w:hAnsi="TimesNewRomanPSMT" w:cs="TimesNewRomanPSMT"/>
          <w:kern w:val="0"/>
          <w:sz w:val="24"/>
        </w:rPr>
        <w:t>900</w:t>
      </w:r>
      <w:r>
        <w:rPr>
          <w:rFonts w:hint="eastAsia" w:ascii="宋体" w:cs="宋体" w:hAnsiTheme="minorHAnsi"/>
          <w:kern w:val="0"/>
          <w:sz w:val="24"/>
        </w:rPr>
        <w:t>～</w:t>
      </w:r>
      <w:r>
        <w:rPr>
          <w:rFonts w:ascii="TimesNewRomanPSMT" w:hAnsi="TimesNewRomanPSMT" w:cs="TimesNewRomanPSMT"/>
          <w:kern w:val="0"/>
          <w:sz w:val="24"/>
        </w:rPr>
        <w:t xml:space="preserve">1200 m </w:t>
      </w:r>
      <w:r>
        <w:rPr>
          <w:rFonts w:hint="eastAsia" w:ascii="宋体" w:cs="宋体" w:hAnsiTheme="minorHAnsi"/>
          <w:kern w:val="0"/>
          <w:sz w:val="24"/>
        </w:rPr>
        <w:t>的河宽，施工活动对长江水体的扰动影响有限，</w:t>
      </w:r>
      <w:r>
        <w:rPr>
          <w:rFonts w:hint="eastAsia" w:ascii="宋体" w:cs="宋体"/>
          <w:sz w:val="24"/>
        </w:rPr>
        <w:t>由于水流的作用，浑浊的悬浮物在很短时间内就会被稀释，并且码头水域施工时间短暂，施工作业产生的悬浮物对水生生物的影响只是局部的和暂时的。</w:t>
      </w:r>
    </w:p>
    <w:p>
      <w:pPr>
        <w:autoSpaceDE w:val="0"/>
        <w:autoSpaceDN w:val="0"/>
        <w:adjustRightInd w:val="0"/>
        <w:spacing w:line="360" w:lineRule="auto"/>
        <w:ind w:firstLine="480" w:firstLineChars="200"/>
        <w:rPr>
          <w:rFonts w:ascii="宋体" w:cs="宋体"/>
          <w:sz w:val="24"/>
        </w:rPr>
      </w:pPr>
      <w:r>
        <w:rPr>
          <w:rFonts w:hint="eastAsia" w:ascii="宋体" w:cs="宋体"/>
          <w:sz w:val="24"/>
        </w:rPr>
        <w:t>（3）对鱼卵和仔稚鱼的影响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施工产生的悬浮物将在一定范围内形成高浓度扩散场，悬浮颗粒将直接对长江水体生物仔幼体造成伤害，主要表现为影响胚胎发育，悬浮物堵塞生物的鳃部造成窒息死亡，大量悬浮物造成水体严重缺氧而导致生物死亡，悬浮物有害物质二次污染造成生物死亡等。不同种类的海洋生物对悬浮物浓度的忍受限度不同，一般说来，仔幼体对悬浮物浓度的忍受限度比成鱼低得多，水体悬浮泥沙含量增大主要会影响鱼卵和仔稚鱼发育。</w:t>
      </w:r>
    </w:p>
    <w:p>
      <w:pPr>
        <w:autoSpaceDE w:val="0"/>
        <w:autoSpaceDN w:val="0"/>
        <w:adjustRightInd w:val="0"/>
        <w:spacing w:line="360" w:lineRule="auto"/>
        <w:ind w:firstLine="480" w:firstLineChars="200"/>
        <w:rPr>
          <w:rFonts w:ascii="宋体" w:cs="宋体"/>
          <w:sz w:val="24"/>
        </w:rPr>
      </w:pPr>
      <w:r>
        <w:rPr>
          <w:rFonts w:hint="eastAsia" w:ascii="宋体" w:cs="宋体"/>
          <w:sz w:val="24"/>
        </w:rPr>
        <w:t>（4）对鱼类的影响</w:t>
      </w:r>
    </w:p>
    <w:p>
      <w:pPr>
        <w:autoSpaceDE w:val="0"/>
        <w:autoSpaceDN w:val="0"/>
        <w:adjustRightInd w:val="0"/>
        <w:spacing w:line="360" w:lineRule="auto"/>
        <w:ind w:firstLine="480" w:firstLineChars="200"/>
        <w:rPr>
          <w:rFonts w:ascii="宋体" w:cs="宋体"/>
          <w:sz w:val="24"/>
        </w:rPr>
      </w:pPr>
      <w:r>
        <w:rPr>
          <w:rFonts w:hint="eastAsia" w:ascii="宋体" w:cs="宋体"/>
          <w:sz w:val="24"/>
        </w:rPr>
        <w:t>施工钻孔噪音对施工区鱼类产生惊吓效果，不会对鱼类造成明显的伤害或导致其死亡。但是在持续噪音刺激下，一些种类的个体会出现行为紊乱，从而妨碍其正常索饵和洄游。如果噪音处于产卵场附近，或在繁殖期产生，则会对其繁殖活动产生一定影响。</w:t>
      </w:r>
    </w:p>
    <w:p>
      <w:pPr>
        <w:autoSpaceDE w:val="0"/>
        <w:autoSpaceDN w:val="0"/>
        <w:adjustRightInd w:val="0"/>
        <w:spacing w:line="360" w:lineRule="auto"/>
        <w:ind w:firstLine="480" w:firstLineChars="200"/>
        <w:rPr>
          <w:rFonts w:ascii="宋体" w:cs="宋体"/>
          <w:sz w:val="24"/>
        </w:rPr>
      </w:pPr>
      <w:r>
        <w:rPr>
          <w:rFonts w:hint="eastAsia" w:ascii="宋体" w:cs="宋体"/>
          <w:sz w:val="24"/>
        </w:rPr>
        <w:t>码头施工过程中对鱼类的影响，主要影响是疏浚悬浮物的增加破坏水质，悬浮物将在一定范围内形成高浓度扩散场，首先</w:t>
      </w:r>
      <w:r>
        <w:rPr>
          <w:rFonts w:hint="eastAsia" w:ascii="宋体" w:cs="宋体" w:hAnsiTheme="minorHAnsi"/>
          <w:kern w:val="0"/>
          <w:sz w:val="24"/>
        </w:rPr>
        <w:t>表现为悬浮微粒过多时将导致水的混浊度增大，透明度降低，不利于天然饵料的繁殖生长，影响鱼类的摄食活动。</w:t>
      </w:r>
    </w:p>
    <w:p>
      <w:pPr>
        <w:autoSpaceDE w:val="0"/>
        <w:autoSpaceDN w:val="0"/>
        <w:adjustRightInd w:val="0"/>
        <w:spacing w:line="360" w:lineRule="auto"/>
        <w:ind w:firstLine="480" w:firstLineChars="200"/>
        <w:rPr>
          <w:rFonts w:ascii="宋体" w:cs="宋体"/>
          <w:sz w:val="24"/>
        </w:rPr>
      </w:pPr>
      <w:r>
        <w:rPr>
          <w:rFonts w:hint="eastAsia" w:ascii="宋体" w:cs="宋体"/>
          <w:sz w:val="24"/>
        </w:rPr>
        <w:t>其次、悬浮颗粒将直接对鱼类造成伤害，</w:t>
      </w:r>
      <w:r>
        <w:rPr>
          <w:rFonts w:hint="eastAsia" w:ascii="宋体" w:cs="宋体" w:hAnsiTheme="minorHAnsi"/>
          <w:kern w:val="0"/>
          <w:sz w:val="24"/>
        </w:rPr>
        <w:t>水中大量存在的悬浮物也会使鱼类造成呼吸困难和窒息现象，因为这微粒随鱼的呼吸动作进入鳃部，将粘附存鳃瓣、鳃丝及鳃小片上，不仅损伤鳃组织，而且将隔断气体交换的进行，严重时甚至导致窒息。同时还会</w:t>
      </w:r>
      <w:r>
        <w:rPr>
          <w:rFonts w:hint="eastAsia" w:ascii="宋体" w:cs="宋体"/>
          <w:sz w:val="24"/>
        </w:rPr>
        <w:t>影响胚胎发育。</w:t>
      </w:r>
    </w:p>
    <w:p>
      <w:pPr>
        <w:autoSpaceDE w:val="0"/>
        <w:autoSpaceDN w:val="0"/>
        <w:adjustRightInd w:val="0"/>
        <w:spacing w:line="360" w:lineRule="auto"/>
        <w:ind w:firstLine="480" w:firstLineChars="200"/>
        <w:jc w:val="left"/>
        <w:rPr>
          <w:rFonts w:ascii="宋体" w:cs="宋体"/>
          <w:sz w:val="24"/>
        </w:rPr>
      </w:pPr>
      <w:r>
        <w:rPr>
          <w:rFonts w:hint="eastAsia" w:ascii="宋体" w:cs="宋体" w:hAnsiTheme="minorHAnsi"/>
          <w:kern w:val="0"/>
          <w:sz w:val="24"/>
        </w:rPr>
        <w:t>不同鱼类对悬浮物质含量高低的耐受范围有所区别。据有关实验数据，悬浮物质的含量水平为</w:t>
      </w:r>
      <w:r>
        <w:rPr>
          <w:rFonts w:eastAsia="TimesNewRoman"/>
          <w:kern w:val="0"/>
          <w:sz w:val="24"/>
        </w:rPr>
        <w:t>80000mg/L</w:t>
      </w:r>
      <w:r>
        <w:rPr>
          <w:rFonts w:hint="eastAsia" w:ascii="宋体" w:cs="宋体" w:hAnsiTheme="minorHAnsi"/>
          <w:kern w:val="0"/>
          <w:sz w:val="24"/>
        </w:rPr>
        <w:t>时，鱼类最多只能存活一天；含量水平为</w:t>
      </w:r>
      <w:r>
        <w:rPr>
          <w:rFonts w:eastAsia="TimesNewRoman"/>
          <w:kern w:val="0"/>
          <w:sz w:val="24"/>
        </w:rPr>
        <w:t>6000mg/l</w:t>
      </w:r>
      <w:r>
        <w:rPr>
          <w:rFonts w:hint="eastAsia" w:ascii="宋体" w:cs="宋体" w:hAnsiTheme="minorHAnsi"/>
          <w:kern w:val="0"/>
          <w:sz w:val="24"/>
        </w:rPr>
        <w:t>时，最多能存活一周；若每天做短时间搅拌，使沉淀的淤泥泛起，保持悬浮物浓度达到</w:t>
      </w:r>
      <w:r>
        <w:rPr>
          <w:rFonts w:eastAsia="TimesNewRoman"/>
          <w:kern w:val="0"/>
          <w:sz w:val="24"/>
        </w:rPr>
        <w:t>2300mg/l</w:t>
      </w:r>
      <w:r>
        <w:rPr>
          <w:rFonts w:hint="eastAsia" w:ascii="宋体" w:cs="宋体" w:hAnsiTheme="minorHAnsi"/>
          <w:kern w:val="0"/>
          <w:sz w:val="24"/>
        </w:rPr>
        <w:t>，则鱼类能存活</w:t>
      </w:r>
      <w:r>
        <w:rPr>
          <w:rFonts w:eastAsia="TimesNewRoman"/>
          <w:kern w:val="0"/>
          <w:sz w:val="24"/>
        </w:rPr>
        <w:t>3~4</w:t>
      </w:r>
      <w:r>
        <w:rPr>
          <w:rFonts w:hint="eastAsia" w:ascii="宋体" w:cs="宋体" w:hAnsiTheme="minorHAnsi"/>
          <w:kern w:val="0"/>
          <w:sz w:val="24"/>
        </w:rPr>
        <w:t>周。通常认为，悬浮物质的含量达到</w:t>
      </w:r>
      <w:r>
        <w:rPr>
          <w:rFonts w:eastAsia="TimesNewRoman"/>
          <w:kern w:val="0"/>
          <w:sz w:val="24"/>
        </w:rPr>
        <w:t>200mg/l</w:t>
      </w:r>
      <w:r>
        <w:rPr>
          <w:rFonts w:hint="eastAsia" w:ascii="宋体" w:cs="宋体" w:hAnsiTheme="minorHAnsi"/>
          <w:kern w:val="0"/>
          <w:sz w:val="24"/>
        </w:rPr>
        <w:t>以下及影响期较短时，不会导致鱼类直接死亡，并且</w:t>
      </w:r>
      <w:r>
        <w:rPr>
          <w:rFonts w:hint="eastAsia" w:ascii="宋体" w:cs="宋体"/>
          <w:sz w:val="24"/>
        </w:rPr>
        <w:t>成年鱼类的活动能力较强，在悬浮泥沙浓度超过</w:t>
      </w:r>
      <w:r>
        <w:rPr>
          <w:rFonts w:ascii="宋体" w:cs="宋体"/>
          <w:sz w:val="24"/>
        </w:rPr>
        <w:t xml:space="preserve">10mg/L </w:t>
      </w:r>
      <w:r>
        <w:rPr>
          <w:rFonts w:hint="eastAsia" w:ascii="宋体" w:cs="宋体"/>
          <w:sz w:val="24"/>
        </w:rPr>
        <w:t>的范围内成鱼可以回避，施工作业对其的影响更多表现为</w:t>
      </w:r>
      <w:r>
        <w:rPr>
          <w:rFonts w:ascii="TimesNewRomanPSMT" w:hAnsi="TimesNewRomanPSMT" w:cs="TimesNewRomanPSMT"/>
          <w:sz w:val="24"/>
        </w:rPr>
        <w:t>“</w:t>
      </w:r>
      <w:r>
        <w:rPr>
          <w:rFonts w:hint="eastAsia" w:ascii="宋体" w:cs="宋体"/>
          <w:sz w:val="24"/>
        </w:rPr>
        <w:t>驱散效应</w:t>
      </w:r>
      <w:r>
        <w:rPr>
          <w:rFonts w:ascii="TimesNewRomanPSMT" w:hAnsi="TimesNewRomanPSMT" w:cs="TimesNewRomanPSMT"/>
          <w:sz w:val="24"/>
        </w:rPr>
        <w:t>”</w:t>
      </w:r>
      <w:r>
        <w:rPr>
          <w:rFonts w:hint="eastAsia" w:ascii="宋体" w:cs="宋体"/>
          <w:sz w:val="24"/>
        </w:rPr>
        <w:t>。工程施工安排在枯水期进行，施工所在地多为裸露或浅水区域，此时鱼类多进入深水区域。因此，施工阶段不会对作业江段的鱼类带来较大的影响，其主要影响是改变了鱼类的暂时空间分布，不会导致前江段区域鱼类资源量的明显变化。</w:t>
      </w:r>
    </w:p>
    <w:p>
      <w:pPr>
        <w:pStyle w:val="6"/>
        <w:tabs>
          <w:tab w:val="left" w:pos="1006"/>
        </w:tabs>
        <w:spacing w:beforeLines="0" w:afterLines="0"/>
        <w:ind w:left="0" w:firstLine="0"/>
      </w:pPr>
      <w:r>
        <w:rPr>
          <w:rFonts w:hint="eastAsia"/>
        </w:rPr>
        <w:t>水土流失影响评价</w:t>
      </w:r>
    </w:p>
    <w:p>
      <w:pPr>
        <w:autoSpaceDE w:val="0"/>
        <w:autoSpaceDN w:val="0"/>
        <w:adjustRightInd w:val="0"/>
        <w:spacing w:line="360" w:lineRule="auto"/>
        <w:ind w:firstLine="480" w:firstLineChars="200"/>
        <w:rPr>
          <w:kern w:val="0"/>
          <w:sz w:val="24"/>
        </w:rPr>
      </w:pPr>
      <w:r>
        <w:rPr>
          <w:rFonts w:hint="eastAsia"/>
          <w:kern w:val="0"/>
          <w:sz w:val="24"/>
        </w:rPr>
        <w:t>（1）水土流失源分析</w:t>
      </w:r>
    </w:p>
    <w:p>
      <w:pPr>
        <w:autoSpaceDE w:val="0"/>
        <w:autoSpaceDN w:val="0"/>
        <w:adjustRightInd w:val="0"/>
        <w:spacing w:line="360" w:lineRule="auto"/>
        <w:ind w:firstLine="480" w:firstLineChars="200"/>
        <w:rPr>
          <w:kern w:val="0"/>
          <w:sz w:val="24"/>
        </w:rPr>
      </w:pPr>
      <w:r>
        <w:rPr>
          <w:rFonts w:hint="eastAsia"/>
          <w:kern w:val="0"/>
          <w:sz w:val="24"/>
        </w:rPr>
        <w:t>工程建设过程中凡是被扰动的地表，由于土壤疏松，雨水冲刷后均会产生水土流失。工程施工过程中可能产生水土流失的环节有：</w:t>
      </w:r>
      <w:r>
        <w:rPr>
          <w:kern w:val="0"/>
          <w:sz w:val="24"/>
        </w:rPr>
        <w:t>在路</w:t>
      </w:r>
      <w:r>
        <w:rPr>
          <w:rFonts w:hint="eastAsia"/>
          <w:kern w:val="0"/>
          <w:sz w:val="24"/>
        </w:rPr>
        <w:t>基挖填方及形成过程中，损坏地表覆盖植被，原来的土层结构被破坏，并形成坡地，在雨水地面径流的作用下，也很容易形成地表径流，将土颗粒带走，形成水土流失。</w:t>
      </w:r>
      <w:r>
        <w:rPr>
          <w:kern w:val="0"/>
          <w:sz w:val="24"/>
        </w:rPr>
        <w:t>施工</w:t>
      </w:r>
      <w:r>
        <w:rPr>
          <w:rFonts w:hint="eastAsia"/>
          <w:kern w:val="0"/>
          <w:sz w:val="24"/>
        </w:rPr>
        <w:t>过程中，施工区的土石渣料遇暴雨等情况时也将不可避免的产生水土流失。</w:t>
      </w:r>
    </w:p>
    <w:p>
      <w:pPr>
        <w:autoSpaceDE w:val="0"/>
        <w:autoSpaceDN w:val="0"/>
        <w:adjustRightInd w:val="0"/>
        <w:spacing w:line="360" w:lineRule="auto"/>
        <w:ind w:firstLine="480" w:firstLineChars="200"/>
        <w:rPr>
          <w:kern w:val="0"/>
          <w:sz w:val="24"/>
        </w:rPr>
      </w:pPr>
      <w:r>
        <w:rPr>
          <w:rFonts w:hint="eastAsia"/>
          <w:kern w:val="0"/>
          <w:sz w:val="24"/>
        </w:rPr>
        <w:t>本次水土流失预测范围主要是防治责任范围内的项目建设区。</w:t>
      </w:r>
    </w:p>
    <w:p>
      <w:pPr>
        <w:autoSpaceDE w:val="0"/>
        <w:autoSpaceDN w:val="0"/>
        <w:adjustRightInd w:val="0"/>
        <w:spacing w:line="360" w:lineRule="auto"/>
        <w:ind w:firstLine="420" w:firstLineChars="200"/>
      </w:pPr>
      <w:r>
        <w:rPr>
          <w:rFonts w:hint="eastAsia"/>
        </w:rPr>
        <w:t>（2）扰动原地貌、损坏土地及植被的面积</w:t>
      </w:r>
    </w:p>
    <w:p>
      <w:pPr>
        <w:autoSpaceDE w:val="0"/>
        <w:autoSpaceDN w:val="0"/>
        <w:adjustRightInd w:val="0"/>
        <w:spacing w:line="360" w:lineRule="auto"/>
        <w:ind w:firstLine="420" w:firstLineChars="200"/>
        <w:rPr>
          <w:kern w:val="0"/>
        </w:rPr>
      </w:pPr>
      <w:r>
        <w:t>项目总占地面积约158.61hm</w:t>
      </w:r>
      <w:r>
        <w:rPr>
          <w:vertAlign w:val="superscript"/>
        </w:rPr>
        <w:t>2</w:t>
      </w:r>
      <w:r>
        <w:t>，</w:t>
      </w:r>
      <w:r>
        <w:rPr>
          <w:kern w:val="0"/>
        </w:rPr>
        <w:t>本工程施工期扰动原地貌、损坏土地</w:t>
      </w:r>
      <w:r>
        <w:rPr>
          <w:rFonts w:hint="eastAsia"/>
          <w:kern w:val="0"/>
        </w:rPr>
        <w:t>。</w:t>
      </w:r>
    </w:p>
    <w:p>
      <w:pPr>
        <w:autoSpaceDE w:val="0"/>
        <w:autoSpaceDN w:val="0"/>
        <w:adjustRightInd w:val="0"/>
        <w:spacing w:line="360" w:lineRule="auto"/>
        <w:ind w:firstLine="420" w:firstLineChars="200"/>
        <w:rPr>
          <w:kern w:val="0"/>
        </w:rPr>
      </w:pPr>
      <w:r>
        <w:rPr>
          <w:rFonts w:hint="eastAsia"/>
          <w:kern w:val="0"/>
        </w:rPr>
        <w:t>（3）水土流失预测</w:t>
      </w:r>
    </w:p>
    <w:p>
      <w:pPr>
        <w:autoSpaceDE w:val="0"/>
        <w:autoSpaceDN w:val="0"/>
        <w:adjustRightInd w:val="0"/>
        <w:spacing w:line="360" w:lineRule="auto"/>
        <w:ind w:firstLine="480" w:firstLineChars="200"/>
        <w:jc w:val="left"/>
        <w:rPr>
          <w:color w:val="0070C0"/>
          <w:kern w:val="0"/>
          <w:sz w:val="24"/>
        </w:rPr>
      </w:pPr>
      <w:r>
        <w:rPr>
          <w:color w:val="0070C0"/>
          <w:kern w:val="0"/>
          <w:sz w:val="24"/>
        </w:rPr>
        <w:t>1）预测模式</w:t>
      </w:r>
    </w:p>
    <w:p>
      <w:pPr>
        <w:autoSpaceDE w:val="0"/>
        <w:autoSpaceDN w:val="0"/>
        <w:adjustRightInd w:val="0"/>
        <w:spacing w:line="360" w:lineRule="auto"/>
        <w:ind w:firstLine="480" w:firstLineChars="200"/>
        <w:jc w:val="left"/>
        <w:rPr>
          <w:color w:val="0070C0"/>
          <w:kern w:val="0"/>
          <w:sz w:val="24"/>
        </w:rPr>
      </w:pPr>
      <w:r>
        <w:rPr>
          <w:color w:val="0070C0"/>
          <w:kern w:val="0"/>
          <w:sz w:val="24"/>
        </w:rPr>
        <w:t>本项目水土流失量即为建设过程中采、挖、扰动、破坏原地貌造成的水土流失量，各项指标计算公式如下：</w:t>
      </w:r>
    </w:p>
    <w:p>
      <w:pPr>
        <w:autoSpaceDE w:val="0"/>
        <w:autoSpaceDN w:val="0"/>
        <w:adjustRightInd w:val="0"/>
        <w:spacing w:line="360" w:lineRule="auto"/>
        <w:ind w:firstLine="480" w:firstLineChars="200"/>
        <w:jc w:val="left"/>
        <w:rPr>
          <w:color w:val="0070C0"/>
          <w:kern w:val="0"/>
          <w:sz w:val="24"/>
        </w:rPr>
      </w:pPr>
      <w:r>
        <w:rPr>
          <w:color w:val="0070C0"/>
          <w:kern w:val="0"/>
          <w:sz w:val="24"/>
        </w:rPr>
        <w:t>原地貌条件下的水土流失量W</w:t>
      </w:r>
      <w:r>
        <w:rPr>
          <w:rFonts w:hint="eastAsia"/>
          <w:color w:val="0070C0"/>
          <w:kern w:val="0"/>
          <w:sz w:val="24"/>
          <w:vertAlign w:val="subscript"/>
        </w:rPr>
        <w:t>0</w:t>
      </w:r>
      <w:r>
        <w:rPr>
          <w:color w:val="0070C0"/>
          <w:kern w:val="0"/>
          <w:sz w:val="24"/>
        </w:rPr>
        <w:t>：</w:t>
      </w:r>
    </w:p>
    <w:p>
      <w:pPr>
        <w:autoSpaceDE w:val="0"/>
        <w:autoSpaceDN w:val="0"/>
        <w:adjustRightInd w:val="0"/>
        <w:spacing w:line="360" w:lineRule="auto"/>
        <w:ind w:firstLine="480" w:firstLineChars="200"/>
        <w:jc w:val="left"/>
        <w:rPr>
          <w:color w:val="0070C0"/>
          <w:kern w:val="0"/>
          <w:sz w:val="24"/>
        </w:rPr>
      </w:pPr>
      <w:r>
        <w:rPr>
          <w:color w:val="0070C0"/>
          <w:kern w:val="0"/>
          <w:sz w:val="24"/>
        </w:rPr>
        <w:t>W</w:t>
      </w:r>
      <w:r>
        <w:rPr>
          <w:color w:val="0070C0"/>
          <w:kern w:val="0"/>
          <w:sz w:val="24"/>
          <w:vertAlign w:val="subscript"/>
        </w:rPr>
        <w:t>0</w:t>
      </w:r>
      <w:r>
        <w:rPr>
          <w:color w:val="0070C0"/>
          <w:kern w:val="0"/>
          <w:sz w:val="24"/>
        </w:rPr>
        <w:t xml:space="preserve"> =∑P</w:t>
      </w:r>
      <w:r>
        <w:rPr>
          <w:color w:val="0070C0"/>
          <w:kern w:val="0"/>
          <w:sz w:val="24"/>
          <w:vertAlign w:val="subscript"/>
        </w:rPr>
        <w:t>i</w:t>
      </w:r>
      <w:r>
        <w:rPr>
          <w:color w:val="0070C0"/>
          <w:kern w:val="0"/>
          <w:sz w:val="24"/>
        </w:rPr>
        <w:t xml:space="preserve"> F</w:t>
      </w:r>
      <w:r>
        <w:rPr>
          <w:color w:val="0070C0"/>
          <w:kern w:val="0"/>
          <w:sz w:val="24"/>
          <w:vertAlign w:val="subscript"/>
        </w:rPr>
        <w:t xml:space="preserve">i </w:t>
      </w:r>
      <w:r>
        <w:rPr>
          <w:color w:val="0070C0"/>
          <w:kern w:val="0"/>
          <w:sz w:val="24"/>
        </w:rPr>
        <w:t>T=PFT</w:t>
      </w:r>
    </w:p>
    <w:p>
      <w:pPr>
        <w:autoSpaceDE w:val="0"/>
        <w:autoSpaceDN w:val="0"/>
        <w:adjustRightInd w:val="0"/>
        <w:spacing w:line="360" w:lineRule="auto"/>
        <w:ind w:firstLine="480" w:firstLineChars="200"/>
        <w:jc w:val="left"/>
        <w:rPr>
          <w:color w:val="0070C0"/>
          <w:kern w:val="0"/>
          <w:sz w:val="24"/>
        </w:rPr>
      </w:pPr>
      <w:r>
        <w:rPr>
          <w:color w:val="0070C0"/>
          <w:kern w:val="0"/>
          <w:sz w:val="24"/>
        </w:rPr>
        <w:t>项目区生产建设过程中水土流失总量（水土流失面积上的水土流失量）W：</w:t>
      </w:r>
    </w:p>
    <w:p>
      <w:pPr>
        <w:autoSpaceDE w:val="0"/>
        <w:autoSpaceDN w:val="0"/>
        <w:adjustRightInd w:val="0"/>
        <w:spacing w:line="360" w:lineRule="auto"/>
        <w:ind w:firstLine="480" w:firstLineChars="200"/>
        <w:jc w:val="left"/>
        <w:rPr>
          <w:color w:val="0070C0"/>
          <w:kern w:val="0"/>
          <w:sz w:val="24"/>
          <w:lang w:val="it-IT"/>
        </w:rPr>
      </w:pPr>
      <w:r>
        <w:rPr>
          <w:color w:val="0070C0"/>
          <w:kern w:val="0"/>
          <w:sz w:val="24"/>
          <w:lang w:val="it-IT"/>
        </w:rPr>
        <w:t>W =∑P</w:t>
      </w:r>
      <w:r>
        <w:rPr>
          <w:color w:val="0070C0"/>
          <w:kern w:val="0"/>
          <w:sz w:val="24"/>
          <w:vertAlign w:val="subscript"/>
          <w:lang w:val="it-IT"/>
        </w:rPr>
        <w:t>i</w:t>
      </w:r>
      <w:r>
        <w:rPr>
          <w:color w:val="0070C0"/>
          <w:kern w:val="0"/>
          <w:sz w:val="24"/>
          <w:lang w:val="it-IT"/>
        </w:rPr>
        <w:t xml:space="preserve"> A</w:t>
      </w:r>
      <w:r>
        <w:rPr>
          <w:color w:val="0070C0"/>
          <w:kern w:val="0"/>
          <w:sz w:val="24"/>
          <w:vertAlign w:val="subscript"/>
          <w:lang w:val="it-IT"/>
        </w:rPr>
        <w:t>i</w:t>
      </w:r>
      <w:r>
        <w:rPr>
          <w:color w:val="0070C0"/>
          <w:kern w:val="0"/>
          <w:sz w:val="24"/>
          <w:lang w:val="it-IT"/>
        </w:rPr>
        <w:t xml:space="preserve"> F</w:t>
      </w:r>
      <w:r>
        <w:rPr>
          <w:color w:val="0070C0"/>
          <w:kern w:val="0"/>
          <w:sz w:val="24"/>
          <w:vertAlign w:val="subscript"/>
          <w:lang w:val="it-IT"/>
        </w:rPr>
        <w:t>i</w:t>
      </w:r>
      <w:r>
        <w:rPr>
          <w:color w:val="0070C0"/>
          <w:kern w:val="0"/>
          <w:sz w:val="24"/>
          <w:lang w:val="it-IT"/>
        </w:rPr>
        <w:t xml:space="preserve"> T=PAFT</w:t>
      </w:r>
    </w:p>
    <w:p>
      <w:pPr>
        <w:autoSpaceDE w:val="0"/>
        <w:autoSpaceDN w:val="0"/>
        <w:adjustRightInd w:val="0"/>
        <w:spacing w:line="360" w:lineRule="auto"/>
        <w:ind w:firstLine="480" w:firstLineChars="200"/>
        <w:jc w:val="left"/>
        <w:rPr>
          <w:color w:val="0070C0"/>
          <w:kern w:val="0"/>
          <w:sz w:val="24"/>
        </w:rPr>
      </w:pPr>
      <w:r>
        <w:rPr>
          <w:color w:val="0070C0"/>
          <w:kern w:val="0"/>
          <w:sz w:val="24"/>
        </w:rPr>
        <w:t>因项目区生产建设活动新增加的水土流失量W</w:t>
      </w:r>
      <w:r>
        <w:rPr>
          <w:color w:val="0070C0"/>
          <w:kern w:val="0"/>
          <w:sz w:val="24"/>
          <w:vertAlign w:val="subscript"/>
        </w:rPr>
        <w:t>c</w:t>
      </w:r>
      <w:r>
        <w:rPr>
          <w:color w:val="0070C0"/>
          <w:kern w:val="0"/>
          <w:sz w:val="24"/>
        </w:rPr>
        <w:t>：</w:t>
      </w:r>
    </w:p>
    <w:p>
      <w:pPr>
        <w:autoSpaceDE w:val="0"/>
        <w:autoSpaceDN w:val="0"/>
        <w:adjustRightInd w:val="0"/>
        <w:spacing w:line="360" w:lineRule="auto"/>
        <w:ind w:firstLine="480" w:firstLineChars="200"/>
        <w:jc w:val="left"/>
        <w:rPr>
          <w:color w:val="0070C0"/>
          <w:kern w:val="0"/>
          <w:sz w:val="24"/>
        </w:rPr>
      </w:pPr>
      <w:r>
        <w:rPr>
          <w:color w:val="0070C0"/>
          <w:kern w:val="0"/>
          <w:sz w:val="24"/>
        </w:rPr>
        <w:t>W</w:t>
      </w:r>
      <w:r>
        <w:rPr>
          <w:color w:val="0070C0"/>
          <w:kern w:val="0"/>
          <w:sz w:val="24"/>
          <w:vertAlign w:val="subscript"/>
        </w:rPr>
        <w:t>c</w:t>
      </w:r>
      <w:r>
        <w:rPr>
          <w:color w:val="0070C0"/>
          <w:kern w:val="0"/>
          <w:sz w:val="24"/>
        </w:rPr>
        <w:t xml:space="preserve"> = W –W</w:t>
      </w:r>
      <w:r>
        <w:rPr>
          <w:color w:val="0070C0"/>
          <w:kern w:val="0"/>
          <w:sz w:val="24"/>
          <w:vertAlign w:val="subscript"/>
        </w:rPr>
        <w:t>0</w:t>
      </w:r>
    </w:p>
    <w:p>
      <w:pPr>
        <w:autoSpaceDE w:val="0"/>
        <w:autoSpaceDN w:val="0"/>
        <w:adjustRightInd w:val="0"/>
        <w:spacing w:line="360" w:lineRule="auto"/>
        <w:ind w:firstLine="480" w:firstLineChars="200"/>
        <w:jc w:val="left"/>
        <w:rPr>
          <w:color w:val="0070C0"/>
          <w:kern w:val="0"/>
          <w:sz w:val="24"/>
        </w:rPr>
      </w:pPr>
      <w:r>
        <w:rPr>
          <w:color w:val="0070C0"/>
          <w:kern w:val="0"/>
          <w:sz w:val="24"/>
        </w:rPr>
        <w:t>上述各式中：P</w:t>
      </w:r>
      <w:r>
        <w:rPr>
          <w:rFonts w:hint="eastAsia"/>
          <w:color w:val="0070C0"/>
          <w:kern w:val="0"/>
          <w:sz w:val="24"/>
        </w:rPr>
        <w:t>——</w:t>
      </w:r>
      <w:r>
        <w:rPr>
          <w:color w:val="0070C0"/>
          <w:kern w:val="0"/>
          <w:sz w:val="24"/>
        </w:rPr>
        <w:t>原地貌条件下的侵蚀模数，t/(km²·a)；A</w:t>
      </w:r>
      <w:r>
        <w:rPr>
          <w:rFonts w:hint="eastAsia"/>
          <w:color w:val="0070C0"/>
          <w:kern w:val="0"/>
          <w:sz w:val="24"/>
        </w:rPr>
        <w:t>——</w:t>
      </w:r>
      <w:r>
        <w:rPr>
          <w:color w:val="0070C0"/>
          <w:kern w:val="0"/>
          <w:sz w:val="24"/>
        </w:rPr>
        <w:t>加速侵蚀系数；</w:t>
      </w:r>
    </w:p>
    <w:p>
      <w:pPr>
        <w:autoSpaceDE w:val="0"/>
        <w:autoSpaceDN w:val="0"/>
        <w:adjustRightInd w:val="0"/>
        <w:spacing w:line="360" w:lineRule="auto"/>
        <w:ind w:firstLine="480" w:firstLineChars="200"/>
        <w:jc w:val="left"/>
        <w:rPr>
          <w:color w:val="0070C0"/>
          <w:kern w:val="0"/>
          <w:sz w:val="24"/>
        </w:rPr>
      </w:pPr>
      <w:r>
        <w:rPr>
          <w:color w:val="0070C0"/>
          <w:kern w:val="0"/>
          <w:sz w:val="24"/>
        </w:rPr>
        <w:t>F</w:t>
      </w:r>
      <w:r>
        <w:rPr>
          <w:rFonts w:hint="eastAsia"/>
          <w:color w:val="0070C0"/>
          <w:kern w:val="0"/>
          <w:sz w:val="24"/>
        </w:rPr>
        <w:t>——</w:t>
      </w:r>
      <w:r>
        <w:rPr>
          <w:color w:val="0070C0"/>
          <w:kern w:val="0"/>
          <w:sz w:val="24"/>
        </w:rPr>
        <w:t>可能造成的水土流失面积，km²；T</w:t>
      </w:r>
      <w:r>
        <w:rPr>
          <w:rFonts w:hint="eastAsia"/>
          <w:color w:val="0070C0"/>
          <w:kern w:val="0"/>
          <w:sz w:val="24"/>
        </w:rPr>
        <w:t>——</w:t>
      </w:r>
      <w:r>
        <w:rPr>
          <w:color w:val="0070C0"/>
          <w:kern w:val="0"/>
          <w:sz w:val="24"/>
        </w:rPr>
        <w:t>预测时间，年。</w:t>
      </w:r>
    </w:p>
    <w:p>
      <w:pPr>
        <w:autoSpaceDE w:val="0"/>
        <w:autoSpaceDN w:val="0"/>
        <w:adjustRightInd w:val="0"/>
        <w:spacing w:line="360" w:lineRule="auto"/>
        <w:ind w:firstLine="480" w:firstLineChars="200"/>
        <w:jc w:val="left"/>
        <w:rPr>
          <w:color w:val="0070C0"/>
          <w:kern w:val="0"/>
          <w:sz w:val="24"/>
        </w:rPr>
      </w:pPr>
      <w:r>
        <w:rPr>
          <w:rFonts w:hint="eastAsia"/>
          <w:color w:val="0070C0"/>
          <w:kern w:val="0"/>
          <w:sz w:val="24"/>
        </w:rPr>
        <w:t>2）</w:t>
      </w:r>
      <w:r>
        <w:rPr>
          <w:color w:val="0070C0"/>
          <w:kern w:val="0"/>
          <w:sz w:val="24"/>
        </w:rPr>
        <w:t>预测结果</w:t>
      </w:r>
    </w:p>
    <w:p>
      <w:pPr>
        <w:autoSpaceDE w:val="0"/>
        <w:autoSpaceDN w:val="0"/>
        <w:adjustRightInd w:val="0"/>
        <w:spacing w:line="360" w:lineRule="auto"/>
        <w:ind w:firstLine="480" w:firstLineChars="200"/>
        <w:jc w:val="left"/>
        <w:rPr>
          <w:b/>
          <w:color w:val="0070C0"/>
          <w:sz w:val="24"/>
        </w:rPr>
      </w:pPr>
      <w:r>
        <w:rPr>
          <w:rFonts w:hint="eastAsia"/>
          <w:color w:val="0070C0"/>
          <w:kern w:val="0"/>
          <w:sz w:val="24"/>
        </w:rPr>
        <w:t>根据《世行贷款宜昌三峡现代物流中心基础设施项目水土保持方案报告书》，并结合现场调查，确定工程建设扰动范围内原地貌的土壤侵蚀背景值和扰动后土壤侵蚀模数。</w:t>
      </w:r>
      <w:r>
        <w:rPr>
          <w:color w:val="0070C0"/>
          <w:kern w:val="0"/>
          <w:sz w:val="24"/>
        </w:rPr>
        <w:t>工程施工期</w:t>
      </w:r>
      <w:r>
        <w:rPr>
          <w:rFonts w:hint="eastAsia"/>
          <w:color w:val="0070C0"/>
          <w:kern w:val="0"/>
          <w:sz w:val="24"/>
        </w:rPr>
        <w:t>及自然恢复期的</w:t>
      </w:r>
      <w:r>
        <w:rPr>
          <w:color w:val="0070C0"/>
          <w:kern w:val="0"/>
          <w:sz w:val="24"/>
        </w:rPr>
        <w:t>扰动地表水土流失量预测结果见表</w:t>
      </w:r>
      <w:r>
        <w:rPr>
          <w:rFonts w:hint="eastAsia"/>
          <w:color w:val="0070C0"/>
          <w:kern w:val="0"/>
          <w:sz w:val="24"/>
        </w:rPr>
        <w:t>5.1-1</w:t>
      </w:r>
      <w:r>
        <w:rPr>
          <w:color w:val="0070C0"/>
          <w:kern w:val="0"/>
          <w:sz w:val="24"/>
        </w:rPr>
        <w:t>。</w:t>
      </w:r>
    </w:p>
    <w:p>
      <w:pPr>
        <w:ind w:firstLine="422" w:firstLineChars="200"/>
        <w:jc w:val="center"/>
        <w:rPr>
          <w:b/>
          <w:color w:val="0070C0"/>
          <w:szCs w:val="21"/>
        </w:rPr>
      </w:pPr>
      <w:r>
        <w:rPr>
          <w:b/>
          <w:color w:val="0070C0"/>
          <w:szCs w:val="21"/>
        </w:rPr>
        <w:t>表</w:t>
      </w:r>
      <w:r>
        <w:rPr>
          <w:rFonts w:hint="eastAsia"/>
          <w:b/>
          <w:color w:val="0070C0"/>
          <w:szCs w:val="21"/>
        </w:rPr>
        <w:t>5.1-1</w:t>
      </w:r>
      <w:r>
        <w:rPr>
          <w:rFonts w:hint="eastAsia"/>
          <w:b/>
          <w:color w:val="0070C0"/>
          <w:szCs w:val="21"/>
        </w:rPr>
        <w:tab/>
      </w:r>
      <w:r>
        <w:rPr>
          <w:rFonts w:hint="eastAsia"/>
          <w:b/>
          <w:color w:val="0070C0"/>
          <w:szCs w:val="21"/>
        </w:rPr>
        <w:tab/>
      </w:r>
      <w:r>
        <w:rPr>
          <w:b/>
          <w:color w:val="0070C0"/>
          <w:szCs w:val="21"/>
        </w:rPr>
        <w:t>施工期扰动地表水土流失量预测结果</w:t>
      </w:r>
    </w:p>
    <w:tbl>
      <w:tblPr>
        <w:tblStyle w:val="104"/>
        <w:tblW w:w="9375" w:type="dxa"/>
        <w:jc w:val="center"/>
        <w:tblInd w:w="679" w:type="dxa"/>
        <w:tblLayout w:type="fixed"/>
        <w:tblCellMar>
          <w:top w:w="15" w:type="dxa"/>
          <w:left w:w="15" w:type="dxa"/>
          <w:bottom w:w="15" w:type="dxa"/>
          <w:right w:w="15" w:type="dxa"/>
        </w:tblCellMar>
      </w:tblPr>
      <w:tblGrid>
        <w:gridCol w:w="1276"/>
        <w:gridCol w:w="1244"/>
        <w:gridCol w:w="1043"/>
        <w:gridCol w:w="1134"/>
        <w:gridCol w:w="992"/>
        <w:gridCol w:w="851"/>
        <w:gridCol w:w="850"/>
        <w:gridCol w:w="951"/>
        <w:gridCol w:w="1034"/>
      </w:tblGrid>
      <w:tr>
        <w:tblPrEx>
          <w:tblLayout w:type="fixed"/>
          <w:tblCellMar>
            <w:top w:w="15" w:type="dxa"/>
            <w:left w:w="15" w:type="dxa"/>
            <w:bottom w:w="15" w:type="dxa"/>
            <w:right w:w="15" w:type="dxa"/>
          </w:tblCellMar>
        </w:tblPrEx>
        <w:trPr>
          <w:trHeight w:val="695" w:hRule="atLeast"/>
          <w:jc w:val="center"/>
        </w:trPr>
        <w:tc>
          <w:tcPr>
            <w:tcW w:w="1276" w:type="dxa"/>
            <w:vMerge w:val="restart"/>
            <w:tcBorders>
              <w:top w:val="single" w:color="000000" w:sz="12" w:space="0"/>
              <w:left w:val="single" w:color="000000" w:sz="12"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单元</w:t>
            </w:r>
          </w:p>
        </w:tc>
        <w:tc>
          <w:tcPr>
            <w:tcW w:w="1244" w:type="dxa"/>
            <w:vMerge w:val="restart"/>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时段</w:t>
            </w:r>
          </w:p>
        </w:tc>
        <w:tc>
          <w:tcPr>
            <w:tcW w:w="1043"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土壤侵背景值</w:t>
            </w:r>
          </w:p>
        </w:tc>
        <w:tc>
          <w:tcPr>
            <w:tcW w:w="1134"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扰动后侵蚀模数</w:t>
            </w:r>
          </w:p>
        </w:tc>
        <w:tc>
          <w:tcPr>
            <w:tcW w:w="992"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侵蚀面积</w:t>
            </w:r>
          </w:p>
        </w:tc>
        <w:tc>
          <w:tcPr>
            <w:tcW w:w="851"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侵蚀时间</w:t>
            </w:r>
          </w:p>
        </w:tc>
        <w:tc>
          <w:tcPr>
            <w:tcW w:w="850"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背景流失量</w:t>
            </w:r>
          </w:p>
        </w:tc>
        <w:tc>
          <w:tcPr>
            <w:tcW w:w="951" w:type="dxa"/>
            <w:tcBorders>
              <w:top w:val="single" w:color="000000" w:sz="12"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预测流失量</w:t>
            </w:r>
          </w:p>
        </w:tc>
        <w:tc>
          <w:tcPr>
            <w:tcW w:w="1034" w:type="dxa"/>
            <w:tcBorders>
              <w:top w:val="single" w:color="000000" w:sz="12" w:space="0"/>
              <w:left w:val="single" w:color="000000" w:sz="4" w:space="0"/>
              <w:bottom w:val="single" w:color="000000" w:sz="4" w:space="0"/>
              <w:right w:val="single" w:color="000000" w:sz="12" w:space="0"/>
            </w:tcBorders>
            <w:vAlign w:val="center"/>
          </w:tcPr>
          <w:p>
            <w:pPr>
              <w:widowControl/>
              <w:jc w:val="center"/>
              <w:textAlignment w:val="center"/>
              <w:rPr>
                <w:b/>
                <w:color w:val="0070C0"/>
                <w:szCs w:val="21"/>
              </w:rPr>
            </w:pPr>
            <w:r>
              <w:rPr>
                <w:b/>
                <w:color w:val="0070C0"/>
                <w:kern w:val="0"/>
                <w:szCs w:val="21"/>
                <w:lang w:bidi="ar"/>
              </w:rPr>
              <w:t>新增流失量</w:t>
            </w:r>
          </w:p>
        </w:tc>
      </w:tr>
      <w:tr>
        <w:tblPrEx>
          <w:tblLayout w:type="fixed"/>
          <w:tblCellMar>
            <w:top w:w="15" w:type="dxa"/>
            <w:left w:w="15" w:type="dxa"/>
            <w:bottom w:w="15" w:type="dxa"/>
            <w:right w:w="15" w:type="dxa"/>
          </w:tblCellMar>
        </w:tblPrEx>
        <w:trPr>
          <w:trHeight w:val="473" w:hRule="atLeast"/>
          <w:jc w:val="center"/>
        </w:trPr>
        <w:tc>
          <w:tcPr>
            <w:tcW w:w="1276" w:type="dxa"/>
            <w:vMerge w:val="continue"/>
            <w:tcBorders>
              <w:top w:val="single" w:color="000000" w:sz="12" w:space="0"/>
              <w:left w:val="single" w:color="000000" w:sz="12" w:space="0"/>
              <w:bottom w:val="single" w:color="000000" w:sz="4" w:space="0"/>
              <w:right w:val="single" w:color="000000" w:sz="4" w:space="0"/>
            </w:tcBorders>
            <w:vAlign w:val="center"/>
          </w:tcPr>
          <w:p>
            <w:pPr>
              <w:jc w:val="center"/>
              <w:rPr>
                <w:b/>
                <w:color w:val="0070C0"/>
                <w:szCs w:val="21"/>
              </w:rPr>
            </w:pPr>
          </w:p>
        </w:tc>
        <w:tc>
          <w:tcPr>
            <w:tcW w:w="1244" w:type="dxa"/>
            <w:vMerge w:val="continue"/>
            <w:tcBorders>
              <w:top w:val="single" w:color="000000" w:sz="12" w:space="0"/>
              <w:left w:val="single" w:color="000000" w:sz="4" w:space="0"/>
              <w:bottom w:val="single" w:color="000000" w:sz="4" w:space="0"/>
              <w:right w:val="single" w:color="000000" w:sz="4" w:space="0"/>
            </w:tcBorders>
            <w:vAlign w:val="center"/>
          </w:tcPr>
          <w:p>
            <w:pPr>
              <w:jc w:val="center"/>
              <w:rPr>
                <w:b/>
                <w:color w:val="0070C0"/>
                <w:szCs w:val="21"/>
              </w:rPr>
            </w:pP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t/(km</w:t>
            </w:r>
            <w:r>
              <w:rPr>
                <w:b/>
                <w:color w:val="0070C0"/>
                <w:kern w:val="0"/>
                <w:szCs w:val="21"/>
                <w:vertAlign w:val="superscript"/>
                <w:lang w:bidi="ar"/>
              </w:rPr>
              <w:t>2</w:t>
            </w:r>
            <w:r>
              <w:rPr>
                <w:b/>
                <w:color w:val="0070C0"/>
                <w:kern w:val="0"/>
                <w:szCs w:val="21"/>
                <w:lang w:bidi="ar"/>
              </w:rPr>
              <w:t>·a)</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t/(km</w:t>
            </w:r>
            <w:r>
              <w:rPr>
                <w:b/>
                <w:color w:val="0070C0"/>
                <w:kern w:val="0"/>
                <w:szCs w:val="21"/>
                <w:vertAlign w:val="superscript"/>
                <w:lang w:bidi="ar"/>
              </w:rPr>
              <w:t>2</w:t>
            </w:r>
            <w:r>
              <w:rPr>
                <w:b/>
                <w:color w:val="0070C0"/>
                <w:kern w:val="0"/>
                <w:szCs w:val="21"/>
                <w:lang w:bidi="ar"/>
              </w:rPr>
              <w:t>·a)</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hm</w:t>
            </w:r>
            <w:r>
              <w:rPr>
                <w:b/>
                <w:color w:val="0070C0"/>
                <w:kern w:val="0"/>
                <w:szCs w:val="21"/>
                <w:vertAlign w:val="superscript"/>
                <w:lang w:bidi="ar"/>
              </w:rPr>
              <w:t>2</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a</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t</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b/>
                <w:color w:val="0070C0"/>
                <w:szCs w:val="21"/>
              </w:rPr>
            </w:pPr>
            <w:r>
              <w:rPr>
                <w:b/>
                <w:color w:val="0070C0"/>
                <w:kern w:val="0"/>
                <w:szCs w:val="21"/>
                <w:lang w:bidi="ar"/>
              </w:rPr>
              <w:t>t</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b/>
                <w:color w:val="0070C0"/>
                <w:szCs w:val="21"/>
              </w:rPr>
            </w:pPr>
            <w:r>
              <w:rPr>
                <w:b/>
                <w:color w:val="0070C0"/>
                <w:kern w:val="0"/>
                <w:szCs w:val="21"/>
                <w:lang w:bidi="ar"/>
              </w:rPr>
              <w:t>t</w:t>
            </w:r>
          </w:p>
        </w:tc>
      </w:tr>
      <w:tr>
        <w:tblPrEx>
          <w:tblLayout w:type="fixed"/>
          <w:tblCellMar>
            <w:top w:w="15" w:type="dxa"/>
            <w:left w:w="15" w:type="dxa"/>
            <w:bottom w:w="15" w:type="dxa"/>
            <w:right w:w="15" w:type="dxa"/>
          </w:tblCellMar>
        </w:tblPrEx>
        <w:trPr>
          <w:trHeight w:val="454" w:hRule="atLeast"/>
          <w:jc w:val="center"/>
        </w:trPr>
        <w:tc>
          <w:tcPr>
            <w:tcW w:w="1276" w:type="dxa"/>
            <w:vMerge w:val="restart"/>
            <w:tcBorders>
              <w:top w:val="single" w:color="000000" w:sz="4" w:space="0"/>
              <w:left w:val="single" w:color="000000" w:sz="12" w:space="0"/>
              <w:bottom w:val="single" w:color="000000" w:sz="4" w:space="0"/>
              <w:right w:val="single" w:color="000000" w:sz="4" w:space="0"/>
            </w:tcBorders>
            <w:vAlign w:val="center"/>
          </w:tcPr>
          <w:p>
            <w:pPr>
              <w:widowControl/>
              <w:jc w:val="center"/>
              <w:textAlignment w:val="center"/>
              <w:rPr>
                <w:rFonts w:ascii="宋体" w:hAnsi="宋体" w:cs="宋体"/>
                <w:color w:val="0070C0"/>
                <w:szCs w:val="21"/>
              </w:rPr>
            </w:pPr>
            <w:r>
              <w:rPr>
                <w:rFonts w:hint="eastAsia" w:ascii="宋体" w:hAnsi="宋体" w:cs="宋体"/>
                <w:color w:val="0070C0"/>
                <w:kern w:val="0"/>
                <w:szCs w:val="21"/>
                <w:lang w:bidi="ar"/>
              </w:rPr>
              <w:t>港口作业区</w:t>
            </w: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施工期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878.70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9000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44.93</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4</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1579.20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16174.8</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14595.60 </w:t>
            </w:r>
          </w:p>
        </w:tc>
      </w:tr>
      <w:tr>
        <w:tblPrEx>
          <w:tblLayout w:type="fixed"/>
          <w:tblCellMar>
            <w:top w:w="15" w:type="dxa"/>
            <w:left w:w="15" w:type="dxa"/>
            <w:bottom w:w="15" w:type="dxa"/>
            <w:right w:w="15" w:type="dxa"/>
          </w:tblCellMar>
        </w:tblPrEx>
        <w:trPr>
          <w:trHeight w:val="454" w:hRule="atLeast"/>
          <w:jc w:val="center"/>
        </w:trPr>
        <w:tc>
          <w:tcPr>
            <w:tcW w:w="1276" w:type="dxa"/>
            <w:vMerge w:val="continue"/>
            <w:tcBorders>
              <w:top w:val="single" w:color="000000" w:sz="4" w:space="0"/>
              <w:left w:val="single" w:color="000000" w:sz="12" w:space="0"/>
              <w:bottom w:val="single" w:color="000000" w:sz="4" w:space="0"/>
              <w:right w:val="single" w:color="000000" w:sz="4" w:space="0"/>
            </w:tcBorders>
            <w:vAlign w:val="center"/>
          </w:tcPr>
          <w:p>
            <w:pPr>
              <w:jc w:val="center"/>
              <w:rPr>
                <w:rFonts w:ascii="宋体" w:hAnsi="宋体" w:cs="宋体"/>
                <w:color w:val="0070C0"/>
                <w:szCs w:val="21"/>
              </w:rPr>
            </w:pP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自然恢复期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878.70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1500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14.63</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128.55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219.45</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90.90 </w:t>
            </w:r>
          </w:p>
        </w:tc>
      </w:tr>
      <w:tr>
        <w:tblPrEx>
          <w:tblLayout w:type="fixed"/>
          <w:tblCellMar>
            <w:top w:w="15" w:type="dxa"/>
            <w:left w:w="15" w:type="dxa"/>
            <w:bottom w:w="15" w:type="dxa"/>
            <w:right w:w="15" w:type="dxa"/>
          </w:tblCellMar>
        </w:tblPrEx>
        <w:trPr>
          <w:trHeight w:val="454" w:hRule="atLeast"/>
          <w:jc w:val="center"/>
        </w:trPr>
        <w:tc>
          <w:tcPr>
            <w:tcW w:w="1276" w:type="dxa"/>
            <w:vMerge w:val="restart"/>
            <w:tcBorders>
              <w:top w:val="single" w:color="000000" w:sz="4" w:space="0"/>
              <w:left w:val="single" w:color="000000" w:sz="12" w:space="0"/>
              <w:bottom w:val="single" w:color="000000" w:sz="4" w:space="0"/>
              <w:right w:val="single" w:color="000000" w:sz="4" w:space="0"/>
            </w:tcBorders>
            <w:vAlign w:val="center"/>
          </w:tcPr>
          <w:p>
            <w:pPr>
              <w:widowControl/>
              <w:jc w:val="center"/>
              <w:textAlignment w:val="center"/>
              <w:rPr>
                <w:rFonts w:ascii="宋体" w:hAnsi="宋体" w:cs="宋体"/>
                <w:color w:val="0070C0"/>
                <w:szCs w:val="21"/>
              </w:rPr>
            </w:pPr>
            <w:r>
              <w:rPr>
                <w:rFonts w:hint="eastAsia" w:ascii="宋体" w:hAnsi="宋体" w:cs="宋体"/>
                <w:color w:val="0070C0"/>
                <w:kern w:val="0"/>
                <w:szCs w:val="21"/>
                <w:lang w:bidi="ar"/>
              </w:rPr>
              <w:t>物流园区</w:t>
            </w: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施工期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942.06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8000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89.87</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4</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3386.52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28758.4</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25371.88 </w:t>
            </w:r>
          </w:p>
        </w:tc>
      </w:tr>
      <w:tr>
        <w:tblPrEx>
          <w:tblLayout w:type="fixed"/>
          <w:tblCellMar>
            <w:top w:w="15" w:type="dxa"/>
            <w:left w:w="15" w:type="dxa"/>
            <w:bottom w:w="15" w:type="dxa"/>
            <w:right w:w="15" w:type="dxa"/>
          </w:tblCellMar>
        </w:tblPrEx>
        <w:trPr>
          <w:trHeight w:val="454" w:hRule="atLeast"/>
          <w:jc w:val="center"/>
        </w:trPr>
        <w:tc>
          <w:tcPr>
            <w:tcW w:w="1276" w:type="dxa"/>
            <w:vMerge w:val="continue"/>
            <w:tcBorders>
              <w:top w:val="single" w:color="000000" w:sz="4" w:space="0"/>
              <w:left w:val="single" w:color="000000" w:sz="12" w:space="0"/>
              <w:bottom w:val="single" w:color="000000" w:sz="4" w:space="0"/>
              <w:right w:val="single" w:color="000000" w:sz="4" w:space="0"/>
            </w:tcBorders>
            <w:vAlign w:val="center"/>
          </w:tcPr>
          <w:p>
            <w:pPr>
              <w:jc w:val="center"/>
              <w:rPr>
                <w:rFonts w:ascii="宋体" w:hAnsi="宋体" w:cs="宋体"/>
                <w:color w:val="0070C0"/>
                <w:szCs w:val="21"/>
              </w:rPr>
            </w:pP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自然恢复期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942.06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1500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26.36</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248.33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395.4</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147.07 </w:t>
            </w:r>
          </w:p>
        </w:tc>
      </w:tr>
      <w:tr>
        <w:tblPrEx>
          <w:tblLayout w:type="fixed"/>
          <w:tblCellMar>
            <w:top w:w="15" w:type="dxa"/>
            <w:left w:w="15" w:type="dxa"/>
            <w:bottom w:w="15" w:type="dxa"/>
            <w:right w:w="15" w:type="dxa"/>
          </w:tblCellMar>
        </w:tblPrEx>
        <w:trPr>
          <w:trHeight w:val="454" w:hRule="atLeast"/>
          <w:jc w:val="center"/>
        </w:trPr>
        <w:tc>
          <w:tcPr>
            <w:tcW w:w="1276" w:type="dxa"/>
            <w:vMerge w:val="restart"/>
            <w:tcBorders>
              <w:top w:val="single" w:color="000000" w:sz="4" w:space="0"/>
              <w:left w:val="single" w:color="000000" w:sz="12" w:space="0"/>
              <w:bottom w:val="single" w:color="000000" w:sz="4" w:space="0"/>
              <w:right w:val="single" w:color="000000" w:sz="4" w:space="0"/>
            </w:tcBorders>
            <w:vAlign w:val="center"/>
          </w:tcPr>
          <w:p>
            <w:pPr>
              <w:widowControl/>
              <w:jc w:val="center"/>
              <w:textAlignment w:val="center"/>
              <w:rPr>
                <w:rFonts w:ascii="宋体" w:hAnsi="宋体" w:cs="宋体"/>
                <w:color w:val="0070C0"/>
                <w:szCs w:val="21"/>
              </w:rPr>
            </w:pPr>
            <w:r>
              <w:rPr>
                <w:rFonts w:hint="eastAsia" w:ascii="宋体" w:hAnsi="宋体" w:cs="宋体"/>
                <w:color w:val="0070C0"/>
                <w:kern w:val="0"/>
                <w:szCs w:val="21"/>
                <w:lang w:bidi="ar"/>
              </w:rPr>
              <w:t>道路交通基础设施建设区</w:t>
            </w: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施工期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1131.43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8000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4.2</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4</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190.08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1344</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1153.92 </w:t>
            </w:r>
          </w:p>
        </w:tc>
      </w:tr>
      <w:tr>
        <w:tblPrEx>
          <w:tblLayout w:type="fixed"/>
        </w:tblPrEx>
        <w:trPr>
          <w:trHeight w:val="454" w:hRule="atLeast"/>
          <w:jc w:val="center"/>
        </w:trPr>
        <w:tc>
          <w:tcPr>
            <w:tcW w:w="1276" w:type="dxa"/>
            <w:vMerge w:val="continue"/>
            <w:tcBorders>
              <w:top w:val="single" w:color="000000" w:sz="4" w:space="0"/>
              <w:left w:val="single" w:color="000000" w:sz="12" w:space="0"/>
              <w:bottom w:val="single" w:color="000000" w:sz="4" w:space="0"/>
              <w:right w:val="single" w:color="000000" w:sz="4" w:space="0"/>
            </w:tcBorders>
            <w:vAlign w:val="center"/>
          </w:tcPr>
          <w:p>
            <w:pPr>
              <w:jc w:val="center"/>
              <w:rPr>
                <w:rFonts w:ascii="宋体" w:hAnsi="宋体" w:cs="宋体"/>
                <w:color w:val="0070C0"/>
                <w:szCs w:val="21"/>
              </w:rPr>
            </w:pP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自然恢复期</w:t>
            </w:r>
          </w:p>
        </w:tc>
        <w:tc>
          <w:tcPr>
            <w:tcW w:w="10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1131.43 </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1500</w:t>
            </w:r>
          </w:p>
        </w:tc>
        <w:tc>
          <w:tcPr>
            <w:tcW w:w="99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1.39</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1</w:t>
            </w: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15.73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20.85</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5.12 </w:t>
            </w:r>
          </w:p>
        </w:tc>
      </w:tr>
      <w:tr>
        <w:tblPrEx>
          <w:tblLayout w:type="fixed"/>
          <w:tblCellMar>
            <w:top w:w="15" w:type="dxa"/>
            <w:left w:w="15" w:type="dxa"/>
            <w:bottom w:w="15" w:type="dxa"/>
            <w:right w:w="15" w:type="dxa"/>
          </w:tblCellMar>
        </w:tblPrEx>
        <w:trPr>
          <w:trHeight w:val="454" w:hRule="atLeast"/>
          <w:jc w:val="center"/>
        </w:trPr>
        <w:tc>
          <w:tcPr>
            <w:tcW w:w="1276" w:type="dxa"/>
            <w:vMerge w:val="restart"/>
            <w:tcBorders>
              <w:top w:val="single" w:color="000000" w:sz="4" w:space="0"/>
              <w:left w:val="single" w:color="000000" w:sz="12" w:space="0"/>
              <w:bottom w:val="single" w:color="000000" w:sz="12" w:space="0"/>
              <w:right w:val="single" w:color="000000" w:sz="4" w:space="0"/>
            </w:tcBorders>
            <w:vAlign w:val="center"/>
          </w:tcPr>
          <w:p>
            <w:pPr>
              <w:widowControl/>
              <w:jc w:val="center"/>
              <w:textAlignment w:val="center"/>
              <w:rPr>
                <w:color w:val="0070C0"/>
                <w:szCs w:val="21"/>
              </w:rPr>
            </w:pPr>
            <w:r>
              <w:rPr>
                <w:color w:val="0070C0"/>
                <w:kern w:val="0"/>
                <w:szCs w:val="21"/>
                <w:lang w:bidi="ar"/>
              </w:rPr>
              <w:t>合计</w:t>
            </w: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施工期</w:t>
            </w:r>
          </w:p>
        </w:tc>
        <w:tc>
          <w:tcPr>
            <w:tcW w:w="1043"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851"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5155.80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46277.20 </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41121.40 </w:t>
            </w:r>
          </w:p>
        </w:tc>
      </w:tr>
      <w:tr>
        <w:tblPrEx>
          <w:tblLayout w:type="fixed"/>
          <w:tblCellMar>
            <w:top w:w="15" w:type="dxa"/>
            <w:left w:w="15" w:type="dxa"/>
            <w:bottom w:w="15" w:type="dxa"/>
            <w:right w:w="15" w:type="dxa"/>
          </w:tblCellMar>
        </w:tblPrEx>
        <w:trPr>
          <w:trHeight w:val="473" w:hRule="atLeast"/>
          <w:jc w:val="center"/>
        </w:trPr>
        <w:tc>
          <w:tcPr>
            <w:tcW w:w="1276" w:type="dxa"/>
            <w:vMerge w:val="continue"/>
            <w:tcBorders>
              <w:top w:val="single" w:color="000000" w:sz="4" w:space="0"/>
              <w:left w:val="single" w:color="000000" w:sz="12" w:space="0"/>
              <w:bottom w:val="single" w:color="000000" w:sz="12" w:space="0"/>
              <w:right w:val="single" w:color="000000" w:sz="4" w:space="0"/>
            </w:tcBorders>
            <w:vAlign w:val="center"/>
          </w:tcPr>
          <w:p>
            <w:pPr>
              <w:jc w:val="center"/>
              <w:rPr>
                <w:color w:val="0070C0"/>
                <w:szCs w:val="21"/>
              </w:rPr>
            </w:pPr>
          </w:p>
        </w:tc>
        <w:tc>
          <w:tcPr>
            <w:tcW w:w="124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自然恢复期</w:t>
            </w:r>
          </w:p>
        </w:tc>
        <w:tc>
          <w:tcPr>
            <w:tcW w:w="1043"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851" w:type="dxa"/>
            <w:tcBorders>
              <w:top w:val="single" w:color="000000" w:sz="4" w:space="0"/>
              <w:left w:val="single" w:color="000000" w:sz="4" w:space="0"/>
              <w:bottom w:val="single" w:color="000000" w:sz="4" w:space="0"/>
              <w:right w:val="single" w:color="000000" w:sz="4" w:space="0"/>
            </w:tcBorders>
            <w:vAlign w:val="center"/>
          </w:tcPr>
          <w:p>
            <w:pPr>
              <w:jc w:val="center"/>
              <w:rPr>
                <w:color w:val="0070C0"/>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392.61 </w:t>
            </w:r>
          </w:p>
        </w:tc>
        <w:tc>
          <w:tcPr>
            <w:tcW w:w="95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635.70 </w:t>
            </w:r>
          </w:p>
        </w:tc>
        <w:tc>
          <w:tcPr>
            <w:tcW w:w="1034" w:type="dxa"/>
            <w:tcBorders>
              <w:top w:val="single" w:color="000000" w:sz="4" w:space="0"/>
              <w:left w:val="single" w:color="000000" w:sz="4" w:space="0"/>
              <w:bottom w:val="single" w:color="000000" w:sz="4"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243.09 </w:t>
            </w:r>
          </w:p>
        </w:tc>
      </w:tr>
      <w:tr>
        <w:tblPrEx>
          <w:tblLayout w:type="fixed"/>
          <w:tblCellMar>
            <w:top w:w="15" w:type="dxa"/>
            <w:left w:w="15" w:type="dxa"/>
            <w:bottom w:w="15" w:type="dxa"/>
            <w:right w:w="15" w:type="dxa"/>
          </w:tblCellMar>
        </w:tblPrEx>
        <w:trPr>
          <w:trHeight w:val="500" w:hRule="atLeast"/>
          <w:jc w:val="center"/>
        </w:trPr>
        <w:tc>
          <w:tcPr>
            <w:tcW w:w="1276" w:type="dxa"/>
            <w:vMerge w:val="continue"/>
            <w:tcBorders>
              <w:top w:val="single" w:color="000000" w:sz="4" w:space="0"/>
              <w:left w:val="single" w:color="000000" w:sz="12" w:space="0"/>
              <w:bottom w:val="single" w:color="000000" w:sz="12" w:space="0"/>
              <w:right w:val="single" w:color="000000" w:sz="4" w:space="0"/>
            </w:tcBorders>
            <w:vAlign w:val="center"/>
          </w:tcPr>
          <w:p>
            <w:pPr>
              <w:jc w:val="center"/>
              <w:rPr>
                <w:color w:val="0070C0"/>
                <w:szCs w:val="21"/>
              </w:rPr>
            </w:pPr>
          </w:p>
        </w:tc>
        <w:tc>
          <w:tcPr>
            <w:tcW w:w="1244" w:type="dxa"/>
            <w:tcBorders>
              <w:top w:val="single" w:color="000000" w:sz="4" w:space="0"/>
              <w:left w:val="single" w:color="000000" w:sz="4" w:space="0"/>
              <w:bottom w:val="single" w:color="000000" w:sz="12" w:space="0"/>
              <w:right w:val="single" w:color="000000" w:sz="4" w:space="0"/>
            </w:tcBorders>
            <w:vAlign w:val="center"/>
          </w:tcPr>
          <w:p>
            <w:pPr>
              <w:widowControl/>
              <w:jc w:val="center"/>
              <w:textAlignment w:val="center"/>
              <w:rPr>
                <w:rFonts w:ascii="宋体" w:hAnsi="宋体" w:cs="宋体"/>
                <w:color w:val="0070C0"/>
                <w:szCs w:val="21"/>
              </w:rPr>
            </w:pPr>
            <w:r>
              <w:rPr>
                <w:rFonts w:hint="eastAsia" w:ascii="宋体" w:hAnsi="宋体" w:cs="宋体"/>
                <w:color w:val="0070C0"/>
                <w:kern w:val="0"/>
                <w:szCs w:val="21"/>
                <w:lang w:bidi="ar"/>
              </w:rPr>
              <w:t>小计</w:t>
            </w:r>
          </w:p>
        </w:tc>
        <w:tc>
          <w:tcPr>
            <w:tcW w:w="1043" w:type="dxa"/>
            <w:tcBorders>
              <w:top w:val="single" w:color="000000" w:sz="4" w:space="0"/>
              <w:left w:val="single" w:color="000000" w:sz="4" w:space="0"/>
              <w:bottom w:val="single" w:color="000000" w:sz="12" w:space="0"/>
              <w:right w:val="single" w:color="000000" w:sz="4" w:space="0"/>
            </w:tcBorders>
            <w:vAlign w:val="center"/>
          </w:tcPr>
          <w:p>
            <w:pPr>
              <w:jc w:val="center"/>
              <w:rPr>
                <w:color w:val="0070C0"/>
                <w:szCs w:val="21"/>
              </w:rPr>
            </w:pPr>
          </w:p>
        </w:tc>
        <w:tc>
          <w:tcPr>
            <w:tcW w:w="1134" w:type="dxa"/>
            <w:tcBorders>
              <w:top w:val="single" w:color="000000" w:sz="4" w:space="0"/>
              <w:left w:val="single" w:color="000000" w:sz="4" w:space="0"/>
              <w:bottom w:val="single" w:color="000000" w:sz="12" w:space="0"/>
              <w:right w:val="single" w:color="000000" w:sz="4" w:space="0"/>
            </w:tcBorders>
            <w:vAlign w:val="center"/>
          </w:tcPr>
          <w:p>
            <w:pPr>
              <w:jc w:val="center"/>
              <w:rPr>
                <w:color w:val="0070C0"/>
                <w:szCs w:val="21"/>
              </w:rPr>
            </w:pPr>
          </w:p>
        </w:tc>
        <w:tc>
          <w:tcPr>
            <w:tcW w:w="992" w:type="dxa"/>
            <w:tcBorders>
              <w:top w:val="single" w:color="000000" w:sz="4" w:space="0"/>
              <w:left w:val="single" w:color="000000" w:sz="4" w:space="0"/>
              <w:bottom w:val="single" w:color="000000" w:sz="12" w:space="0"/>
              <w:right w:val="single" w:color="000000" w:sz="4" w:space="0"/>
            </w:tcBorders>
            <w:vAlign w:val="center"/>
          </w:tcPr>
          <w:p>
            <w:pPr>
              <w:jc w:val="center"/>
              <w:rPr>
                <w:color w:val="0070C0"/>
                <w:szCs w:val="21"/>
              </w:rPr>
            </w:pPr>
          </w:p>
        </w:tc>
        <w:tc>
          <w:tcPr>
            <w:tcW w:w="851" w:type="dxa"/>
            <w:tcBorders>
              <w:top w:val="single" w:color="000000" w:sz="4" w:space="0"/>
              <w:left w:val="single" w:color="000000" w:sz="4" w:space="0"/>
              <w:bottom w:val="single" w:color="000000" w:sz="12" w:space="0"/>
              <w:right w:val="single" w:color="000000" w:sz="4" w:space="0"/>
            </w:tcBorders>
            <w:vAlign w:val="center"/>
          </w:tcPr>
          <w:p>
            <w:pPr>
              <w:jc w:val="center"/>
              <w:rPr>
                <w:color w:val="0070C0"/>
                <w:szCs w:val="21"/>
              </w:rPr>
            </w:pPr>
          </w:p>
        </w:tc>
        <w:tc>
          <w:tcPr>
            <w:tcW w:w="850" w:type="dxa"/>
            <w:tcBorders>
              <w:top w:val="single" w:color="000000" w:sz="4" w:space="0"/>
              <w:left w:val="single" w:color="000000" w:sz="4" w:space="0"/>
              <w:bottom w:val="single" w:color="000000" w:sz="12"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5548.41 </w:t>
            </w:r>
          </w:p>
        </w:tc>
        <w:tc>
          <w:tcPr>
            <w:tcW w:w="951" w:type="dxa"/>
            <w:tcBorders>
              <w:top w:val="single" w:color="000000" w:sz="4" w:space="0"/>
              <w:left w:val="single" w:color="000000" w:sz="4" w:space="0"/>
              <w:bottom w:val="single" w:color="000000" w:sz="12" w:space="0"/>
              <w:right w:val="single" w:color="000000" w:sz="4" w:space="0"/>
            </w:tcBorders>
            <w:vAlign w:val="center"/>
          </w:tcPr>
          <w:p>
            <w:pPr>
              <w:widowControl/>
              <w:jc w:val="center"/>
              <w:textAlignment w:val="center"/>
              <w:rPr>
                <w:color w:val="0070C0"/>
                <w:szCs w:val="21"/>
              </w:rPr>
            </w:pPr>
            <w:r>
              <w:rPr>
                <w:color w:val="0070C0"/>
                <w:kern w:val="0"/>
                <w:szCs w:val="21"/>
                <w:lang w:bidi="ar"/>
              </w:rPr>
              <w:t xml:space="preserve">46912.90 </w:t>
            </w:r>
          </w:p>
        </w:tc>
        <w:tc>
          <w:tcPr>
            <w:tcW w:w="1034" w:type="dxa"/>
            <w:tcBorders>
              <w:top w:val="single" w:color="000000" w:sz="4" w:space="0"/>
              <w:left w:val="single" w:color="000000" w:sz="4" w:space="0"/>
              <w:bottom w:val="single" w:color="000000" w:sz="12" w:space="0"/>
              <w:right w:val="single" w:color="000000" w:sz="12" w:space="0"/>
            </w:tcBorders>
            <w:vAlign w:val="center"/>
          </w:tcPr>
          <w:p>
            <w:pPr>
              <w:widowControl/>
              <w:jc w:val="center"/>
              <w:textAlignment w:val="center"/>
              <w:rPr>
                <w:color w:val="0070C0"/>
                <w:szCs w:val="21"/>
              </w:rPr>
            </w:pPr>
            <w:r>
              <w:rPr>
                <w:color w:val="0070C0"/>
                <w:kern w:val="0"/>
                <w:szCs w:val="21"/>
                <w:lang w:bidi="ar"/>
              </w:rPr>
              <w:t xml:space="preserve">41364.49 </w:t>
            </w:r>
          </w:p>
        </w:tc>
      </w:tr>
    </w:tbl>
    <w:p>
      <w:pPr>
        <w:ind w:firstLine="422" w:firstLineChars="200"/>
        <w:jc w:val="center"/>
        <w:rPr>
          <w:b/>
          <w:szCs w:val="21"/>
        </w:rPr>
      </w:pPr>
    </w:p>
    <w:p>
      <w:pPr>
        <w:spacing w:line="360" w:lineRule="auto"/>
        <w:ind w:firstLine="480"/>
        <w:rPr>
          <w:rFonts w:hAnsi="宋体"/>
          <w:color w:val="0070C0"/>
          <w:sz w:val="24"/>
        </w:rPr>
      </w:pPr>
      <w:r>
        <w:rPr>
          <w:rFonts w:hAnsi="宋体"/>
          <w:color w:val="0070C0"/>
          <w:sz w:val="24"/>
        </w:rPr>
        <w:t>本工程在工程建设期，总占地面积</w:t>
      </w:r>
      <w:r>
        <w:rPr>
          <w:rFonts w:hint="eastAsia"/>
          <w:color w:val="0070C0"/>
          <w:sz w:val="24"/>
        </w:rPr>
        <w:t>158.61</w:t>
      </w:r>
      <w:r>
        <w:rPr>
          <w:color w:val="0070C0"/>
          <w:sz w:val="24"/>
        </w:rPr>
        <w:t>hm</w:t>
      </w:r>
      <w:r>
        <w:rPr>
          <w:color w:val="0070C0"/>
          <w:sz w:val="24"/>
          <w:vertAlign w:val="superscript"/>
        </w:rPr>
        <w:t>2</w:t>
      </w:r>
      <w:r>
        <w:rPr>
          <w:rFonts w:hint="eastAsia" w:hAnsi="宋体"/>
          <w:color w:val="0070C0"/>
          <w:sz w:val="24"/>
        </w:rPr>
        <w:t>，全部</w:t>
      </w:r>
      <w:r>
        <w:rPr>
          <w:rFonts w:hAnsi="宋体"/>
          <w:color w:val="0070C0"/>
          <w:sz w:val="24"/>
        </w:rPr>
        <w:t>扰动。</w:t>
      </w:r>
      <w:r>
        <w:rPr>
          <w:color w:val="0070C0"/>
          <w:sz w:val="24"/>
        </w:rPr>
        <w:t>本项目</w:t>
      </w:r>
      <w:r>
        <w:rPr>
          <w:rFonts w:hint="eastAsia"/>
          <w:color w:val="0070C0"/>
          <w:sz w:val="24"/>
        </w:rPr>
        <w:t>无永久弃渣，需向外借土52.63万</w:t>
      </w:r>
      <w:r>
        <w:rPr>
          <w:color w:val="0070C0"/>
          <w:sz w:val="24"/>
        </w:rPr>
        <w:t>m</w:t>
      </w:r>
      <w:r>
        <w:rPr>
          <w:rFonts w:hint="eastAsia"/>
          <w:color w:val="0070C0"/>
          <w:sz w:val="24"/>
          <w:vertAlign w:val="superscript"/>
        </w:rPr>
        <w:t>3</w:t>
      </w:r>
      <w:r>
        <w:rPr>
          <w:rFonts w:hint="eastAsia"/>
          <w:color w:val="0070C0"/>
          <w:sz w:val="24"/>
        </w:rPr>
        <w:t>，取土来自宜昌市生物产业园</w:t>
      </w:r>
      <w:r>
        <w:rPr>
          <w:color w:val="0070C0"/>
          <w:sz w:val="24"/>
        </w:rPr>
        <w:t>。本项目</w:t>
      </w:r>
      <w:r>
        <w:rPr>
          <w:rFonts w:hint="eastAsia"/>
          <w:color w:val="0070C0"/>
          <w:sz w:val="24"/>
        </w:rPr>
        <w:t>造成</w:t>
      </w:r>
      <w:r>
        <w:rPr>
          <w:color w:val="0070C0"/>
          <w:sz w:val="24"/>
        </w:rPr>
        <w:t>水土流失</w:t>
      </w:r>
      <w:r>
        <w:rPr>
          <w:rFonts w:hint="eastAsia"/>
          <w:color w:val="0070C0"/>
          <w:sz w:val="24"/>
        </w:rPr>
        <w:t>总</w:t>
      </w:r>
      <w:r>
        <w:rPr>
          <w:color w:val="0070C0"/>
          <w:sz w:val="24"/>
        </w:rPr>
        <w:t>量为</w:t>
      </w:r>
      <w:r>
        <w:rPr>
          <w:rFonts w:hint="eastAsia"/>
          <w:color w:val="0070C0"/>
          <w:sz w:val="24"/>
        </w:rPr>
        <w:t>46912.9t，其中新增水土流失量41364.49t。</w:t>
      </w:r>
      <w:r>
        <w:rPr>
          <w:color w:val="0070C0"/>
          <w:sz w:val="24"/>
        </w:rPr>
        <w:t>从预测时段来看，本项目施工期是产生水土流失的重点时段，从预测区域来看，</w:t>
      </w:r>
      <w:r>
        <w:rPr>
          <w:rFonts w:hint="eastAsia"/>
          <w:color w:val="0070C0"/>
          <w:sz w:val="24"/>
        </w:rPr>
        <w:t>港口作业区和物流园区施工造成的</w:t>
      </w:r>
      <w:r>
        <w:rPr>
          <w:color w:val="0070C0"/>
          <w:sz w:val="24"/>
        </w:rPr>
        <w:t>水土流失量较大，是水土流失的重点防治区。</w:t>
      </w:r>
    </w:p>
    <w:p>
      <w:pPr>
        <w:pStyle w:val="5"/>
        <w:tabs>
          <w:tab w:val="left" w:pos="567"/>
        </w:tabs>
        <w:spacing w:before="120" w:after="48"/>
        <w:ind w:hanging="1713"/>
        <w:rPr>
          <w:sz w:val="28"/>
          <w:szCs w:val="28"/>
        </w:rPr>
      </w:pPr>
      <w:bookmarkStart w:id="165" w:name="_Toc442195718"/>
      <w:r>
        <w:rPr>
          <w:rFonts w:hint="eastAsia"/>
          <w:sz w:val="28"/>
          <w:szCs w:val="28"/>
        </w:rPr>
        <w:t>声环境影响评价</w:t>
      </w:r>
      <w:bookmarkEnd w:id="165"/>
    </w:p>
    <w:p>
      <w:pPr>
        <w:pStyle w:val="6"/>
        <w:tabs>
          <w:tab w:val="left" w:pos="1006"/>
        </w:tabs>
        <w:spacing w:beforeLines="0" w:afterLines="0"/>
        <w:ind w:left="0" w:firstLine="0"/>
      </w:pPr>
      <w:r>
        <w:rPr>
          <w:rFonts w:hint="eastAsia"/>
        </w:rPr>
        <w:t>施工期噪声预测方法和预测模式</w:t>
      </w:r>
    </w:p>
    <w:p>
      <w:pPr>
        <w:autoSpaceDE w:val="0"/>
        <w:autoSpaceDN w:val="0"/>
        <w:adjustRightInd w:val="0"/>
        <w:spacing w:line="360" w:lineRule="auto"/>
        <w:ind w:firstLine="480" w:firstLineChars="200"/>
        <w:rPr>
          <w:kern w:val="0"/>
          <w:sz w:val="24"/>
        </w:rPr>
      </w:pPr>
      <w:r>
        <w:rPr>
          <w:rFonts w:hint="eastAsia"/>
          <w:kern w:val="0"/>
          <w:sz w:val="24"/>
        </w:rPr>
        <w:t>鉴于施工噪声的复杂性，已经施工噪声影响的区域性和阶段性，本报告书根据国家《建筑施工场界环境噪声排放标准》（</w:t>
      </w:r>
      <w:r>
        <w:rPr>
          <w:kern w:val="0"/>
          <w:sz w:val="24"/>
        </w:rPr>
        <w:t>GB12523-</w:t>
      </w:r>
      <w:r>
        <w:rPr>
          <w:rFonts w:hint="eastAsia"/>
          <w:kern w:val="0"/>
          <w:sz w:val="24"/>
        </w:rPr>
        <w:t>2011），针对不同施工阶段计算出不同施工设备的噪声污染范围，以便施工单位在施工时结合实际情况采取适当的噪声污染防治措施。</w:t>
      </w:r>
    </w:p>
    <w:p>
      <w:pPr>
        <w:autoSpaceDE w:val="0"/>
        <w:autoSpaceDN w:val="0"/>
        <w:adjustRightInd w:val="0"/>
        <w:spacing w:line="360" w:lineRule="auto"/>
        <w:ind w:firstLine="480" w:firstLineChars="200"/>
        <w:rPr>
          <w:kern w:val="0"/>
          <w:sz w:val="24"/>
        </w:rPr>
      </w:pPr>
      <w:r>
        <w:rPr>
          <w:kern w:val="0"/>
          <w:sz w:val="24"/>
        </w:rPr>
        <w:drawing>
          <wp:anchor distT="0" distB="0" distL="114300" distR="114300" simplePos="0" relativeHeight="251986944" behindDoc="0" locked="0" layoutInCell="1" allowOverlap="1">
            <wp:simplePos x="0" y="0"/>
            <wp:positionH relativeFrom="column">
              <wp:posOffset>1809750</wp:posOffset>
            </wp:positionH>
            <wp:positionV relativeFrom="paragraph">
              <wp:posOffset>523240</wp:posOffset>
            </wp:positionV>
            <wp:extent cx="1697355" cy="278130"/>
            <wp:effectExtent l="0" t="0" r="0" b="7620"/>
            <wp:wrapNone/>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697355" cy="278130"/>
                    </a:xfrm>
                    <a:prstGeom prst="rect">
                      <a:avLst/>
                    </a:prstGeom>
                    <a:noFill/>
                    <a:ln>
                      <a:noFill/>
                    </a:ln>
                  </pic:spPr>
                </pic:pic>
              </a:graphicData>
            </a:graphic>
          </wp:anchor>
        </w:drawing>
      </w:r>
      <w:r>
        <w:rPr>
          <w:rFonts w:hint="eastAsia"/>
          <w:kern w:val="0"/>
          <w:sz w:val="24"/>
        </w:rPr>
        <w:t>施工机械的噪声可近似视为点声源处理，根据点声源噪声衰减模式，估算距离声源不同距离处的噪声值，预测模式如下</w:t>
      </w:r>
    </w:p>
    <w:p>
      <w:pPr>
        <w:autoSpaceDE w:val="0"/>
        <w:autoSpaceDN w:val="0"/>
        <w:adjustRightInd w:val="0"/>
        <w:spacing w:line="360" w:lineRule="auto"/>
        <w:ind w:firstLine="480" w:firstLineChars="200"/>
        <w:rPr>
          <w:kern w:val="0"/>
          <w:sz w:val="24"/>
        </w:rPr>
      </w:pPr>
      <w:r>
        <w:rPr>
          <w:kern w:val="0"/>
          <w:sz w:val="24"/>
        </w:rPr>
        <w:t xml:space="preserve">                                               </w:t>
      </w:r>
    </w:p>
    <w:p>
      <w:pPr>
        <w:autoSpaceDE w:val="0"/>
        <w:autoSpaceDN w:val="0"/>
        <w:adjustRightInd w:val="0"/>
        <w:spacing w:line="360" w:lineRule="auto"/>
        <w:ind w:firstLine="480" w:firstLineChars="200"/>
        <w:rPr>
          <w:kern w:val="0"/>
          <w:sz w:val="24"/>
        </w:rPr>
      </w:pPr>
      <w:r>
        <w:rPr>
          <w:rFonts w:hint="eastAsia"/>
          <w:kern w:val="0"/>
          <w:sz w:val="24"/>
        </w:rPr>
        <w:t>式中：</w:t>
      </w:r>
      <w:r>
        <w:rPr>
          <w:kern w:val="0"/>
          <w:sz w:val="24"/>
        </w:rPr>
        <w:t>Lp</w:t>
      </w:r>
      <w:r>
        <w:rPr>
          <w:rFonts w:hint="eastAsia"/>
          <w:kern w:val="0"/>
          <w:sz w:val="24"/>
        </w:rPr>
        <w:t>：距声源</w:t>
      </w:r>
      <w:r>
        <w:rPr>
          <w:kern w:val="0"/>
          <w:sz w:val="24"/>
        </w:rPr>
        <w:t>r</w:t>
      </w:r>
      <w:r>
        <w:rPr>
          <w:rFonts w:hint="eastAsia"/>
          <w:kern w:val="0"/>
          <w:sz w:val="24"/>
        </w:rPr>
        <w:t>米处的施工噪声预测值，</w:t>
      </w:r>
      <w:r>
        <w:rPr>
          <w:kern w:val="0"/>
          <w:sz w:val="24"/>
        </w:rPr>
        <w:t>dB(A)</w:t>
      </w:r>
      <w:r>
        <w:rPr>
          <w:rFonts w:hint="eastAsia"/>
          <w:kern w:val="0"/>
          <w:sz w:val="24"/>
        </w:rPr>
        <w:t>；</w:t>
      </w:r>
    </w:p>
    <w:p>
      <w:pPr>
        <w:autoSpaceDE w:val="0"/>
        <w:autoSpaceDN w:val="0"/>
        <w:adjustRightInd w:val="0"/>
        <w:spacing w:line="360" w:lineRule="auto"/>
        <w:ind w:firstLine="480" w:firstLineChars="200"/>
        <w:rPr>
          <w:kern w:val="0"/>
          <w:sz w:val="24"/>
        </w:rPr>
      </w:pPr>
      <w:r>
        <w:rPr>
          <w:kern w:val="0"/>
          <w:sz w:val="24"/>
        </w:rPr>
        <w:t xml:space="preserve">      Lp</w:t>
      </w:r>
      <w:r>
        <w:rPr>
          <w:kern w:val="0"/>
          <w:sz w:val="24"/>
          <w:vertAlign w:val="subscript"/>
        </w:rPr>
        <w:t>0</w:t>
      </w:r>
      <w:r>
        <w:rPr>
          <w:rFonts w:hint="eastAsia"/>
          <w:kern w:val="0"/>
          <w:sz w:val="24"/>
        </w:rPr>
        <w:t>：距声源</w:t>
      </w:r>
      <w:r>
        <w:rPr>
          <w:kern w:val="0"/>
          <w:sz w:val="24"/>
        </w:rPr>
        <w:t>r</w:t>
      </w:r>
      <w:r>
        <w:rPr>
          <w:kern w:val="0"/>
          <w:sz w:val="24"/>
          <w:vertAlign w:val="subscript"/>
        </w:rPr>
        <w:t>0</w:t>
      </w:r>
      <w:r>
        <w:rPr>
          <w:rFonts w:hint="eastAsia"/>
          <w:kern w:val="0"/>
          <w:sz w:val="24"/>
        </w:rPr>
        <w:t>米处的噪声参考值，</w:t>
      </w:r>
      <w:r>
        <w:rPr>
          <w:kern w:val="0"/>
          <w:sz w:val="24"/>
        </w:rPr>
        <w:t>dB(A)</w:t>
      </w:r>
      <w:r>
        <w:rPr>
          <w:rFonts w:hint="eastAsia"/>
          <w:kern w:val="0"/>
          <w:sz w:val="24"/>
        </w:rPr>
        <w:t>。</w:t>
      </w:r>
    </w:p>
    <w:p>
      <w:pPr>
        <w:pStyle w:val="6"/>
        <w:tabs>
          <w:tab w:val="left" w:pos="1006"/>
        </w:tabs>
        <w:spacing w:beforeLines="0" w:afterLines="0"/>
        <w:ind w:left="0" w:firstLine="0"/>
      </w:pPr>
      <w:r>
        <w:rPr>
          <w:rFonts w:hint="eastAsia"/>
        </w:rPr>
        <w:t>施工期噪声影响范围计算和影响分析</w:t>
      </w:r>
    </w:p>
    <w:p>
      <w:pPr>
        <w:spacing w:line="520" w:lineRule="exact"/>
        <w:ind w:firstLine="480" w:firstLineChars="200"/>
        <w:rPr>
          <w:rFonts w:hAnsi="宋体"/>
          <w:sz w:val="24"/>
        </w:rPr>
      </w:pPr>
      <w:r>
        <w:rPr>
          <w:rFonts w:hint="eastAsia" w:hAnsi="宋体"/>
          <w:sz w:val="24"/>
        </w:rPr>
        <w:t>据工程分析中所列设备噪声和上述计算公式，估算得到主要声源单机噪声在不同距离处的声级，并取不利的混凝土搅拌机、挖掘机和推土机处于同一地点同时施工，计算得到不同距离处的声级叠加值，具体见表6.1-3。</w:t>
      </w:r>
    </w:p>
    <w:p>
      <w:pPr>
        <w:pStyle w:val="78"/>
        <w:spacing w:line="240" w:lineRule="exact"/>
        <w:ind w:firstLine="0" w:firstLineChars="0"/>
        <w:jc w:val="center"/>
        <w:rPr>
          <w:rFonts w:ascii="Times New Roman" w:hAnsiTheme="minorEastAsia" w:eastAsiaTheme="minorEastAsia"/>
          <w:b/>
          <w:sz w:val="21"/>
          <w:szCs w:val="21"/>
        </w:rPr>
      </w:pPr>
      <w:r>
        <w:rPr>
          <w:rFonts w:hint="eastAsia" w:ascii="Times New Roman" w:hAnsiTheme="minorEastAsia" w:eastAsiaTheme="minorEastAsia"/>
          <w:b/>
          <w:sz w:val="21"/>
          <w:szCs w:val="21"/>
        </w:rPr>
        <w:t>表6.1-3  不同距离处施工噪声值     单位：dB（A）</w:t>
      </w:r>
    </w:p>
    <w:tbl>
      <w:tblPr>
        <w:tblStyle w:val="104"/>
        <w:tblW w:w="9169"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082"/>
        <w:gridCol w:w="760"/>
        <w:gridCol w:w="761"/>
        <w:gridCol w:w="761"/>
        <w:gridCol w:w="761"/>
        <w:gridCol w:w="761"/>
        <w:gridCol w:w="761"/>
        <w:gridCol w:w="761"/>
        <w:gridCol w:w="76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12" w:space="0"/>
              <w:bottom w:val="single" w:color="auto" w:sz="4" w:space="0"/>
              <w:right w:val="single" w:color="auto" w:sz="4" w:space="0"/>
              <w:tl2br w:val="single" w:color="auto" w:sz="4" w:space="0"/>
            </w:tcBorders>
            <w:vAlign w:val="center"/>
          </w:tcPr>
          <w:p>
            <w:pPr>
              <w:spacing w:line="300" w:lineRule="exact"/>
              <w:ind w:firstLine="720" w:firstLineChars="400"/>
              <w:jc w:val="right"/>
              <w:rPr>
                <w:sz w:val="18"/>
                <w:szCs w:val="18"/>
              </w:rPr>
            </w:pPr>
            <w:r>
              <w:rPr>
                <w:rFonts w:hAnsi="宋体"/>
                <w:sz w:val="18"/>
                <w:szCs w:val="18"/>
              </w:rPr>
              <w:t>距声源距离（米）</w:t>
            </w:r>
          </w:p>
          <w:p>
            <w:pPr>
              <w:spacing w:line="300" w:lineRule="exact"/>
              <w:rPr>
                <w:sz w:val="18"/>
                <w:szCs w:val="18"/>
              </w:rPr>
            </w:pPr>
            <w:r>
              <w:rPr>
                <w:rFonts w:hAnsi="宋体"/>
                <w:sz w:val="18"/>
                <w:szCs w:val="18"/>
              </w:rPr>
              <w:t>设备类型</w:t>
            </w:r>
          </w:p>
        </w:tc>
        <w:tc>
          <w:tcPr>
            <w:tcW w:w="760"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10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50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100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150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200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250</w:t>
            </w:r>
          </w:p>
        </w:tc>
        <w:tc>
          <w:tcPr>
            <w:tcW w:w="761" w:type="dxa"/>
            <w:tcBorders>
              <w:top w:val="single" w:color="auto" w:sz="12" w:space="0"/>
              <w:left w:val="single" w:color="auto" w:sz="4" w:space="0"/>
              <w:bottom w:val="single" w:color="auto" w:sz="4" w:space="0"/>
              <w:right w:val="single" w:color="auto" w:sz="4" w:space="0"/>
            </w:tcBorders>
            <w:vAlign w:val="center"/>
          </w:tcPr>
          <w:p>
            <w:pPr>
              <w:jc w:val="center"/>
              <w:rPr>
                <w:sz w:val="18"/>
                <w:szCs w:val="18"/>
              </w:rPr>
            </w:pPr>
            <w:r>
              <w:rPr>
                <w:sz w:val="18"/>
                <w:szCs w:val="18"/>
              </w:rPr>
              <w:t>300</w:t>
            </w:r>
          </w:p>
        </w:tc>
        <w:tc>
          <w:tcPr>
            <w:tcW w:w="761" w:type="dxa"/>
            <w:tcBorders>
              <w:top w:val="single" w:color="auto" w:sz="12" w:space="0"/>
              <w:left w:val="single" w:color="auto" w:sz="4" w:space="0"/>
              <w:bottom w:val="single" w:color="auto" w:sz="4" w:space="0"/>
            </w:tcBorders>
            <w:vAlign w:val="center"/>
          </w:tcPr>
          <w:p>
            <w:pPr>
              <w:jc w:val="center"/>
              <w:rPr>
                <w:sz w:val="18"/>
                <w:szCs w:val="18"/>
              </w:rPr>
            </w:pPr>
            <w:r>
              <w:rPr>
                <w:sz w:val="18"/>
                <w:szCs w:val="18"/>
              </w:rPr>
              <w:t>400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4" w:space="0"/>
              <w:bottom w:val="single" w:color="auto" w:sz="4" w:space="0"/>
              <w:right w:val="single" w:color="auto" w:sz="4" w:space="0"/>
            </w:tcBorders>
            <w:vAlign w:val="center"/>
          </w:tcPr>
          <w:p>
            <w:pPr>
              <w:jc w:val="center"/>
              <w:rPr>
                <w:sz w:val="18"/>
                <w:szCs w:val="18"/>
              </w:rPr>
            </w:pPr>
            <w:r>
              <w:rPr>
                <w:rFonts w:hAnsi="宋体"/>
                <w:sz w:val="18"/>
                <w:szCs w:val="18"/>
              </w:rPr>
              <w:t>混凝土搅拌机、砼振捣器</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85.0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71.0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65.0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61.5</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59.0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57.0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55.5</w:t>
            </w:r>
          </w:p>
        </w:tc>
        <w:tc>
          <w:tcPr>
            <w:tcW w:w="761" w:type="dxa"/>
            <w:tcBorders>
              <w:top w:val="single" w:color="auto" w:sz="4" w:space="0"/>
              <w:left w:val="single" w:color="auto" w:sz="4" w:space="0"/>
              <w:bottom w:val="single" w:color="auto" w:sz="4" w:space="0"/>
            </w:tcBorders>
            <w:vAlign w:val="center"/>
          </w:tcPr>
          <w:p>
            <w:pPr>
              <w:jc w:val="center"/>
              <w:rPr>
                <w:sz w:val="18"/>
                <w:szCs w:val="18"/>
              </w:rPr>
            </w:pPr>
            <w:r>
              <w:rPr>
                <w:sz w:val="18"/>
                <w:szCs w:val="18"/>
              </w:rPr>
              <w:t>53.0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4" w:space="0"/>
              <w:bottom w:val="single" w:color="auto" w:sz="4" w:space="0"/>
              <w:right w:val="single" w:color="auto" w:sz="4" w:space="0"/>
            </w:tcBorders>
            <w:vAlign w:val="center"/>
          </w:tcPr>
          <w:p>
            <w:pPr>
              <w:jc w:val="center"/>
              <w:rPr>
                <w:sz w:val="18"/>
                <w:szCs w:val="18"/>
              </w:rPr>
            </w:pPr>
            <w:r>
              <w:rPr>
                <w:rFonts w:hAnsi="宋体"/>
                <w:sz w:val="18"/>
                <w:szCs w:val="18"/>
              </w:rPr>
              <w:t>挖掘机</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82.0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68.0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62.0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58.5</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56.0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54.0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52.5</w:t>
            </w:r>
          </w:p>
        </w:tc>
        <w:tc>
          <w:tcPr>
            <w:tcW w:w="761" w:type="dxa"/>
            <w:tcBorders>
              <w:top w:val="single" w:color="auto" w:sz="4" w:space="0"/>
              <w:left w:val="single" w:color="auto" w:sz="4" w:space="0"/>
              <w:bottom w:val="single" w:color="auto" w:sz="4" w:space="0"/>
            </w:tcBorders>
            <w:vAlign w:val="center"/>
          </w:tcPr>
          <w:p>
            <w:pPr>
              <w:jc w:val="center"/>
              <w:rPr>
                <w:sz w:val="18"/>
                <w:szCs w:val="18"/>
              </w:rPr>
            </w:pPr>
            <w:r>
              <w:rPr>
                <w:sz w:val="18"/>
                <w:szCs w:val="18"/>
              </w:rPr>
              <w:t>50.0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4" w:space="0"/>
              <w:bottom w:val="single" w:color="auto" w:sz="4" w:space="0"/>
              <w:right w:val="single" w:color="auto" w:sz="4" w:space="0"/>
            </w:tcBorders>
            <w:vAlign w:val="center"/>
          </w:tcPr>
          <w:p>
            <w:pPr>
              <w:jc w:val="center"/>
              <w:rPr>
                <w:sz w:val="18"/>
                <w:szCs w:val="18"/>
              </w:rPr>
            </w:pPr>
            <w:r>
              <w:rPr>
                <w:rFonts w:hAnsi="宋体"/>
                <w:sz w:val="18"/>
                <w:szCs w:val="18"/>
              </w:rPr>
              <w:t>推土机</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76.0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64.0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56.0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52.0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50.0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48.0</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46.0</w:t>
            </w:r>
          </w:p>
        </w:tc>
        <w:tc>
          <w:tcPr>
            <w:tcW w:w="761" w:type="dxa"/>
            <w:tcBorders>
              <w:top w:val="single" w:color="auto" w:sz="4" w:space="0"/>
              <w:left w:val="single" w:color="auto" w:sz="4" w:space="0"/>
              <w:bottom w:val="single" w:color="auto" w:sz="4" w:space="0"/>
            </w:tcBorders>
            <w:vAlign w:val="center"/>
          </w:tcPr>
          <w:p>
            <w:pPr>
              <w:jc w:val="center"/>
              <w:rPr>
                <w:sz w:val="18"/>
                <w:szCs w:val="18"/>
              </w:rPr>
            </w:pPr>
            <w:r>
              <w:rPr>
                <w:sz w:val="18"/>
                <w:szCs w:val="18"/>
              </w:rPr>
              <w:t>44.0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4" w:space="0"/>
              <w:bottom w:val="single" w:color="auto" w:sz="4" w:space="0"/>
              <w:right w:val="single" w:color="auto" w:sz="4" w:space="0"/>
            </w:tcBorders>
            <w:vAlign w:val="center"/>
          </w:tcPr>
          <w:p>
            <w:pPr>
              <w:jc w:val="center"/>
              <w:rPr>
                <w:sz w:val="18"/>
                <w:szCs w:val="18"/>
              </w:rPr>
            </w:pPr>
            <w:r>
              <w:rPr>
                <w:rFonts w:hAnsi="宋体"/>
                <w:sz w:val="18"/>
                <w:szCs w:val="18"/>
              </w:rPr>
              <w:t>上述三台机械噪声叠加值</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87.1</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73.3</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67.1</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63.6</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61.1</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59.1</w:t>
            </w:r>
          </w:p>
        </w:tc>
        <w:tc>
          <w:tcPr>
            <w:tcW w:w="761" w:type="dxa"/>
            <w:tcBorders>
              <w:top w:val="single" w:color="auto" w:sz="4" w:space="0"/>
              <w:left w:val="single" w:color="auto" w:sz="4" w:space="0"/>
              <w:bottom w:val="single" w:color="auto" w:sz="4" w:space="0"/>
              <w:right w:val="single" w:color="auto" w:sz="4" w:space="0"/>
            </w:tcBorders>
            <w:vAlign w:val="center"/>
          </w:tcPr>
          <w:p>
            <w:pPr>
              <w:jc w:val="center"/>
              <w:rPr>
                <w:sz w:val="18"/>
                <w:szCs w:val="18"/>
              </w:rPr>
            </w:pPr>
            <w:r>
              <w:rPr>
                <w:sz w:val="18"/>
                <w:szCs w:val="18"/>
              </w:rPr>
              <w:t>57.6</w:t>
            </w:r>
          </w:p>
        </w:tc>
        <w:tc>
          <w:tcPr>
            <w:tcW w:w="761" w:type="dxa"/>
            <w:tcBorders>
              <w:top w:val="single" w:color="auto" w:sz="4" w:space="0"/>
              <w:left w:val="single" w:color="auto" w:sz="4" w:space="0"/>
              <w:bottom w:val="single" w:color="auto" w:sz="4" w:space="0"/>
            </w:tcBorders>
            <w:vAlign w:val="center"/>
          </w:tcPr>
          <w:p>
            <w:pPr>
              <w:jc w:val="center"/>
              <w:rPr>
                <w:sz w:val="18"/>
                <w:szCs w:val="18"/>
              </w:rPr>
            </w:pPr>
            <w:r>
              <w:rPr>
                <w:sz w:val="18"/>
                <w:szCs w:val="18"/>
              </w:rPr>
              <w:t>55.1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3082" w:type="dxa"/>
            <w:tcBorders>
              <w:top w:val="single" w:color="auto" w:sz="4" w:space="0"/>
              <w:bottom w:val="single" w:color="auto" w:sz="12" w:space="0"/>
              <w:right w:val="single" w:color="auto" w:sz="4" w:space="0"/>
            </w:tcBorders>
            <w:vAlign w:val="center"/>
          </w:tcPr>
          <w:p>
            <w:pPr>
              <w:jc w:val="center"/>
              <w:rPr>
                <w:sz w:val="18"/>
                <w:szCs w:val="18"/>
              </w:rPr>
            </w:pPr>
            <w:r>
              <w:rPr>
                <w:rFonts w:hAnsi="宋体"/>
                <w:sz w:val="18"/>
                <w:szCs w:val="18"/>
              </w:rPr>
              <w:t>打桩机</w:t>
            </w:r>
          </w:p>
        </w:tc>
        <w:tc>
          <w:tcPr>
            <w:tcW w:w="760"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90.0</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76.0</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70.0</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66.5</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64.0</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62.0</w:t>
            </w:r>
          </w:p>
        </w:tc>
        <w:tc>
          <w:tcPr>
            <w:tcW w:w="761" w:type="dxa"/>
            <w:tcBorders>
              <w:top w:val="single" w:color="auto" w:sz="4" w:space="0"/>
              <w:left w:val="single" w:color="auto" w:sz="4" w:space="0"/>
              <w:bottom w:val="single" w:color="auto" w:sz="12" w:space="0"/>
              <w:right w:val="single" w:color="auto" w:sz="4" w:space="0"/>
            </w:tcBorders>
            <w:vAlign w:val="center"/>
          </w:tcPr>
          <w:p>
            <w:pPr>
              <w:jc w:val="center"/>
              <w:rPr>
                <w:sz w:val="18"/>
                <w:szCs w:val="18"/>
              </w:rPr>
            </w:pPr>
            <w:r>
              <w:rPr>
                <w:sz w:val="18"/>
                <w:szCs w:val="18"/>
              </w:rPr>
              <w:t>60.5</w:t>
            </w:r>
          </w:p>
        </w:tc>
        <w:tc>
          <w:tcPr>
            <w:tcW w:w="761" w:type="dxa"/>
            <w:tcBorders>
              <w:top w:val="single" w:color="auto" w:sz="4" w:space="0"/>
              <w:left w:val="single" w:color="auto" w:sz="4" w:space="0"/>
              <w:bottom w:val="single" w:color="auto" w:sz="12" w:space="0"/>
            </w:tcBorders>
            <w:vAlign w:val="center"/>
          </w:tcPr>
          <w:p>
            <w:pPr>
              <w:jc w:val="center"/>
              <w:rPr>
                <w:sz w:val="18"/>
                <w:szCs w:val="18"/>
              </w:rPr>
            </w:pPr>
            <w:r>
              <w:rPr>
                <w:sz w:val="18"/>
                <w:szCs w:val="18"/>
              </w:rPr>
              <w:t>58.0</w:t>
            </w:r>
          </w:p>
        </w:tc>
      </w:tr>
    </w:tbl>
    <w:p>
      <w:pPr>
        <w:adjustRightInd w:val="0"/>
        <w:snapToGrid w:val="0"/>
        <w:spacing w:line="520" w:lineRule="exact"/>
        <w:ind w:firstLine="480" w:firstLineChars="200"/>
        <w:rPr>
          <w:rFonts w:hAnsi="宋体"/>
          <w:sz w:val="24"/>
        </w:rPr>
      </w:pPr>
      <w:r>
        <w:rPr>
          <w:rFonts w:hint="eastAsia" w:hAnsi="宋体"/>
          <w:sz w:val="24"/>
        </w:rPr>
        <w:t>（3）预测结果及分析</w:t>
      </w:r>
    </w:p>
    <w:p>
      <w:pPr>
        <w:adjustRightInd w:val="0"/>
        <w:snapToGrid w:val="0"/>
        <w:spacing w:line="520" w:lineRule="exact"/>
        <w:ind w:firstLine="480" w:firstLineChars="200"/>
        <w:rPr>
          <w:rFonts w:hAnsi="宋体"/>
          <w:sz w:val="24"/>
        </w:rPr>
      </w:pPr>
      <w:r>
        <w:rPr>
          <w:rFonts w:hint="eastAsia" w:hAnsi="宋体"/>
          <w:sz w:val="24"/>
        </w:rPr>
        <w:t>①根据《建筑施工厂界环境噪声排放标准》中的要求，建筑施工厂界环境噪声排放限值为昼间70dB（A）、夜间55dB（A）。由表6.4-1可知，混凝土搅拌机、砼振捣器施工，单机噪声在昼间55m、夜间330m以外可满足要求；挖掘机和推土机施工，单机噪声在昼间25m、夜间230m以外可满足要求；打桩机施工作业，夜间一般禁止施工，单机噪声在昼间100m外可满足要求。</w:t>
      </w:r>
    </w:p>
    <w:p>
      <w:pPr>
        <w:adjustRightInd w:val="0"/>
        <w:snapToGrid w:val="0"/>
        <w:spacing w:line="520" w:lineRule="exact"/>
        <w:ind w:firstLine="480" w:firstLineChars="200"/>
        <w:rPr>
          <w:rFonts w:hAnsi="宋体"/>
          <w:sz w:val="24"/>
        </w:rPr>
      </w:pPr>
      <w:r>
        <w:rPr>
          <w:rFonts w:hint="eastAsia" w:hAnsi="宋体"/>
          <w:sz w:val="24"/>
        </w:rPr>
        <w:t>②根据上述预测，多种施工机械同时作业，噪声超标影响范围将扩大至约施工厂界外昼间60米、夜间405米以内的范围。</w:t>
      </w:r>
    </w:p>
    <w:p>
      <w:pPr>
        <w:adjustRightInd w:val="0"/>
        <w:snapToGrid w:val="0"/>
        <w:spacing w:line="520" w:lineRule="exact"/>
        <w:ind w:firstLine="480" w:firstLineChars="200"/>
        <w:rPr>
          <w:kern w:val="0"/>
          <w:sz w:val="24"/>
        </w:rPr>
      </w:pPr>
      <w:r>
        <w:rPr>
          <w:rFonts w:hint="eastAsia" w:hAnsi="宋体"/>
          <w:sz w:val="24"/>
        </w:rPr>
        <w:t>③</w:t>
      </w:r>
      <w:r>
        <w:rPr>
          <w:rFonts w:hint="eastAsia"/>
          <w:kern w:val="0"/>
          <w:sz w:val="24"/>
        </w:rPr>
        <w:t>本项目场界周边主要噪声影响对象包括</w:t>
      </w:r>
      <w:r>
        <w:rPr>
          <w:rFonts w:hint="eastAsia" w:hAnsi="宋体"/>
          <w:kern w:val="0"/>
          <w:sz w:val="24"/>
        </w:rPr>
        <w:t>桂溪湖村（西侧场界）、垭子山村（北侧场界）2处敏感点</w:t>
      </w:r>
      <w:r>
        <w:rPr>
          <w:rFonts w:hint="eastAsia"/>
          <w:kern w:val="0"/>
          <w:sz w:val="24"/>
        </w:rPr>
        <w:t>，上述居民点均分布在场界50</w:t>
      </w:r>
      <w:r>
        <w:rPr>
          <w:kern w:val="0"/>
          <w:sz w:val="24"/>
        </w:rPr>
        <w:t>~</w:t>
      </w:r>
      <w:r>
        <w:rPr>
          <w:rFonts w:hint="eastAsia"/>
          <w:kern w:val="0"/>
          <w:sz w:val="24"/>
        </w:rPr>
        <w:t>6</w:t>
      </w:r>
      <w:r>
        <w:rPr>
          <w:kern w:val="0"/>
          <w:sz w:val="24"/>
        </w:rPr>
        <w:t>0m</w:t>
      </w:r>
      <w:r>
        <w:rPr>
          <w:rFonts w:hint="eastAsia"/>
          <w:kern w:val="0"/>
          <w:sz w:val="24"/>
        </w:rPr>
        <w:t>范围内，因此，施工期施工机械噪声将对其造成不同程度影响，昼间施工超标约3.3~6</w:t>
      </w:r>
      <w:r>
        <w:rPr>
          <w:kern w:val="0"/>
          <w:sz w:val="24"/>
        </w:rPr>
        <w:t>dB(A)</w:t>
      </w:r>
      <w:r>
        <w:rPr>
          <w:rFonts w:hint="eastAsia"/>
          <w:kern w:val="0"/>
          <w:sz w:val="24"/>
        </w:rPr>
        <w:t>，夜间施工超标18.3</w:t>
      </w:r>
      <w:r>
        <w:rPr>
          <w:kern w:val="0"/>
          <w:sz w:val="24"/>
        </w:rPr>
        <w:t>~</w:t>
      </w:r>
      <w:r>
        <w:rPr>
          <w:rFonts w:hint="eastAsia"/>
          <w:kern w:val="0"/>
          <w:sz w:val="24"/>
        </w:rPr>
        <w:t>21</w:t>
      </w:r>
      <w:r>
        <w:rPr>
          <w:kern w:val="0"/>
          <w:sz w:val="24"/>
        </w:rPr>
        <w:t>dB(A)</w:t>
      </w:r>
      <w:r>
        <w:rPr>
          <w:rFonts w:hint="eastAsia"/>
          <w:kern w:val="0"/>
          <w:sz w:val="24"/>
        </w:rPr>
        <w:t>。</w:t>
      </w:r>
    </w:p>
    <w:p>
      <w:pPr>
        <w:pStyle w:val="5"/>
        <w:tabs>
          <w:tab w:val="left" w:pos="567"/>
        </w:tabs>
        <w:spacing w:before="120" w:after="48"/>
        <w:ind w:hanging="1713"/>
      </w:pPr>
      <w:bookmarkStart w:id="166" w:name="_Toc442195719"/>
      <w:r>
        <w:rPr>
          <w:rFonts w:hint="eastAsia"/>
        </w:rPr>
        <w:t>环境空气影响评价</w:t>
      </w:r>
      <w:bookmarkEnd w:id="166"/>
    </w:p>
    <w:p>
      <w:pPr>
        <w:adjustRightInd w:val="0"/>
        <w:spacing w:line="360" w:lineRule="auto"/>
        <w:ind w:firstLine="480" w:firstLineChars="200"/>
        <w:rPr>
          <w:rFonts w:asciiTheme="minorEastAsia" w:hAnsiTheme="minorEastAsia" w:eastAsiaTheme="minorEastAsia"/>
          <w:snapToGrid w:val="0"/>
          <w:kern w:val="0"/>
          <w:sz w:val="24"/>
        </w:rPr>
      </w:pPr>
      <w:r>
        <w:rPr>
          <w:rFonts w:asciiTheme="minorEastAsia" w:hAnsiTheme="minorEastAsia" w:eastAsiaTheme="minorEastAsia"/>
          <w:snapToGrid w:val="0"/>
          <w:kern w:val="0"/>
          <w:sz w:val="24"/>
        </w:rPr>
        <w:t>（1）灰土拌和粉尘污染</w:t>
      </w:r>
    </w:p>
    <w:p>
      <w:pPr>
        <w:spacing w:line="360" w:lineRule="auto"/>
        <w:ind w:firstLine="480" w:firstLineChars="200"/>
        <w:rPr>
          <w:rFonts w:asciiTheme="minorEastAsia" w:hAnsiTheme="minorEastAsia" w:eastAsiaTheme="minorEastAsia"/>
          <w:sz w:val="24"/>
        </w:rPr>
      </w:pPr>
      <w:r>
        <w:rPr>
          <w:rFonts w:asciiTheme="minorEastAsia" w:hAnsiTheme="minorEastAsia" w:eastAsiaTheme="minorEastAsia"/>
          <w:sz w:val="24"/>
        </w:rPr>
        <w:t>施工过程中，灰土拌和采用站拌。混凝土拌和作业在受风力的作用下将会对施工现场产生TSP污染，根据已建类似工程实际调查资料，灰土拌和站下风向50m处8.90mg/m³；下风向100m处1.65mg/m³；下风向150m处符合《环境空气质量标准》（GB3095-2012）二级标准要求。其它作业环节产生的TSP污染一般可控制在施工现场50～200m范围内，在此范围以外符合《环境空气质量标准》（GB3095-2012）二级标准。</w:t>
      </w:r>
    </w:p>
    <w:p>
      <w:pPr>
        <w:adjustRightInd w:val="0"/>
        <w:spacing w:line="360" w:lineRule="auto"/>
        <w:ind w:firstLine="480" w:firstLineChars="200"/>
        <w:rPr>
          <w:rFonts w:asciiTheme="minorEastAsia" w:hAnsiTheme="minorEastAsia" w:eastAsiaTheme="minorEastAsia"/>
          <w:snapToGrid w:val="0"/>
          <w:kern w:val="0"/>
          <w:sz w:val="24"/>
        </w:rPr>
      </w:pPr>
      <w:r>
        <w:rPr>
          <w:rFonts w:asciiTheme="minorEastAsia" w:hAnsiTheme="minorEastAsia" w:eastAsiaTheme="minorEastAsia"/>
          <w:snapToGrid w:val="0"/>
          <w:kern w:val="0"/>
          <w:sz w:val="24"/>
        </w:rPr>
        <w:t>（2）施工运输车辆产生的扬尘污染</w:t>
      </w:r>
    </w:p>
    <w:p>
      <w:pPr>
        <w:adjustRightInd w:val="0"/>
        <w:spacing w:line="360" w:lineRule="auto"/>
        <w:ind w:firstLine="480" w:firstLineChars="200"/>
        <w:rPr>
          <w:rFonts w:asciiTheme="minorEastAsia" w:hAnsiTheme="minorEastAsia" w:eastAsiaTheme="minorEastAsia"/>
          <w:snapToGrid w:val="0"/>
          <w:kern w:val="0"/>
          <w:sz w:val="24"/>
        </w:rPr>
      </w:pPr>
      <w:r>
        <w:rPr>
          <w:snapToGrid w:val="0"/>
          <w:kern w:val="0"/>
          <w:sz w:val="24"/>
        </w:rPr>
        <w:t>在施工期，施工材料的运输和装卸将对沿线地区带来TSP污染影响。根据类似施工现场汽车运输引起的扬尘现场监测结果，灰土运输车辆下风向50m处11.625mg/m³；下风向100m处9.694mg/m³；下风向150m处5.093mg/m³，超过《环境空气质量标准》</w:t>
      </w:r>
      <w:r>
        <w:rPr>
          <w:sz w:val="24"/>
        </w:rPr>
        <w:t>（GB3095-2012）</w:t>
      </w:r>
      <w:r>
        <w:rPr>
          <w:snapToGrid w:val="0"/>
          <w:kern w:val="0"/>
          <w:sz w:val="24"/>
        </w:rPr>
        <w:t>二级标准。施工运输车辆产生的扬尘对拟建沿线的污染较严重。由上述分析可知，灰土拌和产生的粉尘污染和施工运输车辆产生的扬尘污染不可忽视，</w:t>
      </w:r>
      <w:r>
        <w:rPr>
          <w:rFonts w:asciiTheme="minorEastAsia" w:hAnsiTheme="minorEastAsia" w:eastAsiaTheme="minorEastAsia"/>
          <w:snapToGrid w:val="0"/>
          <w:kern w:val="0"/>
          <w:sz w:val="24"/>
        </w:rPr>
        <w:t>应采取相应的措施，减缓污染影响。</w:t>
      </w:r>
    </w:p>
    <w:p>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（3）作业机械</w:t>
      </w:r>
    </w:p>
    <w:p>
      <w:pPr>
        <w:spacing w:line="360" w:lineRule="auto"/>
        <w:ind w:firstLine="480" w:firstLineChars="200"/>
        <w:rPr>
          <w:spacing w:val="4"/>
          <w:sz w:val="24"/>
        </w:rPr>
      </w:pPr>
      <w:r>
        <w:rPr>
          <w:rFonts w:asciiTheme="minorEastAsia" w:hAnsiTheme="minorEastAsia" w:eastAsiaTheme="minorEastAsia"/>
          <w:sz w:val="24"/>
        </w:rPr>
        <w:t>施工机械主要有载重车、挖掘机、柴油动力机械等燃油机械，它们排放的污染物主要有CO、NO</w:t>
      </w:r>
      <w:r>
        <w:rPr>
          <w:rFonts w:asciiTheme="minorEastAsia" w:hAnsiTheme="minorEastAsia" w:eastAsiaTheme="minorEastAsia"/>
          <w:sz w:val="24"/>
          <w:vertAlign w:val="subscript"/>
        </w:rPr>
        <w:t>2</w:t>
      </w:r>
      <w:r>
        <w:rPr>
          <w:rFonts w:asciiTheme="minorEastAsia" w:hAnsiTheme="minorEastAsia" w:eastAsiaTheme="minorEastAsia"/>
          <w:sz w:val="24"/>
        </w:rPr>
        <w:t>、THC。由于施工机械多为大型机械，单车排放系数较大，但施工机械数量少且较分散，其污染程度相对较轻。据类似项目施工现场监测结果，在距离现场50m处NO</w:t>
      </w:r>
      <w:r>
        <w:rPr>
          <w:rFonts w:asciiTheme="minorEastAsia" w:hAnsiTheme="minorEastAsia" w:eastAsiaTheme="minorEastAsia"/>
          <w:sz w:val="24"/>
          <w:vertAlign w:val="subscript"/>
        </w:rPr>
        <w:t>2</w:t>
      </w:r>
      <w:r>
        <w:rPr>
          <w:rFonts w:asciiTheme="minorEastAsia" w:hAnsiTheme="minorEastAsia" w:eastAsiaTheme="minorEastAsia"/>
          <w:sz w:val="24"/>
        </w:rPr>
        <w:t>1小时平均浓度为13</w:t>
      </w:r>
      <w:r>
        <w:rPr>
          <w:rFonts w:hint="eastAsia" w:asciiTheme="minorEastAsia" w:hAnsiTheme="minorEastAsia" w:eastAsiaTheme="minorEastAsia"/>
          <w:sz w:val="24"/>
        </w:rPr>
        <w:t>0</w:t>
      </w:r>
      <w:r>
        <w:rPr>
          <w:rFonts w:asciiTheme="minorEastAsia" w:hAnsiTheme="minorEastAsia" w:eastAsiaTheme="minorEastAsia"/>
          <w:sz w:val="24"/>
        </w:rPr>
        <w:t>µg/m</w:t>
      </w:r>
      <w:r>
        <w:rPr>
          <w:rFonts w:asciiTheme="minorEastAsia" w:hAnsiTheme="minorEastAsia" w:eastAsiaTheme="minorEastAsia"/>
          <w:sz w:val="24"/>
          <w:vertAlign w:val="superscript"/>
        </w:rPr>
        <w:t>3</w:t>
      </w:r>
      <w:r>
        <w:rPr>
          <w:rFonts w:asciiTheme="minorEastAsia" w:hAnsiTheme="minorEastAsia" w:eastAsiaTheme="minorEastAsia"/>
          <w:sz w:val="24"/>
        </w:rPr>
        <w:t>；</w:t>
      </w:r>
      <w:r>
        <w:rPr>
          <w:rFonts w:hint="eastAsia" w:asciiTheme="minorEastAsia" w:hAnsiTheme="minorEastAsia" w:eastAsiaTheme="minorEastAsia"/>
          <w:sz w:val="24"/>
        </w:rPr>
        <w:t>24小时评价</w:t>
      </w:r>
      <w:r>
        <w:rPr>
          <w:rFonts w:asciiTheme="minorEastAsia" w:hAnsiTheme="minorEastAsia" w:eastAsiaTheme="minorEastAsia"/>
          <w:sz w:val="24"/>
        </w:rPr>
        <w:t>浓度为62µg/m</w:t>
      </w:r>
      <w:r>
        <w:rPr>
          <w:rFonts w:asciiTheme="minorEastAsia" w:hAnsiTheme="minorEastAsia" w:eastAsiaTheme="minorEastAsia"/>
          <w:sz w:val="24"/>
          <w:vertAlign w:val="superscript"/>
        </w:rPr>
        <w:t>3</w:t>
      </w:r>
      <w:r>
        <w:rPr>
          <w:rFonts w:hint="eastAsia" w:asciiTheme="minorEastAsia" w:hAnsiTheme="minorEastAsia" w:eastAsiaTheme="minorEastAsia"/>
          <w:sz w:val="24"/>
        </w:rPr>
        <w:t>，</w:t>
      </w:r>
      <w:r>
        <w:rPr>
          <w:rFonts w:asciiTheme="minorEastAsia" w:hAnsiTheme="minorEastAsia" w:eastAsiaTheme="minorEastAsia"/>
          <w:sz w:val="24"/>
        </w:rPr>
        <w:t>能满足《环境空气质量评价标准》（GB3095-2012）</w:t>
      </w:r>
      <w:r>
        <w:rPr>
          <w:sz w:val="24"/>
        </w:rPr>
        <w:t>二级标准的要求。</w:t>
      </w:r>
    </w:p>
    <w:p>
      <w:pPr>
        <w:pStyle w:val="5"/>
        <w:tabs>
          <w:tab w:val="left" w:pos="567"/>
        </w:tabs>
        <w:spacing w:before="120" w:after="48"/>
        <w:ind w:hanging="1713"/>
      </w:pPr>
      <w:bookmarkStart w:id="167" w:name="_Toc442195720"/>
      <w:r>
        <w:rPr>
          <w:rFonts w:hint="eastAsia"/>
        </w:rPr>
        <w:t>固体废物影响评价</w:t>
      </w:r>
      <w:bookmarkEnd w:id="167"/>
    </w:p>
    <w:p>
      <w:pPr>
        <w:pStyle w:val="4"/>
        <w:spacing w:line="360" w:lineRule="auto"/>
        <w:ind w:firstLine="480"/>
        <w:rPr>
          <w:color w:val="0070C0"/>
          <w:sz w:val="24"/>
        </w:rPr>
      </w:pPr>
      <w:r>
        <w:rPr>
          <w:color w:val="0070C0"/>
          <w:sz w:val="24"/>
        </w:rPr>
        <w:t>施工期固体废弃物主要为土石方挖掘，房屋拆迁、施工残土生产的建筑垃圾、生活垃圾。</w:t>
      </w:r>
    </w:p>
    <w:p>
      <w:pPr>
        <w:adjustRightInd w:val="0"/>
        <w:snapToGrid w:val="0"/>
        <w:spacing w:line="360" w:lineRule="auto"/>
        <w:ind w:firstLine="480" w:firstLineChars="200"/>
        <w:rPr>
          <w:color w:val="0070C0"/>
          <w:sz w:val="24"/>
        </w:rPr>
      </w:pPr>
      <w:r>
        <w:rPr>
          <w:color w:val="0070C0"/>
          <w:sz w:val="24"/>
        </w:rPr>
        <w:t>本项目主体工程施工挖方量</w:t>
      </w:r>
      <w:r>
        <w:rPr>
          <w:rFonts w:hint="eastAsia"/>
          <w:color w:val="0070C0"/>
          <w:sz w:val="24"/>
        </w:rPr>
        <w:t>73.52</w:t>
      </w:r>
      <w:r>
        <w:rPr>
          <w:color w:val="0070C0"/>
          <w:sz w:val="24"/>
        </w:rPr>
        <w:t>万m</w:t>
      </w:r>
      <w:r>
        <w:rPr>
          <w:color w:val="0070C0"/>
          <w:sz w:val="24"/>
          <w:vertAlign w:val="superscript"/>
        </w:rPr>
        <w:t>3</w:t>
      </w:r>
      <w:r>
        <w:rPr>
          <w:color w:val="0070C0"/>
          <w:sz w:val="24"/>
        </w:rPr>
        <w:t>（其中包括表土剥离</w:t>
      </w:r>
      <w:r>
        <w:rPr>
          <w:rFonts w:hint="eastAsia"/>
          <w:color w:val="0070C0"/>
          <w:sz w:val="24"/>
        </w:rPr>
        <w:t>7.0</w:t>
      </w:r>
      <w:r>
        <w:rPr>
          <w:color w:val="0070C0"/>
          <w:sz w:val="24"/>
        </w:rPr>
        <w:t>万m</w:t>
      </w:r>
      <w:r>
        <w:rPr>
          <w:color w:val="0070C0"/>
          <w:sz w:val="24"/>
          <w:vertAlign w:val="superscript"/>
        </w:rPr>
        <w:t>3</w:t>
      </w:r>
      <w:r>
        <w:rPr>
          <w:color w:val="0070C0"/>
          <w:sz w:val="24"/>
        </w:rPr>
        <w:t>，场地平整</w:t>
      </w:r>
      <w:r>
        <w:rPr>
          <w:rFonts w:hint="eastAsia"/>
          <w:color w:val="0070C0"/>
          <w:sz w:val="24"/>
        </w:rPr>
        <w:t>66.52</w:t>
      </w:r>
      <w:r>
        <w:rPr>
          <w:color w:val="0070C0"/>
          <w:sz w:val="24"/>
        </w:rPr>
        <w:t>万m</w:t>
      </w:r>
      <w:r>
        <w:rPr>
          <w:color w:val="0070C0"/>
          <w:sz w:val="24"/>
          <w:vertAlign w:val="superscript"/>
        </w:rPr>
        <w:t>3</w:t>
      </w:r>
      <w:r>
        <w:rPr>
          <w:color w:val="0070C0"/>
          <w:sz w:val="24"/>
        </w:rPr>
        <w:t>），总填方量</w:t>
      </w:r>
      <w:r>
        <w:rPr>
          <w:rFonts w:hint="eastAsia"/>
          <w:color w:val="0070C0"/>
          <w:sz w:val="24"/>
        </w:rPr>
        <w:t>126.15</w:t>
      </w:r>
      <w:r>
        <w:rPr>
          <w:color w:val="0070C0"/>
          <w:sz w:val="24"/>
        </w:rPr>
        <w:t>万m</w:t>
      </w:r>
      <w:r>
        <w:rPr>
          <w:color w:val="0070C0"/>
          <w:sz w:val="24"/>
          <w:vertAlign w:val="superscript"/>
        </w:rPr>
        <w:t>3</w:t>
      </w:r>
      <w:r>
        <w:rPr>
          <w:color w:val="0070C0"/>
          <w:sz w:val="24"/>
        </w:rPr>
        <w:t>（其中包括表土返还</w:t>
      </w:r>
      <w:r>
        <w:rPr>
          <w:rFonts w:hint="eastAsia"/>
          <w:color w:val="0070C0"/>
          <w:sz w:val="24"/>
        </w:rPr>
        <w:t>7.0</w:t>
      </w:r>
      <w:r>
        <w:rPr>
          <w:color w:val="0070C0"/>
          <w:sz w:val="24"/>
        </w:rPr>
        <w:t>万m</w:t>
      </w:r>
      <w:r>
        <w:rPr>
          <w:color w:val="0070C0"/>
          <w:sz w:val="24"/>
          <w:vertAlign w:val="superscript"/>
        </w:rPr>
        <w:t>3</w:t>
      </w:r>
      <w:r>
        <w:rPr>
          <w:color w:val="0070C0"/>
          <w:sz w:val="24"/>
        </w:rPr>
        <w:t>，土石方回填</w:t>
      </w:r>
      <w:r>
        <w:rPr>
          <w:rFonts w:hint="eastAsia"/>
          <w:color w:val="0070C0"/>
          <w:sz w:val="24"/>
        </w:rPr>
        <w:t>119.15</w:t>
      </w:r>
      <w:r>
        <w:rPr>
          <w:color w:val="0070C0"/>
          <w:sz w:val="24"/>
        </w:rPr>
        <w:t>万m</w:t>
      </w:r>
      <w:r>
        <w:rPr>
          <w:color w:val="0070C0"/>
          <w:sz w:val="24"/>
          <w:vertAlign w:val="superscript"/>
        </w:rPr>
        <w:t>3</w:t>
      </w:r>
      <w:r>
        <w:rPr>
          <w:color w:val="0070C0"/>
          <w:sz w:val="24"/>
        </w:rPr>
        <w:t>），总借方量</w:t>
      </w:r>
      <w:r>
        <w:rPr>
          <w:rFonts w:hint="eastAsia"/>
          <w:color w:val="0070C0"/>
          <w:sz w:val="24"/>
        </w:rPr>
        <w:t>52.63</w:t>
      </w:r>
      <w:r>
        <w:rPr>
          <w:color w:val="0070C0"/>
          <w:sz w:val="24"/>
        </w:rPr>
        <w:t>万m</w:t>
      </w:r>
      <w:r>
        <w:rPr>
          <w:color w:val="0070C0"/>
          <w:sz w:val="24"/>
          <w:vertAlign w:val="superscript"/>
        </w:rPr>
        <w:t>3</w:t>
      </w:r>
      <w:r>
        <w:rPr>
          <w:color w:val="0070C0"/>
          <w:sz w:val="24"/>
        </w:rPr>
        <w:t>，本项目无永久弃方。</w:t>
      </w:r>
    </w:p>
    <w:p>
      <w:pPr>
        <w:adjustRightInd w:val="0"/>
        <w:snapToGrid w:val="0"/>
        <w:spacing w:line="360" w:lineRule="auto"/>
        <w:ind w:firstLine="480" w:firstLineChars="200"/>
        <w:rPr>
          <w:rFonts w:ascii="宋体" w:hAnsi="宋体"/>
          <w:bCs/>
          <w:color w:val="0070C0"/>
          <w:sz w:val="24"/>
        </w:rPr>
      </w:pPr>
      <w:r>
        <w:rPr>
          <w:rFonts w:hint="eastAsia"/>
          <w:color w:val="0070C0"/>
          <w:sz w:val="24"/>
        </w:rPr>
        <w:t>根据土石方平衡，</w:t>
      </w:r>
      <w:r>
        <w:rPr>
          <w:color w:val="0070C0"/>
          <w:sz w:val="24"/>
        </w:rPr>
        <w:t>本方案</w:t>
      </w:r>
      <w:r>
        <w:rPr>
          <w:rFonts w:hint="eastAsia"/>
          <w:color w:val="0070C0"/>
          <w:sz w:val="24"/>
        </w:rPr>
        <w:t>不设取、弃土场</w:t>
      </w:r>
      <w:r>
        <w:rPr>
          <w:color w:val="0070C0"/>
          <w:sz w:val="24"/>
        </w:rPr>
        <w:t>。</w:t>
      </w:r>
      <w:r>
        <w:rPr>
          <w:rFonts w:hint="eastAsia"/>
          <w:color w:val="0070C0"/>
          <w:sz w:val="24"/>
        </w:rPr>
        <w:t>施工期土石方工程在按照水保要求的情况下，其影响较小。</w:t>
      </w:r>
    </w:p>
    <w:p>
      <w:pPr>
        <w:pStyle w:val="4"/>
        <w:spacing w:line="360" w:lineRule="auto"/>
        <w:ind w:firstLine="480"/>
        <w:rPr>
          <w:color w:val="0070C0"/>
          <w:sz w:val="24"/>
        </w:rPr>
      </w:pPr>
      <w:r>
        <w:rPr>
          <w:color w:val="0070C0"/>
          <w:sz w:val="24"/>
        </w:rPr>
        <w:t>由于施工期中固体废弃物若堆放不当或处置不及时，将直接破坏</w:t>
      </w:r>
      <w:r>
        <w:rPr>
          <w:rFonts w:hint="eastAsia"/>
          <w:color w:val="0070C0"/>
          <w:sz w:val="24"/>
        </w:rPr>
        <w:t>区域</w:t>
      </w:r>
      <w:r>
        <w:rPr>
          <w:color w:val="0070C0"/>
          <w:sz w:val="24"/>
        </w:rPr>
        <w:t>植被，堵塞农灌沟渠和塘堰等，污染水体。因此，在施工期间，应通过加强施工管理、及时清运、处置可以减少和防止这类影响。</w:t>
      </w:r>
    </w:p>
    <w:p>
      <w:pPr>
        <w:pStyle w:val="4"/>
        <w:spacing w:line="360" w:lineRule="auto"/>
        <w:ind w:firstLine="480"/>
        <w:rPr>
          <w:color w:val="0070C0"/>
          <w:sz w:val="24"/>
        </w:rPr>
      </w:pPr>
      <w:r>
        <w:rPr>
          <w:color w:val="0070C0"/>
          <w:sz w:val="24"/>
        </w:rPr>
        <w:t>施工高峰期现场施工人员约400人，每天产生生活垃圾约为0.4t。施工人员产生的生活垃圾，如食物残渣、塑料包装、废旧电池等，随意堆放将影响景观，同时对环境产生极大的污染。无组织堆放的垃圾将造成恶臭，引来大量的蚊虫、老鼠，对施工人员的健康造成威胁，不加防护的垃圾将产生污液，造成水体、土壤的污染，尤其废旧电池中含有大量重金属，对水体、土壤的污染及其严重。</w:t>
      </w:r>
    </w:p>
    <w:p>
      <w:pPr>
        <w:pStyle w:val="4"/>
        <w:spacing w:line="360" w:lineRule="auto"/>
        <w:ind w:firstLine="480"/>
        <w:rPr>
          <w:color w:val="0070C0"/>
          <w:sz w:val="24"/>
        </w:rPr>
      </w:pPr>
      <w:r>
        <w:rPr>
          <w:color w:val="0070C0"/>
          <w:sz w:val="24"/>
        </w:rPr>
        <w:t>施工人员产生的生活垃圾经收集后交由环卫部门集中处置，房屋拆迁产生的建筑垃圾交由渣土管理部门统一及时清运处理；预计采取以上措施后，项目施工期产生的固体废物对周边环境影响较小。</w:t>
      </w:r>
    </w:p>
    <w:p>
      <w:pPr>
        <w:pStyle w:val="6"/>
        <w:tabs>
          <w:tab w:val="left" w:pos="1006"/>
        </w:tabs>
        <w:spacing w:beforeLines="0" w:afterLines="0"/>
        <w:ind w:left="0" w:firstLine="0"/>
      </w:pPr>
      <w:r>
        <w:rPr>
          <w:rFonts w:hint="eastAsia"/>
        </w:rPr>
        <w:t>文物古迹影响分析</w:t>
      </w:r>
    </w:p>
    <w:p>
      <w:pPr>
        <w:autoSpaceDE w:val="0"/>
        <w:autoSpaceDN w:val="0"/>
        <w:adjustRightInd w:val="0"/>
        <w:spacing w:line="360" w:lineRule="auto"/>
        <w:ind w:firstLine="480" w:firstLineChars="200"/>
        <w:jc w:val="left"/>
        <w:rPr>
          <w:rFonts w:ascii="宋体" w:hAnsi="宋体"/>
          <w:sz w:val="24"/>
        </w:rPr>
      </w:pPr>
      <w:r>
        <w:rPr>
          <w:rFonts w:hint="eastAsia" w:ascii="宋体" w:hAnsi="宋体"/>
          <w:sz w:val="24"/>
        </w:rPr>
        <w:t>该项目范围内虽然没有地面文物保护单位</w:t>
      </w:r>
      <w:r>
        <w:rPr>
          <w:rFonts w:ascii="宋体" w:hAnsi="宋体"/>
          <w:sz w:val="24"/>
        </w:rPr>
        <w:t>,</w:t>
      </w:r>
      <w:r>
        <w:rPr>
          <w:rFonts w:hint="eastAsia" w:ascii="宋体" w:hAnsi="宋体"/>
          <w:sz w:val="24"/>
        </w:rPr>
        <w:t>但在工程建设中仍然存在着地下埋藏文物的不可预知性</w:t>
      </w:r>
      <w:r>
        <w:rPr>
          <w:rFonts w:ascii="宋体" w:hAnsi="宋体"/>
          <w:sz w:val="24"/>
        </w:rPr>
        <w:t>,</w:t>
      </w:r>
      <w:r>
        <w:rPr>
          <w:rFonts w:hint="eastAsia" w:ascii="宋体" w:hAnsi="宋体"/>
          <w:sz w:val="24"/>
        </w:rPr>
        <w:t>该工程开工时按文物保护法的有关规定办理。</w:t>
      </w:r>
    </w:p>
    <w:p>
      <w:pPr>
        <w:spacing w:line="360" w:lineRule="auto"/>
        <w:ind w:firstLine="480" w:firstLineChars="200"/>
        <w:rPr>
          <w:rFonts w:ascii="宋体" w:hAnsi="宋体"/>
          <w:sz w:val="24"/>
        </w:rPr>
      </w:pPr>
      <w:r>
        <w:rPr>
          <w:rFonts w:hint="eastAsia" w:ascii="宋体" w:hAnsi="宋体"/>
          <w:sz w:val="24"/>
        </w:rPr>
        <w:t>因此，所以在施工过程中极有可能发现未知文物。如果在施工过程中发现其它未知文物，应立即采取一系列保护措施，如立即停止施工、向文物部门报告、抢救性挖掘、重新开工等。</w:t>
      </w:r>
    </w:p>
    <w:p>
      <w:pPr>
        <w:spacing w:line="360" w:lineRule="auto"/>
        <w:ind w:firstLine="480" w:firstLineChars="200"/>
        <w:rPr>
          <w:snapToGrid w:val="0"/>
          <w:sz w:val="24"/>
        </w:rPr>
      </w:pPr>
      <w:r>
        <w:rPr>
          <w:rFonts w:hint="eastAsia"/>
          <w:snapToGrid w:val="0"/>
          <w:sz w:val="24"/>
        </w:rPr>
        <w:t>采取上述措施后，项目建设对文物古迹的影响可以降低到最低。</w:t>
      </w:r>
    </w:p>
    <w:p>
      <w:pPr>
        <w:pStyle w:val="6"/>
        <w:tabs>
          <w:tab w:val="left" w:pos="1006"/>
        </w:tabs>
        <w:spacing w:beforeLines="0" w:afterLines="0"/>
        <w:ind w:left="0" w:firstLine="0"/>
      </w:pPr>
      <w:r>
        <w:rPr>
          <w:rFonts w:hint="eastAsia"/>
        </w:rPr>
        <w:t>健康影响分析</w:t>
      </w:r>
    </w:p>
    <w:p>
      <w:pPr>
        <w:spacing w:line="360" w:lineRule="auto"/>
        <w:ind w:firstLine="482" w:firstLineChars="200"/>
        <w:rPr>
          <w:b/>
          <w:sz w:val="24"/>
        </w:rPr>
      </w:pPr>
      <w:r>
        <w:rPr>
          <w:rFonts w:hint="eastAsia"/>
          <w:b/>
          <w:sz w:val="24"/>
        </w:rPr>
        <w:t>拟建项目区均为地方病非重病区，应坚持预防为主的原则，施工队伍在进驻现场前，可先到当地医疗卫生部门了解当地地方病情况，在医疗卫生部门的指导下进行预防后。地方病对施工人员基本不存在影响。</w:t>
      </w:r>
    </w:p>
    <w:p>
      <w:pPr>
        <w:pStyle w:val="36"/>
        <w:spacing w:after="0"/>
        <w:ind w:left="0" w:leftChars="0" w:firstLine="482"/>
        <w:rPr>
          <w:b/>
        </w:rPr>
      </w:pPr>
      <w:r>
        <w:rPr>
          <w:rFonts w:hint="eastAsia"/>
          <w:b/>
        </w:rPr>
        <w:t>对于传染病的预防，主要靠培养施工人员良好的卫生习惯，通过向施工人员进行必要的血防知识和卫生知识教育，注意饮食卫生和采取必要的血防措施，就能控制传染病的感染发展。</w:t>
      </w:r>
    </w:p>
    <w:p>
      <w:pPr>
        <w:spacing w:line="360" w:lineRule="auto"/>
        <w:ind w:firstLine="482" w:firstLineChars="200"/>
        <w:rPr>
          <w:b/>
          <w:sz w:val="24"/>
        </w:rPr>
      </w:pPr>
      <w:r>
        <w:rPr>
          <w:rFonts w:hint="eastAsia"/>
          <w:b/>
          <w:sz w:val="24"/>
        </w:rPr>
        <w:t>对于艾滋病的预防，在施工期以加强对施工人员的教育、宣传和管理为主，在施工人员的居住区，举办有关艾滋病的专题宣传栏，建议工程建设承包单位能在施工人员业余生活中提供健康的娱乐条件，充实施工人员的业余生活；建议施工单位招聘施工人员前进行血检，以了解施工人员健康状况。同时，施工管理人员有必要禁止施工人员吸毒、嫖娼，一旦发现，予以开除并移交公安机关。项目建成后，原来相对封闭和落后的现状将城市化而使得交通变得便利，流动人口增加，宾馆、娱乐、餐饮等行业将得到发展，一些社会不良现象也会滋生，这些将给艾滋病的潜在传播提供了条件，项目投入营运后，开发区政府应重视这一问题，指派宣传部门通过广播、阅报栏等媒体对区域内的广大群众作定期或不定期的艾滋病防治知识宣传，卫生防疫站、医院应加强对艾滋病的检查工作，公安部门应加强对外来人口的登记管理，同时对娱乐场所、宾馆、发廊等较易传播艾滋病的场所定期依法整顿、打击，确保这些场所的活动处于合法范围。</w:t>
      </w:r>
    </w:p>
    <w:p>
      <w:pPr>
        <w:spacing w:line="360" w:lineRule="auto"/>
        <w:ind w:firstLine="482" w:firstLineChars="200"/>
        <w:rPr>
          <w:b/>
          <w:sz w:val="24"/>
        </w:rPr>
      </w:pPr>
      <w:r>
        <w:rPr>
          <w:rFonts w:hint="eastAsia"/>
          <w:b/>
          <w:sz w:val="24"/>
        </w:rPr>
        <w:t>对在高噪声和灰尘浓度较高场所工作的工人，应注意加强劳动保健。这将在噪声和大气环保措施中提出。</w:t>
      </w:r>
    </w:p>
    <w:p>
      <w:pPr>
        <w:pStyle w:val="6"/>
        <w:tabs>
          <w:tab w:val="left" w:pos="1006"/>
        </w:tabs>
        <w:spacing w:beforeLines="0" w:afterLines="0"/>
        <w:ind w:left="0" w:firstLine="0"/>
      </w:pPr>
      <w:r>
        <w:rPr>
          <w:rFonts w:hint="eastAsia"/>
        </w:rPr>
        <w:t>施工期的其他影响</w:t>
      </w:r>
    </w:p>
    <w:p>
      <w:pPr>
        <w:spacing w:line="360" w:lineRule="auto"/>
        <w:ind w:left="13" w:leftChars="6" w:firstLine="480" w:firstLineChars="200"/>
        <w:rPr>
          <w:rFonts w:ascii="宋体" w:hAnsi="宋体"/>
          <w:sz w:val="24"/>
        </w:rPr>
      </w:pPr>
      <w:r>
        <w:rPr>
          <w:rFonts w:hint="eastAsia" w:ascii="宋体" w:hAnsi="宋体"/>
          <w:sz w:val="24"/>
        </w:rPr>
        <w:t xml:space="preserve"> (1) 施工期间可以利用地方闲置劳动力，增加农民的就业机会和收入；施工单位从地方购买施工材料和生活用品，可在一定时期内带动地方经济发展，增加地方收入。</w:t>
      </w:r>
    </w:p>
    <w:p>
      <w:pPr>
        <w:spacing w:line="360" w:lineRule="auto"/>
        <w:ind w:left="13" w:leftChars="6" w:firstLine="480" w:firstLineChars="200"/>
        <w:rPr>
          <w:rFonts w:ascii="宋体" w:hAnsi="宋体"/>
          <w:sz w:val="24"/>
        </w:rPr>
      </w:pPr>
      <w:r>
        <w:rPr>
          <w:rFonts w:hint="eastAsia" w:ascii="宋体" w:hAnsi="宋体"/>
          <w:sz w:val="24"/>
        </w:rPr>
        <w:t>(2) 施工期间重型施工车辆频繁进出，增加地方道路的交通量，并可能会破坏地方道路，影响地方交通，影响沿线居民的出行和劳作，增加交通事故的风险，因此应加强交通安全设施建设。</w:t>
      </w:r>
    </w:p>
    <w:p>
      <w:pPr>
        <w:pStyle w:val="6"/>
        <w:tabs>
          <w:tab w:val="left" w:pos="1006"/>
        </w:tabs>
        <w:spacing w:beforeLines="0" w:afterLines="0"/>
        <w:ind w:left="0" w:firstLine="0"/>
      </w:pPr>
      <w:r>
        <w:rPr>
          <w:rFonts w:hint="eastAsia"/>
        </w:rPr>
        <w:t>征地、拆迁安置影响分析</w:t>
      </w:r>
    </w:p>
    <w:p>
      <w:pPr>
        <w:pStyle w:val="4"/>
        <w:spacing w:line="360" w:lineRule="auto"/>
        <w:ind w:firstLine="480"/>
        <w:rPr>
          <w:rFonts w:ascii="宋体" w:hAnsi="宋体"/>
          <w:bCs/>
          <w:sz w:val="24"/>
        </w:rPr>
      </w:pPr>
      <w:r>
        <w:rPr>
          <w:rFonts w:hint="eastAsia" w:ascii="宋体" w:hAnsi="宋体"/>
          <w:bCs/>
          <w:sz w:val="24"/>
        </w:rPr>
        <w:t>（1）拆迁安置的社会影响</w:t>
      </w:r>
    </w:p>
    <w:p>
      <w:pPr>
        <w:pStyle w:val="4"/>
        <w:spacing w:line="360" w:lineRule="auto"/>
        <w:ind w:firstLine="480"/>
        <w:rPr>
          <w:rFonts w:hAnsi="宋体"/>
          <w:sz w:val="24"/>
        </w:rPr>
      </w:pPr>
      <w:r>
        <w:rPr>
          <w:rFonts w:hint="eastAsia" w:ascii="宋体" w:hAnsi="宋体"/>
          <w:bCs/>
          <w:sz w:val="24"/>
        </w:rPr>
        <w:t>征地、拆迁安置由当地政府统一进行，对影响较大的拆迁安置，当地政府制定了《拆迁安置计划》根据该计划，</w:t>
      </w:r>
      <w:r>
        <w:rPr>
          <w:rFonts w:hAnsi="宋体"/>
          <w:sz w:val="24"/>
        </w:rPr>
        <w:t>本工程征地、拆迁对沿线居民生活不会产生太大影响。</w:t>
      </w:r>
    </w:p>
    <w:p>
      <w:pPr>
        <w:spacing w:line="360" w:lineRule="auto"/>
        <w:ind w:firstLine="480" w:firstLineChars="200"/>
        <w:rPr>
          <w:rFonts w:ascii="宋体" w:hAnsi="宋体"/>
          <w:bCs/>
          <w:sz w:val="24"/>
        </w:rPr>
      </w:pPr>
      <w:r>
        <w:rPr>
          <w:rFonts w:hint="eastAsia" w:ascii="宋体" w:hAnsi="宋体"/>
          <w:bCs/>
          <w:sz w:val="24"/>
        </w:rPr>
        <w:t>（2）征地拆迁环境影响分析</w:t>
      </w:r>
    </w:p>
    <w:p>
      <w:pPr>
        <w:pStyle w:val="4"/>
        <w:spacing w:line="360" w:lineRule="auto"/>
        <w:ind w:firstLine="480"/>
        <w:rPr>
          <w:rFonts w:hAnsi="宋体"/>
          <w:sz w:val="24"/>
        </w:rPr>
      </w:pPr>
      <w:r>
        <w:rPr>
          <w:rFonts w:hint="eastAsia" w:hAnsi="宋体"/>
          <w:sz w:val="24"/>
        </w:rPr>
        <w:t>征地拆迁的环境影响主要表现为，拆迁垃圾在堆放和运输过程中，如不妥善处理这些建筑固体废弃物，则会阻碍交通，污染环境。拆迁垃圾如果无组织堆放、倒弃，遇暴雨冲刷，则会造成水土流失。雨水径流还夹带施工场地上的水泥、油污等污染物进入水体，造成水体污染。晴好干燥天气时，弃土中比重较轻、粒径小的尘埃随风扬起污染附近区域的环境空气和环境卫生。拆迁时，挖掘机等拆迁机械的工作时产生的噪声会对周围居民和单位产生噪声影响，且这种影响在夜间表现更加明显。</w:t>
      </w:r>
    </w:p>
    <w:p>
      <w:pPr>
        <w:pStyle w:val="3"/>
        <w:tabs>
          <w:tab w:val="clear" w:pos="3695"/>
        </w:tabs>
        <w:spacing w:before="120" w:after="120"/>
        <w:ind w:left="567"/>
      </w:pPr>
      <w:bookmarkStart w:id="168" w:name="_Toc442195722"/>
      <w:r>
        <w:rPr>
          <w:rFonts w:hint="eastAsia"/>
        </w:rPr>
        <w:t>营运期环境影响评价</w:t>
      </w:r>
      <w:bookmarkEnd w:id="168"/>
    </w:p>
    <w:p>
      <w:pPr>
        <w:pStyle w:val="5"/>
        <w:tabs>
          <w:tab w:val="left" w:pos="567"/>
        </w:tabs>
        <w:spacing w:before="48" w:beforeLines="20" w:after="48" w:line="360" w:lineRule="auto"/>
        <w:ind w:left="0" w:firstLine="0"/>
        <w:rPr>
          <w:rFonts w:ascii="宋体" w:hAnsi="宋体" w:eastAsia="宋体"/>
          <w:b/>
          <w:sz w:val="28"/>
          <w:szCs w:val="28"/>
        </w:rPr>
      </w:pPr>
      <w:bookmarkStart w:id="169" w:name="_Toc442195723"/>
      <w:r>
        <w:rPr>
          <w:rFonts w:hint="eastAsia" w:ascii="宋体" w:hAnsi="宋体" w:eastAsia="宋体"/>
          <w:b/>
          <w:sz w:val="28"/>
          <w:szCs w:val="28"/>
        </w:rPr>
        <w:t>水环境影响评价</w:t>
      </w:r>
      <w:bookmarkEnd w:id="169"/>
    </w:p>
    <w:p>
      <w:pPr>
        <w:autoSpaceDE w:val="0"/>
        <w:autoSpaceDN w:val="0"/>
        <w:adjustRightInd w:val="0"/>
        <w:spacing w:line="360" w:lineRule="auto"/>
        <w:ind w:firstLine="480" w:firstLineChars="200"/>
        <w:rPr>
          <w:rFonts w:hAnsi="宋体"/>
          <w:snapToGrid w:val="0"/>
          <w:kern w:val="0"/>
          <w:sz w:val="24"/>
        </w:rPr>
      </w:pPr>
      <w:r>
        <w:rPr>
          <w:kern w:val="0"/>
          <w:sz w:val="24"/>
        </w:rPr>
        <w:t>项目运行期产生的废水主要来</w:t>
      </w:r>
      <w:r>
        <w:rPr>
          <w:rFonts w:hint="eastAsia"/>
          <w:kern w:val="0"/>
          <w:sz w:val="24"/>
        </w:rPr>
        <w:t>自园区人员产生</w:t>
      </w:r>
      <w:r>
        <w:rPr>
          <w:kern w:val="0"/>
          <w:sz w:val="24"/>
        </w:rPr>
        <w:t>的生活污水，</w:t>
      </w:r>
      <w:r>
        <w:rPr>
          <w:rFonts w:hint="eastAsia"/>
          <w:kern w:val="0"/>
          <w:sz w:val="24"/>
        </w:rPr>
        <w:t>船舶污废水和生产性的冲洗水</w:t>
      </w:r>
      <w:r>
        <w:rPr>
          <w:kern w:val="0"/>
          <w:sz w:val="24"/>
        </w:rPr>
        <w:t>。</w:t>
      </w:r>
    </w:p>
    <w:p>
      <w:pPr>
        <w:pStyle w:val="78"/>
        <w:spacing w:line="360" w:lineRule="auto"/>
        <w:ind w:firstLine="480"/>
        <w:rPr>
          <w:rFonts w:ascii="Times New Roman"/>
        </w:rPr>
      </w:pPr>
      <w:r>
        <w:rPr>
          <w:rFonts w:hint="eastAsia" w:ascii="Times New Roman"/>
        </w:rPr>
        <w:t>（1）</w:t>
      </w:r>
      <w:r>
        <w:rPr>
          <w:rFonts w:ascii="Times New Roman"/>
        </w:rPr>
        <w:t>舱底油污水</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到港船舶舱底油污水全年发生总量约为</w:t>
      </w:r>
      <w:r>
        <w:rPr>
          <w:rFonts w:hint="eastAsia" w:ascii="TimesNewRomanPSMT" w:hAnsi="TimesNewRomanPSMT" w:cs="TimesNewRomanPSMT"/>
          <w:kern w:val="0"/>
          <w:sz w:val="24"/>
        </w:rPr>
        <w:t>2138.4</w:t>
      </w:r>
      <w:r>
        <w:rPr>
          <w:rFonts w:ascii="TimesNewRomanPSMT" w:hAnsi="TimesNewRomanPSMT" w:cs="TimesNewRomanPSMT"/>
          <w:kern w:val="0"/>
          <w:sz w:val="24"/>
        </w:rPr>
        <w:t xml:space="preserve"> t/a</w:t>
      </w:r>
      <w:r>
        <w:rPr>
          <w:rFonts w:hint="eastAsia" w:ascii="宋体" w:cs="宋体" w:hAnsiTheme="minorHAnsi"/>
          <w:kern w:val="0"/>
          <w:sz w:val="24"/>
        </w:rPr>
        <w:t>。舱底含油污水的平均含油浓度为</w:t>
      </w:r>
      <w:r>
        <w:rPr>
          <w:rFonts w:ascii="TimesNewRomanPSMT" w:hAnsi="TimesNewRomanPSMT" w:cs="TimesNewRomanPSMT"/>
          <w:kern w:val="0"/>
          <w:sz w:val="24"/>
        </w:rPr>
        <w:t>5000 mg/l</w:t>
      </w:r>
      <w:r>
        <w:rPr>
          <w:rFonts w:hint="eastAsia" w:ascii="宋体" w:cs="宋体" w:hAnsiTheme="minorHAnsi"/>
          <w:kern w:val="0"/>
          <w:sz w:val="24"/>
        </w:rPr>
        <w:t>，石油类的发生量为</w:t>
      </w:r>
      <w:r>
        <w:rPr>
          <w:rFonts w:hint="eastAsia" w:ascii="TimesNewRomanPSMT" w:hAnsi="TimesNewRomanPSMT" w:cs="TimesNewRomanPSMT"/>
          <w:kern w:val="0"/>
          <w:sz w:val="24"/>
        </w:rPr>
        <w:t>10692</w:t>
      </w:r>
      <w:r>
        <w:rPr>
          <w:rFonts w:ascii="TimesNewRomanPSMT" w:hAnsi="TimesNewRomanPSMT" w:cs="TimesNewRomanPSMT"/>
          <w:kern w:val="0"/>
          <w:sz w:val="24"/>
        </w:rPr>
        <w:t xml:space="preserve"> kg/a</w:t>
      </w:r>
      <w:r>
        <w:rPr>
          <w:rFonts w:hint="eastAsia" w:ascii="宋体" w:cs="宋体" w:hAnsiTheme="minorHAnsi"/>
          <w:kern w:val="0"/>
          <w:sz w:val="24"/>
        </w:rPr>
        <w:t>。</w:t>
      </w:r>
    </w:p>
    <w:p>
      <w:pPr>
        <w:pStyle w:val="78"/>
        <w:spacing w:line="360" w:lineRule="auto"/>
        <w:ind w:firstLine="480"/>
        <w:rPr>
          <w:rFonts w:ascii="Times New Roman"/>
        </w:rPr>
      </w:pPr>
      <w:r>
        <w:rPr>
          <w:rFonts w:hint="eastAsia"/>
        </w:rPr>
        <w:t>根据</w:t>
      </w:r>
      <w:r>
        <w:t>《中华人民共和国防治船舶污染内河水域环境管理规定》，到港船舶不得在港口水域内排放舱底油污水。确需排放舱底油污水的船舶应事先向海事部门提出书面报告，经批准后，到指定区域排放</w:t>
      </w:r>
      <w:r>
        <w:rPr>
          <w:rFonts w:hint="eastAsia"/>
        </w:rPr>
        <w:t>。</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⑵</w:t>
      </w:r>
      <w:r>
        <w:rPr>
          <w:rFonts w:ascii="宋体" w:cs="宋体" w:hAnsiTheme="minorHAnsi"/>
          <w:kern w:val="0"/>
          <w:sz w:val="24"/>
        </w:rPr>
        <w:t xml:space="preserve"> </w:t>
      </w:r>
      <w:r>
        <w:rPr>
          <w:rFonts w:hint="eastAsia" w:ascii="宋体" w:cs="宋体" w:hAnsiTheme="minorHAnsi"/>
          <w:kern w:val="0"/>
          <w:sz w:val="24"/>
        </w:rPr>
        <w:t>船舶生活污水</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根据设计船型及船员数，船舶生活污水的发生量约为</w:t>
      </w:r>
      <w:r>
        <w:rPr>
          <w:rFonts w:hint="eastAsia" w:ascii="TimesNewRomanPSMT" w:hAnsi="TimesNewRomanPSMT" w:cs="TimesNewRomanPSMT"/>
          <w:kern w:val="0"/>
          <w:sz w:val="24"/>
        </w:rPr>
        <w:t>6000</w:t>
      </w:r>
      <w:r>
        <w:rPr>
          <w:rFonts w:ascii="TimesNewRomanPSMT" w:hAnsi="TimesNewRomanPSMT" w:cs="TimesNewRomanPSMT"/>
          <w:kern w:val="0"/>
          <w:sz w:val="24"/>
        </w:rPr>
        <w:t>t/a</w:t>
      </w:r>
      <w:r>
        <w:rPr>
          <w:rFonts w:hint="eastAsia" w:ascii="宋体" w:cs="宋体" w:hAnsiTheme="minorHAnsi"/>
          <w:kern w:val="0"/>
          <w:sz w:val="24"/>
        </w:rPr>
        <w:t>。船舶生活污水不得在本码头水域排放。</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船舶生活污水由船舶全部带走，不得在本码头水域排放，如需排放，应由海事部门审核备案的污染物接收船有偿接收处理。</w:t>
      </w:r>
      <w:r>
        <w:rPr>
          <w:rFonts w:ascii="TimesNewRomanPSMT" w:hAnsi="TimesNewRomanPSMT" w:cs="TimesNewRomanPSMT"/>
          <w:kern w:val="0"/>
          <w:sz w:val="24"/>
        </w:rPr>
        <w:t xml:space="preserve">90 </w:t>
      </w:r>
      <w:r>
        <w:rPr>
          <w:rFonts w:hint="eastAsia" w:ascii="宋体" w:cs="宋体" w:hAnsiTheme="minorHAnsi"/>
          <w:kern w:val="0"/>
          <w:sz w:val="24"/>
        </w:rPr>
        <w:t>年代后期新造的船舶均装有生活污水处理系统，经处理后的污水能够达到排放标准。</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新宋体" w:eastAsia="新宋体" w:cs="新宋体" w:hAnsiTheme="minorHAnsi"/>
          <w:kern w:val="0"/>
          <w:sz w:val="24"/>
        </w:rPr>
        <w:t>⑶</w:t>
      </w:r>
      <w:r>
        <w:rPr>
          <w:rFonts w:hint="eastAsia" w:ascii="宋体" w:cs="宋体" w:hAnsiTheme="minorHAnsi"/>
          <w:kern w:val="0"/>
          <w:sz w:val="24"/>
        </w:rPr>
        <w:t>地面冲洗水和初期雨污水</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主要包括码头面冲洗水和堆场径流雨水</w:t>
      </w:r>
    </w:p>
    <w:p>
      <w:pPr>
        <w:autoSpaceDE w:val="0"/>
        <w:autoSpaceDN w:val="0"/>
        <w:adjustRightInd w:val="0"/>
        <w:spacing w:line="360" w:lineRule="auto"/>
        <w:ind w:firstLine="480" w:firstLineChars="200"/>
        <w:jc w:val="left"/>
        <w:rPr>
          <w:kern w:val="0"/>
          <w:sz w:val="24"/>
        </w:rPr>
      </w:pPr>
      <w:r>
        <w:rPr>
          <w:rFonts w:hint="eastAsia" w:ascii="宋体" w:cs="宋体" w:hAnsiTheme="minorHAnsi"/>
          <w:kern w:val="0"/>
          <w:sz w:val="24"/>
        </w:rPr>
        <w:t>在降雨情况下，这些废水发生量最大约为</w:t>
      </w:r>
      <w:r>
        <w:rPr>
          <w:rFonts w:hint="eastAsia" w:ascii="TimesNewRomanPSMT" w:hAnsi="TimesNewRomanPSMT" w:cs="TimesNewRomanPSMT"/>
          <w:kern w:val="0"/>
          <w:sz w:val="24"/>
        </w:rPr>
        <w:t>520</w:t>
      </w:r>
      <w:r>
        <w:rPr>
          <w:rFonts w:ascii="TimesNewRomanPSMT" w:hAnsi="TimesNewRomanPSMT" w:cs="TimesNewRomanPSMT"/>
          <w:kern w:val="0"/>
          <w:sz w:val="24"/>
        </w:rPr>
        <w:t>0m</w:t>
      </w:r>
      <w:r>
        <w:rPr>
          <w:rFonts w:ascii="TimesNewRomanPSMT" w:hAnsi="TimesNewRomanPSMT" w:cs="TimesNewRomanPSMT"/>
          <w:kern w:val="0"/>
          <w:sz w:val="24"/>
          <w:vertAlign w:val="superscript"/>
        </w:rPr>
        <w:t>3</w:t>
      </w:r>
      <w:r>
        <w:rPr>
          <w:rFonts w:ascii="宋体" w:cs="宋体" w:hAnsiTheme="minorHAnsi"/>
          <w:kern w:val="0"/>
          <w:sz w:val="24"/>
        </w:rPr>
        <w:t>/</w:t>
      </w:r>
      <w:r>
        <w:rPr>
          <w:rFonts w:hint="eastAsia" w:ascii="宋体" w:cs="宋体" w:hAnsiTheme="minorHAnsi"/>
          <w:kern w:val="0"/>
          <w:sz w:val="24"/>
        </w:rPr>
        <w:t>次，这些污水收集后送入本工程进入沉淀池沉淀，沉淀后的废水用于堆场洒水，不会对长江水环境造成影响。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⑷含油污水</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含油污水主要来自于机修、流动机械冲洗及集装箱冲洗水；全年冲洗水产生量约为</w:t>
      </w:r>
      <w:r>
        <w:rPr>
          <w:rFonts w:hint="eastAsia" w:ascii="TimesNewRomanPSMT" w:hAnsi="TimesNewRomanPSMT" w:cs="TimesNewRomanPSMT"/>
          <w:kern w:val="0"/>
          <w:sz w:val="24"/>
        </w:rPr>
        <w:t>1320</w:t>
      </w:r>
      <w:r>
        <w:rPr>
          <w:rFonts w:ascii="TimesNewRomanPSMT" w:hAnsi="TimesNewRomanPSMT" w:cs="TimesNewRomanPSMT"/>
          <w:kern w:val="0"/>
          <w:sz w:val="24"/>
        </w:rPr>
        <w:t>0m3</w:t>
      </w:r>
      <w:r>
        <w:rPr>
          <w:rFonts w:hint="eastAsia" w:ascii="宋体" w:cs="宋体" w:hAnsiTheme="minorHAnsi"/>
          <w:kern w:val="0"/>
          <w:sz w:val="24"/>
        </w:rPr>
        <w:t>，含油浓度为</w:t>
      </w:r>
      <w:r>
        <w:rPr>
          <w:rFonts w:ascii="TimesNewRomanPSMT" w:hAnsi="TimesNewRomanPSMT" w:cs="TimesNewRomanPSMT"/>
          <w:kern w:val="0"/>
          <w:sz w:val="24"/>
        </w:rPr>
        <w:t>50mg/L</w:t>
      </w:r>
      <w:r>
        <w:rPr>
          <w:rFonts w:hint="eastAsia" w:ascii="宋体" w:cs="宋体" w:hAnsiTheme="minorHAnsi"/>
          <w:kern w:val="0"/>
          <w:sz w:val="24"/>
        </w:rPr>
        <w:t>；机修污水按设备返修率</w:t>
      </w:r>
      <w:r>
        <w:rPr>
          <w:rFonts w:ascii="TimesNewRomanPSMT" w:hAnsi="TimesNewRomanPSMT" w:cs="TimesNewRomanPSMT"/>
          <w:kern w:val="0"/>
          <w:sz w:val="24"/>
        </w:rPr>
        <w:t>5</w:t>
      </w:r>
      <w:r>
        <w:rPr>
          <w:rFonts w:hint="eastAsia" w:ascii="宋体" w:cs="宋体" w:hAnsiTheme="minorHAnsi"/>
          <w:kern w:val="0"/>
          <w:sz w:val="24"/>
        </w:rPr>
        <w:t>％计算，全年发生量约</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TimesNewRomanPSMT" w:hAnsi="TimesNewRomanPSMT" w:cs="TimesNewRomanPSMT"/>
          <w:kern w:val="0"/>
          <w:sz w:val="24"/>
        </w:rPr>
        <w:t>924</w:t>
      </w:r>
      <w:r>
        <w:rPr>
          <w:rFonts w:ascii="TimesNewRomanPSMT" w:hAnsi="TimesNewRomanPSMT" w:cs="TimesNewRomanPSMT"/>
          <w:kern w:val="0"/>
          <w:sz w:val="24"/>
        </w:rPr>
        <w:t>m3</w:t>
      </w:r>
      <w:r>
        <w:rPr>
          <w:rFonts w:hint="eastAsia" w:ascii="宋体" w:cs="宋体" w:hAnsiTheme="minorHAnsi"/>
          <w:kern w:val="0"/>
          <w:sz w:val="24"/>
        </w:rPr>
        <w:t>，含油浓度约</w:t>
      </w:r>
      <w:r>
        <w:rPr>
          <w:rFonts w:ascii="TimesNewRomanPSMT" w:hAnsi="TimesNewRomanPSMT" w:cs="TimesNewRomanPSMT"/>
          <w:kern w:val="0"/>
          <w:sz w:val="24"/>
        </w:rPr>
        <w:t>2000mg/L</w:t>
      </w:r>
      <w:r>
        <w:rPr>
          <w:rFonts w:hint="eastAsia" w:ascii="宋体" w:cs="宋体" w:hAnsiTheme="minorHAnsi"/>
          <w:kern w:val="0"/>
          <w:sz w:val="24"/>
        </w:rPr>
        <w:t>；集装箱冲洗水全年产生量约为</w:t>
      </w:r>
      <w:r>
        <w:rPr>
          <w:rFonts w:hint="eastAsia" w:ascii="TimesNewRomanPSMT" w:hAnsi="TimesNewRomanPSMT" w:cs="TimesNewRomanPSMT"/>
          <w:kern w:val="0"/>
          <w:sz w:val="24"/>
        </w:rPr>
        <w:t>33</w:t>
      </w:r>
      <w:r>
        <w:rPr>
          <w:rFonts w:ascii="TimesNewRomanPSMT" w:hAnsi="TimesNewRomanPSMT" w:cs="TimesNewRomanPSMT"/>
          <w:kern w:val="0"/>
          <w:sz w:val="24"/>
        </w:rPr>
        <w:t>m3</w:t>
      </w:r>
      <w:r>
        <w:rPr>
          <w:rFonts w:hint="eastAsia" w:ascii="宋体" w:cs="宋体" w:hAnsiTheme="minorHAnsi"/>
          <w:kern w:val="0"/>
          <w:sz w:val="24"/>
        </w:rPr>
        <w:t>，含油浓度约</w:t>
      </w:r>
      <w:r>
        <w:rPr>
          <w:rFonts w:ascii="TimesNewRomanPSMT" w:hAnsi="TimesNewRomanPSMT" w:cs="TimesNewRomanPSMT"/>
          <w:kern w:val="0"/>
          <w:sz w:val="24"/>
        </w:rPr>
        <w:t>30mg/L</w:t>
      </w:r>
      <w:r>
        <w:rPr>
          <w:rFonts w:hint="eastAsia" w:ascii="宋体" w:cs="宋体" w:hAnsiTheme="minorHAnsi"/>
          <w:kern w:val="0"/>
          <w:sz w:val="24"/>
        </w:rPr>
        <w:t>。</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建设单位对含油污水设置前处理系统，含油污水经沉淀隔油达到《污水综合排放标准》3级标准后排入园区污水管网。</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（5）生活污水</w:t>
      </w:r>
    </w:p>
    <w:p>
      <w:pPr>
        <w:autoSpaceDE w:val="0"/>
        <w:autoSpaceDN w:val="0"/>
        <w:adjustRightInd w:val="0"/>
        <w:spacing w:line="360" w:lineRule="auto"/>
        <w:ind w:firstLine="480" w:firstLineChars="200"/>
        <w:jc w:val="left"/>
        <w:rPr>
          <w:kern w:val="0"/>
          <w:sz w:val="24"/>
        </w:rPr>
      </w:pPr>
      <w:r>
        <w:rPr>
          <w:rFonts w:hint="eastAsia" w:ascii="宋体" w:cs="宋体" w:hAnsiTheme="minorHAnsi"/>
          <w:kern w:val="0"/>
          <w:sz w:val="24"/>
        </w:rPr>
        <w:t>三峡物流中心每天生活用水量为156.3</w:t>
      </w:r>
      <w:r>
        <w:rPr>
          <w:rFonts w:ascii="TimesNewRomanPSMT" w:hAnsi="TimesNewRomanPSMT" w:cs="TimesNewRomanPSMT"/>
          <w:kern w:val="0"/>
          <w:sz w:val="24"/>
        </w:rPr>
        <w:t xml:space="preserve"> m</w:t>
      </w:r>
      <w:r>
        <w:rPr>
          <w:rFonts w:ascii="TimesNewRomanPSMT" w:hAnsi="TimesNewRomanPSMT" w:cs="TimesNewRomanPSMT"/>
          <w:kern w:val="0"/>
          <w:sz w:val="24"/>
          <w:vertAlign w:val="superscript"/>
        </w:rPr>
        <w:t>3</w:t>
      </w:r>
      <w:r>
        <w:rPr>
          <w:rFonts w:hint="eastAsia" w:ascii="宋体" w:cs="宋体" w:hAnsiTheme="minorHAnsi"/>
          <w:kern w:val="0"/>
          <w:sz w:val="24"/>
        </w:rPr>
        <w:t>，全年按照</w:t>
      </w:r>
      <w:r>
        <w:rPr>
          <w:rFonts w:ascii="TimesNewRomanPSMT" w:hAnsi="TimesNewRomanPSMT" w:cs="TimesNewRomanPSMT"/>
          <w:kern w:val="0"/>
          <w:sz w:val="24"/>
        </w:rPr>
        <w:t xml:space="preserve">330 </w:t>
      </w:r>
      <w:r>
        <w:rPr>
          <w:rFonts w:hint="eastAsia" w:ascii="宋体" w:cs="宋体" w:hAnsiTheme="minorHAnsi"/>
          <w:kern w:val="0"/>
          <w:sz w:val="24"/>
        </w:rPr>
        <w:t>天计算，排水系数为0.9，年排水量</w:t>
      </w:r>
      <w:r>
        <w:rPr>
          <w:rFonts w:hint="eastAsia" w:ascii="TimesNewRomanPSMT" w:hAnsi="TimesNewRomanPSMT" w:cs="TimesNewRomanPSMT"/>
          <w:kern w:val="0"/>
          <w:sz w:val="24"/>
        </w:rPr>
        <w:t>46421.1</w:t>
      </w:r>
      <w:r>
        <w:rPr>
          <w:rFonts w:ascii="TimesNewRomanPSMT" w:hAnsi="TimesNewRomanPSMT" w:cs="TimesNewRomanPSMT"/>
          <w:kern w:val="0"/>
          <w:sz w:val="24"/>
        </w:rPr>
        <w:t>m</w:t>
      </w:r>
      <w:r>
        <w:rPr>
          <w:rFonts w:ascii="TimesNewRomanPSMT" w:hAnsi="TimesNewRomanPSMT" w:cs="TimesNewRomanPSMT"/>
          <w:kern w:val="0"/>
          <w:sz w:val="24"/>
          <w:vertAlign w:val="superscript"/>
        </w:rPr>
        <w:t>3</w:t>
      </w:r>
      <w:r>
        <w:rPr>
          <w:rFonts w:hint="eastAsia" w:ascii="宋体" w:cs="宋体" w:hAnsiTheme="minorHAnsi"/>
          <w:kern w:val="0"/>
          <w:sz w:val="24"/>
        </w:rPr>
        <w:t>。这些污水经过化粪池处理达到《污水综合排放标准》3级标准后后进入园区的城市污水管网。</w:t>
      </w:r>
    </w:p>
    <w:p>
      <w:pPr>
        <w:autoSpaceDE w:val="0"/>
        <w:autoSpaceDN w:val="0"/>
        <w:adjustRightInd w:val="0"/>
        <w:spacing w:line="360" w:lineRule="auto"/>
        <w:ind w:firstLine="480" w:firstLineChars="200"/>
        <w:rPr>
          <w:kern w:val="0"/>
          <w:sz w:val="24"/>
        </w:rPr>
      </w:pPr>
      <w:r>
        <w:rPr>
          <w:kern w:val="0"/>
          <w:sz w:val="24"/>
        </w:rPr>
        <w:t>因此，本项目</w:t>
      </w:r>
      <w:r>
        <w:rPr>
          <w:rFonts w:hint="eastAsia"/>
          <w:kern w:val="0"/>
          <w:sz w:val="24"/>
        </w:rPr>
        <w:t>营运期污废水能够得到有效处理，</w:t>
      </w:r>
      <w:r>
        <w:rPr>
          <w:kern w:val="0"/>
          <w:sz w:val="24"/>
        </w:rPr>
        <w:t>不会对水环境产生明显影响。</w:t>
      </w:r>
    </w:p>
    <w:p>
      <w:pPr>
        <w:pStyle w:val="5"/>
        <w:tabs>
          <w:tab w:val="left" w:pos="567"/>
        </w:tabs>
        <w:spacing w:before="48" w:beforeLines="20" w:after="48" w:line="360" w:lineRule="auto"/>
        <w:ind w:left="0" w:firstLine="0"/>
        <w:rPr>
          <w:rFonts w:ascii="宋体" w:hAnsi="宋体" w:eastAsia="宋体"/>
          <w:b/>
          <w:sz w:val="28"/>
          <w:szCs w:val="28"/>
        </w:rPr>
      </w:pPr>
      <w:bookmarkStart w:id="170" w:name="_Toc442195724"/>
      <w:r>
        <w:rPr>
          <w:rFonts w:hint="eastAsia" w:ascii="宋体" w:hAnsi="宋体" w:eastAsia="宋体"/>
          <w:b/>
          <w:sz w:val="28"/>
          <w:szCs w:val="28"/>
        </w:rPr>
        <w:t>生态环境影响评价</w:t>
      </w:r>
      <w:bookmarkEnd w:id="170"/>
    </w:p>
    <w:p>
      <w:pPr>
        <w:pStyle w:val="6"/>
        <w:tabs>
          <w:tab w:val="left" w:pos="1006"/>
        </w:tabs>
        <w:spacing w:beforeLines="0" w:afterLines="0"/>
        <w:ind w:left="0" w:firstLine="0"/>
      </w:pPr>
      <w:r>
        <w:rPr>
          <w:rFonts w:hint="eastAsia"/>
        </w:rPr>
        <w:t>陆生生态影响分析</w:t>
      </w:r>
    </w:p>
    <w:p>
      <w:pPr>
        <w:autoSpaceDE w:val="0"/>
        <w:autoSpaceDN w:val="0"/>
        <w:adjustRightInd w:val="0"/>
        <w:spacing w:line="360" w:lineRule="auto"/>
        <w:ind w:firstLine="480" w:firstLineChars="200"/>
        <w:jc w:val="left"/>
        <w:rPr>
          <w:kern w:val="0"/>
          <w:sz w:val="24"/>
        </w:rPr>
      </w:pPr>
      <w:r>
        <w:rPr>
          <w:rFonts w:hint="eastAsia"/>
          <w:kern w:val="0"/>
          <w:sz w:val="24"/>
        </w:rPr>
        <w:t>（1）对陆生植物的影响评价</w:t>
      </w:r>
    </w:p>
    <w:p>
      <w:pPr>
        <w:autoSpaceDE w:val="0"/>
        <w:autoSpaceDN w:val="0"/>
        <w:adjustRightInd w:val="0"/>
        <w:spacing w:line="360" w:lineRule="auto"/>
        <w:ind w:firstLine="480" w:firstLineChars="200"/>
        <w:jc w:val="left"/>
        <w:rPr>
          <w:kern w:val="0"/>
          <w:sz w:val="24"/>
        </w:rPr>
      </w:pPr>
      <w:r>
        <w:rPr>
          <w:rFonts w:hint="eastAsia"/>
          <w:kern w:val="0"/>
          <w:sz w:val="24"/>
        </w:rPr>
        <w:t>项目建设</w:t>
      </w:r>
      <w:r>
        <w:rPr>
          <w:kern w:val="0"/>
          <w:sz w:val="24"/>
        </w:rPr>
        <w:t>完成后，</w:t>
      </w:r>
      <w:r>
        <w:rPr>
          <w:rFonts w:hint="eastAsia"/>
          <w:kern w:val="0"/>
          <w:sz w:val="24"/>
        </w:rPr>
        <w:t>永久占地</w:t>
      </w:r>
      <w:r>
        <w:rPr>
          <w:kern w:val="0"/>
          <w:sz w:val="24"/>
        </w:rPr>
        <w:t>内的农田植被</w:t>
      </w:r>
      <w:r>
        <w:rPr>
          <w:rFonts w:hint="eastAsia"/>
          <w:kern w:val="0"/>
          <w:sz w:val="24"/>
        </w:rPr>
        <w:t>及灌草丛</w:t>
      </w:r>
      <w:r>
        <w:rPr>
          <w:kern w:val="0"/>
          <w:sz w:val="24"/>
        </w:rPr>
        <w:t>将完全被破坏，取而代之的是</w:t>
      </w:r>
      <w:r>
        <w:rPr>
          <w:rFonts w:hint="eastAsia"/>
          <w:kern w:val="0"/>
          <w:sz w:val="24"/>
        </w:rPr>
        <w:t>建筑物、</w:t>
      </w:r>
      <w:r>
        <w:rPr>
          <w:kern w:val="0"/>
          <w:sz w:val="24"/>
        </w:rPr>
        <w:t>路面及其辅助设施，形成建筑用地类型。</w:t>
      </w:r>
      <w:r>
        <w:rPr>
          <w:rFonts w:hint="eastAsia"/>
          <w:kern w:val="0"/>
          <w:sz w:val="24"/>
        </w:rPr>
        <w:t>但由于项目建设占地相对于宜昌市国土面积比例依然较小，整个区域内</w:t>
      </w:r>
      <w:r>
        <w:rPr>
          <w:kern w:val="0"/>
          <w:sz w:val="24"/>
        </w:rPr>
        <w:t>群落物种组成和结构产生的变化</w:t>
      </w:r>
      <w:r>
        <w:rPr>
          <w:rFonts w:hint="eastAsia"/>
          <w:kern w:val="0"/>
          <w:sz w:val="24"/>
        </w:rPr>
        <w:t>很小</w:t>
      </w:r>
      <w:r>
        <w:rPr>
          <w:kern w:val="0"/>
          <w:sz w:val="24"/>
        </w:rPr>
        <w:t>，</w:t>
      </w:r>
      <w:r>
        <w:rPr>
          <w:rFonts w:hint="eastAsia"/>
          <w:kern w:val="0"/>
          <w:sz w:val="24"/>
        </w:rPr>
        <w:t>同时工程也将补充一些植物，因此可以认为虽然项目实施对局部区域的生态系统产生影响，但对更大范围内区域生态系统和生态植被影响很小。</w:t>
      </w:r>
    </w:p>
    <w:p>
      <w:pPr>
        <w:autoSpaceDE w:val="0"/>
        <w:autoSpaceDN w:val="0"/>
        <w:adjustRightInd w:val="0"/>
        <w:spacing w:line="360" w:lineRule="auto"/>
        <w:ind w:firstLine="480" w:firstLineChars="200"/>
        <w:jc w:val="left"/>
        <w:rPr>
          <w:kern w:val="0"/>
          <w:sz w:val="24"/>
        </w:rPr>
      </w:pPr>
      <w:r>
        <w:rPr>
          <w:rFonts w:hint="eastAsia"/>
          <w:kern w:val="0"/>
          <w:sz w:val="24"/>
        </w:rPr>
        <w:t>（2）对陆生动物的影响评价</w:t>
      </w:r>
    </w:p>
    <w:p>
      <w:pPr>
        <w:autoSpaceDE w:val="0"/>
        <w:autoSpaceDN w:val="0"/>
        <w:adjustRightInd w:val="0"/>
        <w:spacing w:line="360" w:lineRule="auto"/>
        <w:ind w:firstLine="480" w:firstLineChars="200"/>
        <w:rPr>
          <w:kern w:val="0"/>
          <w:sz w:val="24"/>
        </w:rPr>
      </w:pPr>
      <w:r>
        <w:rPr>
          <w:rFonts w:hint="eastAsia"/>
          <w:kern w:val="0"/>
          <w:sz w:val="24"/>
        </w:rPr>
        <w:t>项目建设完成进入营运期后，动物部分原来的生活环境完全改变，导致</w:t>
      </w:r>
      <w:r>
        <w:rPr>
          <w:kern w:val="0"/>
          <w:sz w:val="24"/>
        </w:rPr>
        <w:t>动物</w:t>
      </w:r>
      <w:r>
        <w:rPr>
          <w:rFonts w:hint="eastAsia"/>
          <w:kern w:val="0"/>
          <w:sz w:val="24"/>
        </w:rPr>
        <w:t>生存</w:t>
      </w:r>
      <w:r>
        <w:rPr>
          <w:kern w:val="0"/>
          <w:sz w:val="24"/>
        </w:rPr>
        <w:t>生境的丧失</w:t>
      </w:r>
      <w:r>
        <w:rPr>
          <w:rFonts w:hint="eastAsia"/>
          <w:kern w:val="0"/>
          <w:sz w:val="24"/>
        </w:rPr>
        <w:t>，加上运营期如噪声污染、汽车尾气、堆场扬尘排放等干扰因子，这些污染对动物生存环境也会产生一定的影响，原区域内的动物种群和数量将发生巨大变化，大部分动物将离开原来的栖息地，寻找新的活动和栖息场所。</w:t>
      </w:r>
    </w:p>
    <w:p>
      <w:pPr>
        <w:autoSpaceDE w:val="0"/>
        <w:autoSpaceDN w:val="0"/>
        <w:adjustRightInd w:val="0"/>
        <w:spacing w:line="360" w:lineRule="auto"/>
        <w:ind w:firstLine="480" w:firstLineChars="200"/>
        <w:rPr>
          <w:kern w:val="0"/>
          <w:sz w:val="24"/>
        </w:rPr>
      </w:pPr>
      <w:r>
        <w:rPr>
          <w:kern w:val="0"/>
          <w:sz w:val="24"/>
        </w:rPr>
        <w:t>评价区域内陆生动物对于生长环境要求较宽，对人为影响适应性较强</w:t>
      </w:r>
      <w:r>
        <w:rPr>
          <w:rFonts w:hint="eastAsia"/>
          <w:kern w:val="0"/>
          <w:sz w:val="24"/>
        </w:rPr>
        <w:t>，</w:t>
      </w:r>
      <w:r>
        <w:rPr>
          <w:kern w:val="0"/>
          <w:sz w:val="24"/>
        </w:rPr>
        <w:t>工程建设不会</w:t>
      </w:r>
      <w:r>
        <w:rPr>
          <w:rFonts w:hint="eastAsia"/>
          <w:kern w:val="0"/>
          <w:sz w:val="24"/>
        </w:rPr>
        <w:t>造原工程区域内</w:t>
      </w:r>
      <w:r>
        <w:rPr>
          <w:kern w:val="0"/>
          <w:sz w:val="24"/>
        </w:rPr>
        <w:t>动物的</w:t>
      </w:r>
      <w:r>
        <w:rPr>
          <w:rFonts w:hint="eastAsia"/>
          <w:kern w:val="0"/>
          <w:sz w:val="24"/>
        </w:rPr>
        <w:t>灭绝</w:t>
      </w:r>
      <w:r>
        <w:rPr>
          <w:kern w:val="0"/>
          <w:sz w:val="24"/>
        </w:rPr>
        <w:t>，也不会对其生活习性造成改变</w:t>
      </w:r>
      <w:r>
        <w:rPr>
          <w:rFonts w:hint="eastAsia"/>
          <w:kern w:val="0"/>
          <w:sz w:val="24"/>
        </w:rPr>
        <w:t>，但造成大部分动物迁移</w:t>
      </w:r>
      <w:r>
        <w:rPr>
          <w:kern w:val="0"/>
          <w:sz w:val="24"/>
        </w:rPr>
        <w:t>。</w:t>
      </w:r>
    </w:p>
    <w:p>
      <w:pPr>
        <w:pStyle w:val="6"/>
        <w:tabs>
          <w:tab w:val="left" w:pos="1006"/>
        </w:tabs>
        <w:spacing w:beforeLines="0" w:afterLines="0"/>
        <w:ind w:left="0" w:firstLine="0"/>
      </w:pPr>
      <w:r>
        <w:rPr>
          <w:rFonts w:hint="eastAsia"/>
        </w:rPr>
        <w:t>水域生态影响分析</w:t>
      </w:r>
    </w:p>
    <w:p>
      <w:pPr>
        <w:autoSpaceDE w:val="0"/>
        <w:autoSpaceDN w:val="0"/>
        <w:adjustRightInd w:val="0"/>
        <w:spacing w:line="360" w:lineRule="auto"/>
        <w:ind w:firstLine="480" w:firstLineChars="200"/>
        <w:rPr>
          <w:rFonts w:ascii="宋体" w:cs="宋体"/>
          <w:sz w:val="24"/>
        </w:rPr>
      </w:pPr>
      <w:r>
        <w:rPr>
          <w:rFonts w:hint="eastAsia" w:ascii="宋体" w:cs="宋体"/>
          <w:sz w:val="24"/>
        </w:rPr>
        <w:t>营运期对水生生态环境的影响主要包括：对水生动物及其洄游通道的影响、港口陆域人员生活污水、流动机械冲洗水、机修间冲洗水，以及到港船舶污水对工程江段水质及水生生态环境的影响等。</w:t>
      </w:r>
    </w:p>
    <w:p>
      <w:pPr>
        <w:autoSpaceDE w:val="0"/>
        <w:autoSpaceDN w:val="0"/>
        <w:adjustRightInd w:val="0"/>
        <w:spacing w:line="360" w:lineRule="auto"/>
        <w:ind w:left="480" w:firstLine="200"/>
        <w:rPr>
          <w:rFonts w:ascii="宋体" w:cs="宋体"/>
          <w:sz w:val="24"/>
        </w:rPr>
      </w:pPr>
      <w:r>
        <w:rPr>
          <w:rFonts w:hint="eastAsia" w:ascii="宋体" w:cs="宋体"/>
          <w:sz w:val="24"/>
        </w:rPr>
        <w:t>（1）对水生生物的影响</w:t>
      </w:r>
    </w:p>
    <w:p>
      <w:pPr>
        <w:autoSpaceDE w:val="0"/>
        <w:autoSpaceDN w:val="0"/>
        <w:adjustRightInd w:val="0"/>
        <w:spacing w:line="360" w:lineRule="auto"/>
        <w:ind w:firstLine="480" w:firstLineChars="200"/>
        <w:rPr>
          <w:rFonts w:ascii="宋体" w:cs="宋体"/>
          <w:sz w:val="24"/>
        </w:rPr>
      </w:pPr>
      <w:r>
        <w:rPr>
          <w:rFonts w:hint="eastAsia" w:ascii="宋体" w:cs="宋体"/>
          <w:sz w:val="24"/>
        </w:rPr>
        <w:t>由于生产废水和生活污水经处理设施处理后进入园区污水处理厂，到港船舶生活污水和舱底油污水由海事部门认定的船舶污染物接收船有偿接收处理，禁止在码头区域排放，因此项目产生的废水都得到有效处理，基本不会对项目区域段长江水质产生不良影响，进而也不会对该段长江水生生态环境及水生生物产生明显危害。</w:t>
      </w:r>
    </w:p>
    <w:p>
      <w:pPr>
        <w:autoSpaceDE w:val="0"/>
        <w:autoSpaceDN w:val="0"/>
        <w:adjustRightInd w:val="0"/>
        <w:spacing w:line="360" w:lineRule="auto"/>
        <w:ind w:firstLine="480" w:firstLineChars="200"/>
        <w:rPr>
          <w:rFonts w:ascii="宋体" w:cs="宋体"/>
          <w:sz w:val="24"/>
        </w:rPr>
      </w:pPr>
      <w:r>
        <w:rPr>
          <w:rFonts w:hint="eastAsia" w:ascii="宋体" w:cs="宋体"/>
          <w:sz w:val="24"/>
        </w:rPr>
        <w:t>(2)鱼类的影响</w:t>
      </w:r>
    </w:p>
    <w:p>
      <w:pPr>
        <w:autoSpaceDE w:val="0"/>
        <w:autoSpaceDN w:val="0"/>
        <w:adjustRightInd w:val="0"/>
        <w:spacing w:line="360" w:lineRule="auto"/>
        <w:ind w:firstLine="480" w:firstLineChars="200"/>
        <w:rPr>
          <w:rFonts w:ascii="宋体" w:cs="宋体"/>
          <w:sz w:val="24"/>
        </w:rPr>
      </w:pPr>
      <w:r>
        <w:rPr>
          <w:rFonts w:hint="eastAsia" w:ascii="宋体" w:cs="宋体"/>
          <w:sz w:val="24"/>
        </w:rPr>
        <w:t>项目实施对鱼类的影响主要是两个方面，首先是水体质量，其次是活动空间。</w:t>
      </w:r>
    </w:p>
    <w:p>
      <w:pPr>
        <w:autoSpaceDE w:val="0"/>
        <w:autoSpaceDN w:val="0"/>
        <w:adjustRightInd w:val="0"/>
        <w:spacing w:line="360" w:lineRule="auto"/>
        <w:ind w:firstLine="480" w:firstLineChars="200"/>
        <w:rPr>
          <w:rFonts w:ascii="宋体" w:cs="宋体"/>
          <w:sz w:val="24"/>
        </w:rPr>
      </w:pPr>
      <w:r>
        <w:rPr>
          <w:rFonts w:hint="eastAsia" w:ascii="宋体" w:cs="宋体"/>
          <w:sz w:val="24"/>
        </w:rPr>
        <w:t>首先由于项目江段水质不发生变化，确保了鱼类获取食物的途径基本没有发生改变。</w:t>
      </w:r>
    </w:p>
    <w:p>
      <w:pPr>
        <w:autoSpaceDE w:val="0"/>
        <w:autoSpaceDN w:val="0"/>
        <w:adjustRightInd w:val="0"/>
        <w:spacing w:line="360" w:lineRule="auto"/>
        <w:ind w:firstLine="480" w:firstLineChars="200"/>
        <w:rPr>
          <w:rFonts w:ascii="宋体" w:cs="宋体"/>
          <w:sz w:val="24"/>
        </w:rPr>
      </w:pPr>
      <w:r>
        <w:rPr>
          <w:rFonts w:hint="eastAsia" w:ascii="宋体" w:cs="宋体"/>
          <w:sz w:val="24"/>
        </w:rPr>
        <w:t>其次，由于部分码头采用高桩梁板结构，工程建成后鱼类仍可在引桥及码头平台下面游动，码头工程阻水面积占长江过水面积的小于5</w:t>
      </w:r>
      <w:r>
        <w:rPr>
          <w:rFonts w:ascii="宋体" w:cs="宋体"/>
          <w:sz w:val="24"/>
        </w:rPr>
        <w:t>%</w:t>
      </w:r>
      <w:r>
        <w:rPr>
          <w:rFonts w:hint="eastAsia" w:ascii="宋体" w:cs="宋体"/>
          <w:sz w:val="24"/>
        </w:rPr>
        <w:t>，因而由于过水断面的相对减少对鱼类的影响较小。</w:t>
      </w:r>
    </w:p>
    <w:p>
      <w:pPr>
        <w:autoSpaceDE w:val="0"/>
        <w:autoSpaceDN w:val="0"/>
        <w:adjustRightInd w:val="0"/>
        <w:spacing w:line="360" w:lineRule="auto"/>
        <w:ind w:firstLine="480" w:firstLineChars="200"/>
        <w:rPr>
          <w:rFonts w:ascii="宋体" w:cs="宋体"/>
          <w:sz w:val="24"/>
        </w:rPr>
      </w:pPr>
      <w:r>
        <w:rPr>
          <w:rFonts w:hint="eastAsia" w:ascii="宋体" w:cs="宋体"/>
          <w:sz w:val="24"/>
        </w:rPr>
        <w:t>再次，考虑到码头工程建成运行后，船只数量明显增加、密度增大。船只对本江段的经济鱼类会产生一定的影响，其主要是影响鱼类的分布。船只的噪音及螺旋桨都会导致鱼类分布的变化。船只运行的噪音和波浪造成鱼类的主动回避，主航道的鱼类将离开栖息地；船只螺旋桨可能造成躲避不及时的鱼类的死亡和伤害，误伤一定数量的鱼类，但这种影响和误伤的比例相对较小。同时，有些鱼类经过一段时间的适应后，基本能够习惯这一改变。</w:t>
      </w:r>
    </w:p>
    <w:p>
      <w:pPr>
        <w:autoSpaceDE w:val="0"/>
        <w:autoSpaceDN w:val="0"/>
        <w:adjustRightInd w:val="0"/>
        <w:spacing w:line="360" w:lineRule="auto"/>
        <w:ind w:firstLine="480" w:firstLineChars="200"/>
        <w:rPr>
          <w:rFonts w:ascii="宋体" w:cs="宋体"/>
          <w:sz w:val="24"/>
        </w:rPr>
      </w:pPr>
      <w:r>
        <w:rPr>
          <w:rFonts w:hint="eastAsia" w:ascii="宋体" w:cs="宋体"/>
          <w:sz w:val="24"/>
        </w:rPr>
        <w:t>因此，可以认为项目的实施对鱼类的影响在可接受范围内。</w:t>
      </w:r>
    </w:p>
    <w:p>
      <w:pPr>
        <w:pStyle w:val="5"/>
        <w:tabs>
          <w:tab w:val="left" w:pos="567"/>
        </w:tabs>
        <w:spacing w:before="48" w:beforeLines="20" w:after="48" w:line="360" w:lineRule="auto"/>
        <w:ind w:left="0" w:firstLine="0"/>
        <w:rPr>
          <w:rFonts w:ascii="宋体" w:hAnsi="宋体" w:eastAsia="宋体"/>
          <w:b/>
          <w:sz w:val="28"/>
          <w:szCs w:val="28"/>
        </w:rPr>
      </w:pPr>
      <w:bookmarkStart w:id="171" w:name="_Toc442195725"/>
      <w:r>
        <w:rPr>
          <w:rFonts w:hint="eastAsia" w:ascii="宋体" w:hAnsi="宋体" w:eastAsia="宋体"/>
          <w:b/>
          <w:sz w:val="28"/>
          <w:szCs w:val="28"/>
        </w:rPr>
        <w:t>对中华鲟保护区的影响</w:t>
      </w:r>
      <w:bookmarkEnd w:id="171"/>
    </w:p>
    <w:p>
      <w:pPr>
        <w:autoSpaceDE w:val="0"/>
        <w:autoSpaceDN w:val="0"/>
        <w:adjustRightInd w:val="0"/>
        <w:spacing w:line="360" w:lineRule="auto"/>
        <w:ind w:firstLine="480" w:firstLineChars="200"/>
        <w:jc w:val="left"/>
        <w:rPr>
          <w:rFonts w:ascii="宋体" w:cs="宋体"/>
          <w:kern w:val="0"/>
          <w:sz w:val="24"/>
        </w:rPr>
      </w:pPr>
      <w:r>
        <w:rPr>
          <w:rFonts w:hint="eastAsia" w:ascii="宋体" w:cs="宋体"/>
          <w:color w:val="0070C0"/>
          <w:kern w:val="0"/>
          <w:sz w:val="24"/>
        </w:rPr>
        <w:t>由于三峡物流中心中拟建码头位于</w:t>
      </w:r>
      <w:r>
        <w:rPr>
          <w:rFonts w:hint="eastAsia" w:ascii="宋体" w:cs="宋体" w:hAnsiTheme="minorHAnsi"/>
          <w:color w:val="0070C0"/>
          <w:kern w:val="0"/>
          <w:sz w:val="24"/>
        </w:rPr>
        <w:t>长江湖北宜昌中华鲟自然保护区试验区</w:t>
      </w:r>
      <w:r>
        <w:rPr>
          <w:rFonts w:hint="eastAsia" w:ascii="宋体" w:cs="宋体"/>
          <w:color w:val="0070C0"/>
          <w:kern w:val="0"/>
          <w:sz w:val="24"/>
        </w:rPr>
        <w:t>，</w:t>
      </w:r>
      <w:r>
        <w:rPr>
          <w:rFonts w:hint="eastAsia" w:ascii="宋体" w:cs="宋体"/>
          <w:color w:val="000000" w:themeColor="text1"/>
          <w:kern w:val="0"/>
          <w:sz w:val="24"/>
          <w14:textFill>
            <w14:solidFill>
              <w14:schemeClr w14:val="tx1"/>
            </w14:solidFill>
          </w14:textFill>
        </w:rPr>
        <w:t>对中华鲟的生境影响相对较小。</w:t>
      </w:r>
    </w:p>
    <w:p>
      <w:pPr>
        <w:pStyle w:val="6"/>
        <w:tabs>
          <w:tab w:val="left" w:pos="1006"/>
        </w:tabs>
        <w:spacing w:beforeLines="0" w:afterLines="0"/>
        <w:ind w:left="0" w:firstLine="0"/>
      </w:pPr>
      <w:r>
        <w:rPr>
          <w:rFonts w:hint="eastAsia"/>
        </w:rPr>
        <w:t>工程对保护区重要鱼类影响分析</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本节从重要鱼类的敏感问题角度，分析拟建工程对保护区的生态影响。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⑴对中华鲟产卵繁殖影响的分析</w:t>
      </w:r>
    </w:p>
    <w:p>
      <w:pPr>
        <w:autoSpaceDE w:val="0"/>
        <w:autoSpaceDN w:val="0"/>
        <w:adjustRightInd w:val="0"/>
        <w:spacing w:line="360" w:lineRule="auto"/>
        <w:ind w:firstLine="480" w:firstLineChars="200"/>
        <w:jc w:val="left"/>
        <w:rPr>
          <w:rFonts w:ascii="宋体" w:cs="宋体" w:hAnsiTheme="minorHAnsi"/>
          <w:kern w:val="0"/>
          <w:sz w:val="24"/>
        </w:rPr>
      </w:pPr>
      <w:r>
        <w:rPr>
          <w:rFonts w:ascii="TimesNewRomanPSMT" w:hAnsi="TimesNewRomanPSMT" w:cs="TimesNewRomanPSMT"/>
          <w:kern w:val="0"/>
          <w:sz w:val="24"/>
        </w:rPr>
        <w:t xml:space="preserve">1981 </w:t>
      </w:r>
      <w:r>
        <w:rPr>
          <w:rFonts w:hint="eastAsia" w:ascii="宋体" w:cs="宋体" w:hAnsiTheme="minorHAnsi"/>
          <w:kern w:val="0"/>
          <w:sz w:val="24"/>
        </w:rPr>
        <w:t>年葛洲坝截流后，被阻隔于葛洲坝下的中华鲟在坝下形成了新的产卵场，在坝下约</w:t>
      </w:r>
      <w:r>
        <w:rPr>
          <w:rFonts w:ascii="TimesNewRomanPSMT" w:hAnsi="TimesNewRomanPSMT" w:cs="TimesNewRomanPSMT"/>
          <w:kern w:val="0"/>
          <w:sz w:val="24"/>
        </w:rPr>
        <w:t xml:space="preserve">4km </w:t>
      </w:r>
      <w:r>
        <w:rPr>
          <w:rFonts w:hint="eastAsia" w:ascii="宋体" w:cs="宋体" w:hAnsiTheme="minorHAnsi"/>
          <w:kern w:val="0"/>
          <w:sz w:val="24"/>
        </w:rPr>
        <w:t>长江段内，截至</w:t>
      </w:r>
      <w:r>
        <w:rPr>
          <w:rFonts w:ascii="TimesNewRomanPSMT" w:hAnsi="TimesNewRomanPSMT" w:cs="TimesNewRomanPSMT"/>
          <w:kern w:val="0"/>
          <w:sz w:val="24"/>
        </w:rPr>
        <w:t xml:space="preserve">2008 </w:t>
      </w:r>
      <w:r>
        <w:rPr>
          <w:rFonts w:hint="eastAsia" w:ascii="宋体" w:cs="宋体" w:hAnsiTheme="minorHAnsi"/>
          <w:kern w:val="0"/>
          <w:sz w:val="24"/>
        </w:rPr>
        <w:t>年，每年均发现有中华鲟的产卵活动，此处为中华鲟的稳定产卵场。</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此外，</w:t>
      </w:r>
      <w:r>
        <w:rPr>
          <w:rFonts w:ascii="TimesNewRomanPSMT" w:hAnsi="TimesNewRomanPSMT" w:cs="TimesNewRomanPSMT"/>
          <w:kern w:val="0"/>
          <w:sz w:val="24"/>
        </w:rPr>
        <w:t xml:space="preserve">1986 </w:t>
      </w:r>
      <w:r>
        <w:rPr>
          <w:rFonts w:hint="eastAsia" w:ascii="宋体" w:cs="宋体" w:hAnsiTheme="minorHAnsi"/>
          <w:kern w:val="0"/>
          <w:sz w:val="24"/>
        </w:rPr>
        <w:t>年</w:t>
      </w:r>
      <w:r>
        <w:rPr>
          <w:rFonts w:ascii="TimesNewRomanPSMT" w:hAnsi="TimesNewRomanPSMT" w:cs="TimesNewRomanPSMT"/>
          <w:kern w:val="0"/>
          <w:sz w:val="24"/>
        </w:rPr>
        <w:t xml:space="preserve">10 </w:t>
      </w:r>
      <w:r>
        <w:rPr>
          <w:rFonts w:hint="eastAsia" w:ascii="宋体" w:cs="宋体" w:hAnsiTheme="minorHAnsi"/>
          <w:kern w:val="0"/>
          <w:sz w:val="24"/>
        </w:rPr>
        <w:t>月和</w:t>
      </w:r>
      <w:r>
        <w:rPr>
          <w:rFonts w:ascii="TimesNewRomanPSMT" w:hAnsi="TimesNewRomanPSMT" w:cs="TimesNewRomanPSMT"/>
          <w:kern w:val="0"/>
          <w:sz w:val="24"/>
        </w:rPr>
        <w:t xml:space="preserve">1987 </w:t>
      </w:r>
      <w:r>
        <w:rPr>
          <w:rFonts w:hint="eastAsia" w:ascii="宋体" w:cs="宋体" w:hAnsiTheme="minorHAnsi"/>
          <w:kern w:val="0"/>
          <w:sz w:val="24"/>
        </w:rPr>
        <w:t>年</w:t>
      </w:r>
      <w:r>
        <w:rPr>
          <w:rFonts w:ascii="TimesNewRomanPSMT" w:hAnsi="TimesNewRomanPSMT" w:cs="TimesNewRomanPSMT"/>
          <w:kern w:val="0"/>
          <w:sz w:val="24"/>
        </w:rPr>
        <w:t xml:space="preserve">11 </w:t>
      </w:r>
      <w:r>
        <w:rPr>
          <w:rFonts w:hint="eastAsia" w:ascii="宋体" w:cs="宋体" w:hAnsiTheme="minorHAnsi"/>
          <w:kern w:val="0"/>
          <w:sz w:val="24"/>
        </w:rPr>
        <w:t>月曾在距离大坝约</w:t>
      </w:r>
      <w:r>
        <w:rPr>
          <w:rFonts w:ascii="TimesNewRomanPSMT" w:hAnsi="TimesNewRomanPSMT" w:cs="TimesNewRomanPSMT"/>
          <w:kern w:val="0"/>
          <w:sz w:val="24"/>
        </w:rPr>
        <w:t xml:space="preserve">25 km </w:t>
      </w:r>
      <w:r>
        <w:rPr>
          <w:rFonts w:hint="eastAsia" w:ascii="宋体" w:cs="宋体" w:hAnsiTheme="minorHAnsi"/>
          <w:kern w:val="0"/>
          <w:sz w:val="24"/>
        </w:rPr>
        <w:t>的虎牙滩江段发现小规模的中华鲟产卵活动，此处为中华鲟的历史偶发产卵场。</w:t>
      </w:r>
      <w:r>
        <w:rPr>
          <w:rFonts w:ascii="TimesNewRomanPSMT" w:hAnsi="TimesNewRomanPSMT" w:cs="TimesNewRomanPSMT"/>
          <w:kern w:val="0"/>
          <w:sz w:val="24"/>
        </w:rPr>
        <w:t xml:space="preserve">2003 </w:t>
      </w:r>
      <w:r>
        <w:rPr>
          <w:rFonts w:hint="eastAsia" w:ascii="宋体" w:cs="宋体" w:hAnsiTheme="minorHAnsi"/>
          <w:kern w:val="0"/>
          <w:sz w:val="24"/>
        </w:rPr>
        <w:t>年开始蓄水的三峡工程运行多年后，由于清水下泻，导致葛洲坝下游砾石河床增加，现有中华鲟稳定产卵场有可能扩大和下移，使目前的“偶发产卵场”成为稳定产卵场。但截至</w:t>
      </w:r>
      <w:r>
        <w:rPr>
          <w:rFonts w:ascii="TimesNewRomanPSMT" w:hAnsi="TimesNewRomanPSMT" w:cs="TimesNewRomanPSMT"/>
          <w:kern w:val="0"/>
          <w:sz w:val="24"/>
        </w:rPr>
        <w:t xml:space="preserve">2008 </w:t>
      </w:r>
      <w:r>
        <w:rPr>
          <w:rFonts w:hint="eastAsia" w:ascii="宋体" w:cs="宋体" w:hAnsiTheme="minorHAnsi"/>
          <w:kern w:val="0"/>
          <w:sz w:val="24"/>
        </w:rPr>
        <w:t>年，尚未获得中华鲟在此江段产卵的证据。</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本工程对应江段位于上述中华鲟产卵场的下游，距中华鲟稳定产卵场约</w:t>
      </w:r>
      <w:r>
        <w:rPr>
          <w:rFonts w:ascii="TimesNewRomanPSMT" w:hAnsi="TimesNewRomanPSMT" w:cs="TimesNewRomanPSMT"/>
          <w:kern w:val="0"/>
          <w:sz w:val="24"/>
        </w:rPr>
        <w:t>47 km</w:t>
      </w:r>
      <w:r>
        <w:rPr>
          <w:rFonts w:hint="eastAsia" w:ascii="宋体" w:cs="宋体" w:hAnsiTheme="minorHAnsi"/>
          <w:kern w:val="0"/>
          <w:sz w:val="24"/>
        </w:rPr>
        <w:t>，距历史偶发产卵场约</w:t>
      </w:r>
      <w:r>
        <w:rPr>
          <w:rFonts w:ascii="TimesNewRomanPSMT" w:hAnsi="TimesNewRomanPSMT" w:cs="TimesNewRomanPSMT"/>
          <w:kern w:val="0"/>
          <w:sz w:val="24"/>
        </w:rPr>
        <w:t>20km</w:t>
      </w:r>
      <w:r>
        <w:rPr>
          <w:rFonts w:hint="eastAsia" w:ascii="宋体" w:cs="宋体" w:hAnsiTheme="minorHAnsi"/>
          <w:kern w:val="0"/>
          <w:sz w:val="24"/>
        </w:rPr>
        <w:t>，预测工程对中华鲟产卵繁殖活动没有影响。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⑵对中华鲟洄游影响的分析与预测</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本工程所在江段是中华鲟从长江中下游向葛洲坝下中华鲟稳定产卵场洄游的必经之路，也是鲟苗入海的必经之路。</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根据长江水产研究所近年超声波跟踪调查结果，在长江，中华鲟沿河槽栖息和迁移，这一结论也与</w:t>
      </w:r>
      <w:r>
        <w:rPr>
          <w:rFonts w:ascii="TimesNewRomanPSMT" w:hAnsi="TimesNewRomanPSMT" w:cs="TimesNewRomanPSMT"/>
          <w:kern w:val="0"/>
          <w:sz w:val="24"/>
        </w:rPr>
        <w:t xml:space="preserve">20 </w:t>
      </w:r>
      <w:r>
        <w:rPr>
          <w:rFonts w:hint="eastAsia" w:ascii="宋体" w:cs="宋体" w:hAnsiTheme="minorHAnsi"/>
          <w:kern w:val="0"/>
          <w:sz w:val="24"/>
        </w:rPr>
        <w:t>世纪</w:t>
      </w:r>
      <w:r>
        <w:rPr>
          <w:rFonts w:ascii="TimesNewRomanPSMT" w:hAnsi="TimesNewRomanPSMT" w:cs="TimesNewRomanPSMT"/>
          <w:kern w:val="0"/>
          <w:sz w:val="24"/>
        </w:rPr>
        <w:t xml:space="preserve">70 </w:t>
      </w:r>
      <w:r>
        <w:rPr>
          <w:rFonts w:hint="eastAsia" w:ascii="宋体" w:cs="宋体" w:hAnsiTheme="minorHAnsi"/>
          <w:kern w:val="0"/>
          <w:sz w:val="24"/>
        </w:rPr>
        <w:t>年代的资料记载相符。根据此江段的河槽走向以及成年中华鲟的习性，推测中华鲟亲鲟经过此江段时，靠左岸（靠近工程点的一侧）行走。因此，预测本工程的施工噪音对中华鲟亲鲟的洄游会有一定的影响。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中华鲟繁殖出来的仔鱼、幼鱼，可能随河道主流迁移，也可能受水流冲击的影响散布道河槽两侧。可能有少量的中华鲟鲟苗靠近工程，或从码头基础间空间经过，预测影响程度较小。</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此外，中华鲟完成长江中下游的长途逆水跋涉后，一般是在产卵前</w:t>
      </w:r>
      <w:r>
        <w:rPr>
          <w:rFonts w:ascii="TimesNewRomanPSMT" w:hAnsi="TimesNewRomanPSMT" w:cs="TimesNewRomanPSMT"/>
          <w:kern w:val="0"/>
          <w:sz w:val="24"/>
        </w:rPr>
        <w:t xml:space="preserve">1~3 </w:t>
      </w:r>
      <w:r>
        <w:rPr>
          <w:rFonts w:hint="eastAsia" w:ascii="宋体" w:cs="宋体" w:hAnsiTheme="minorHAnsi"/>
          <w:kern w:val="0"/>
          <w:sz w:val="24"/>
        </w:rPr>
        <w:t>天才集中到葛洲坝下产卵场活动。未产卵时，只有部分中华鲟亲鲟在产卵场活动，多数在胭脂坝至古老背江段栖息。</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由于本项目拟建码头位于该江段的下游，因此对中华鲟亲鲟的临时栖息的影响可能较小。</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⑶对其它重要鱼类产卵繁殖影响的分析</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①胭脂鱼</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胭脂鱼的产卵场主要分布在长江上游。葛洲坝建立前，长江中下游没有发现胭脂鱼的产卵场。葛洲坝兴建后，被阻隔在坝下江段的胭脂鱼在部分江段形成了产卵场。根据</w:t>
      </w:r>
      <w:r>
        <w:rPr>
          <w:rFonts w:ascii="TimesNewRomanPSMT" w:hAnsi="TimesNewRomanPSMT" w:cs="TimesNewRomanPSMT"/>
          <w:kern w:val="0"/>
          <w:sz w:val="24"/>
        </w:rPr>
        <w:t xml:space="preserve">1985~1992 </w:t>
      </w:r>
      <w:r>
        <w:rPr>
          <w:rFonts w:hint="eastAsia" w:ascii="宋体" w:cs="宋体" w:hAnsiTheme="minorHAnsi"/>
          <w:kern w:val="0"/>
          <w:sz w:val="24"/>
        </w:rPr>
        <w:t>年的调查，葛洲坝下胭脂鱼的产卵场主要分布在大江枢纽下至孝子岩、胭脂坝至虎牙滩、红花套至后江沱等江段，规模最大、距本工程最近的产卵场位于本工程上游约</w:t>
      </w:r>
      <w:r>
        <w:rPr>
          <w:rFonts w:ascii="TimesNewRomanPSMT" w:hAnsi="TimesNewRomanPSMT" w:cs="TimesNewRomanPSMT"/>
          <w:kern w:val="0"/>
          <w:sz w:val="24"/>
        </w:rPr>
        <w:t>8km</w:t>
      </w:r>
      <w:r>
        <w:rPr>
          <w:rFonts w:hint="eastAsia" w:ascii="宋体" w:cs="宋体" w:hAnsiTheme="minorHAnsi"/>
          <w:kern w:val="0"/>
          <w:sz w:val="24"/>
        </w:rPr>
        <w:t>。胭脂鱼亲鱼，在秋末冬初相继洄游到坝下江段，常栖息在深水处，开春后，进一步发育成熟，进入江底砾石或礁板石、流态较紊乱的江段开始产卵繁殖。</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本工程所在江段，没有发现明确的胭脂鱼产卵场。距工程对应江段下游最近的胭脂鱼产卵场，位于其上游约</w:t>
      </w:r>
      <w:r>
        <w:rPr>
          <w:rFonts w:ascii="TimesNewRomanPSMT" w:hAnsi="TimesNewRomanPSMT" w:cs="TimesNewRomanPSMT"/>
          <w:kern w:val="0"/>
          <w:sz w:val="24"/>
        </w:rPr>
        <w:t>8 km</w:t>
      </w:r>
      <w:r>
        <w:rPr>
          <w:rFonts w:hint="eastAsia" w:ascii="宋体" w:cs="宋体" w:hAnsiTheme="minorHAnsi"/>
          <w:kern w:val="0"/>
          <w:sz w:val="24"/>
        </w:rPr>
        <w:t>，因此，预测本工程对胭脂鱼的个别产卵场的产卵繁殖有一定的影响。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②四大家鱼</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由于葛洲坝的阻隔，宜昌江段“四大家鱼”产卵规模有所扩大，产卵场主要分布在坝下约</w:t>
      </w:r>
      <w:r>
        <w:rPr>
          <w:rFonts w:ascii="TimesNewRomanPSMT" w:hAnsi="TimesNewRomanPSMT" w:cs="TimesNewRomanPSMT"/>
          <w:kern w:val="0"/>
          <w:sz w:val="24"/>
        </w:rPr>
        <w:t xml:space="preserve">23 km </w:t>
      </w:r>
      <w:r>
        <w:rPr>
          <w:rFonts w:hint="eastAsia" w:ascii="宋体" w:cs="宋体" w:hAnsiTheme="minorHAnsi"/>
          <w:kern w:val="0"/>
          <w:sz w:val="24"/>
        </w:rPr>
        <w:t>的江段（葛洲坝——虎牙滩）。在本工程的上游约</w:t>
      </w:r>
      <w:r>
        <w:rPr>
          <w:rFonts w:ascii="TimesNewRomanPSMT" w:hAnsi="TimesNewRomanPSMT" w:cs="TimesNewRomanPSMT"/>
          <w:kern w:val="0"/>
          <w:sz w:val="24"/>
        </w:rPr>
        <w:t>28 km</w:t>
      </w:r>
      <w:r>
        <w:rPr>
          <w:rFonts w:hint="eastAsia" w:ascii="宋体" w:cs="宋体" w:hAnsiTheme="minorHAnsi"/>
          <w:kern w:val="0"/>
          <w:sz w:val="24"/>
        </w:rPr>
        <w:t>、下游</w:t>
      </w:r>
      <w:r>
        <w:rPr>
          <w:rFonts w:ascii="TimesNewRomanPSMT" w:hAnsi="TimesNewRomanPSMT" w:cs="TimesNewRomanPSMT"/>
          <w:kern w:val="0"/>
          <w:sz w:val="24"/>
        </w:rPr>
        <w:t xml:space="preserve">22 km </w:t>
      </w:r>
      <w:r>
        <w:rPr>
          <w:rFonts w:hint="eastAsia" w:ascii="宋体" w:cs="宋体" w:hAnsiTheme="minorHAnsi"/>
          <w:kern w:val="0"/>
          <w:sz w:val="24"/>
        </w:rPr>
        <w:t>处存在“四大家鱼”产卵场，由于距离较远，工程对“四大家鱼”的产卵繁殖影响不大。</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③对白鲟、达氏鲟的影响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目前，长江白鲟、达氏鲟的资源已经非常稀少，白鲟主要分布在长江干流，达氏鲟主要分布在长江上游和金沙江，而在宜昌中华鲟保护区江段，自</w:t>
      </w:r>
      <w:r>
        <w:rPr>
          <w:rFonts w:ascii="TimesNewRomanPSMT" w:hAnsi="TimesNewRomanPSMT" w:cs="TimesNewRomanPSMT"/>
          <w:kern w:val="0"/>
          <w:sz w:val="24"/>
        </w:rPr>
        <w:t xml:space="preserve">1995 </w:t>
      </w:r>
      <w:r>
        <w:rPr>
          <w:rFonts w:hint="eastAsia" w:ascii="宋体" w:cs="宋体" w:hAnsiTheme="minorHAnsi"/>
          <w:kern w:val="0"/>
          <w:sz w:val="24"/>
        </w:rPr>
        <w:t>年以来，再也没有发现捕获白鲟、达氏鲟成鱼和幼鱼的记录或报导，仅</w:t>
      </w:r>
      <w:r>
        <w:rPr>
          <w:rFonts w:ascii="TimesNewRomanPSMT" w:hAnsi="TimesNewRomanPSMT" w:cs="TimesNewRomanPSMT"/>
          <w:kern w:val="0"/>
          <w:sz w:val="24"/>
        </w:rPr>
        <w:t xml:space="preserve">2002 </w:t>
      </w:r>
      <w:r>
        <w:rPr>
          <w:rFonts w:hint="eastAsia" w:ascii="宋体" w:cs="宋体" w:hAnsiTheme="minorHAnsi"/>
          <w:kern w:val="0"/>
          <w:sz w:val="24"/>
        </w:rPr>
        <w:t>年在南京江段发现了一尾白鲟成鱼。同时，白鲟、达氏鲟成鱼均属于大河生活鱼类，游泳能力较强，对水质变化和船舶有一定的适应性和回避能力，即使在保护区范围内仍然栖息有少量个体，工程影响的区域相对较小，对其栖息和生存的不利影响有限。而白鲟、达氏鲟能否在葛洲坝下游江段繁殖，一直没有直接证据。在长江上游存在白鲟、达氏鲟的产卵场，</w:t>
      </w:r>
      <w:r>
        <w:rPr>
          <w:rFonts w:ascii="TimesNewRomanPSMT" w:hAnsi="TimesNewRomanPSMT" w:cs="TimesNewRomanPSMT"/>
          <w:kern w:val="0"/>
          <w:sz w:val="24"/>
        </w:rPr>
        <w:t>3</w:t>
      </w:r>
      <w:r>
        <w:rPr>
          <w:rFonts w:hint="eastAsia" w:ascii="宋体" w:cs="宋体" w:hAnsiTheme="minorHAnsi"/>
          <w:kern w:val="0"/>
          <w:sz w:val="24"/>
        </w:rPr>
        <w:t>～</w:t>
      </w:r>
      <w:r>
        <w:rPr>
          <w:rFonts w:ascii="TimesNewRomanPSMT" w:hAnsi="TimesNewRomanPSMT" w:cs="TimesNewRomanPSMT"/>
          <w:kern w:val="0"/>
          <w:sz w:val="24"/>
        </w:rPr>
        <w:t xml:space="preserve">4 </w:t>
      </w:r>
      <w:r>
        <w:rPr>
          <w:rFonts w:hint="eastAsia" w:ascii="宋体" w:cs="宋体" w:hAnsiTheme="minorHAnsi"/>
          <w:kern w:val="0"/>
          <w:sz w:val="24"/>
        </w:rPr>
        <w:t>月它们在长江上游繁殖后，孵出的仔、幼鱼随水漂流中，通过二座大坝到达宜昌江段的机会不多。</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因此工程建设对保护区白鲟、达氏鲟的影响不明显。</w:t>
      </w:r>
    </w:p>
    <w:p>
      <w:pPr>
        <w:pStyle w:val="6"/>
        <w:tabs>
          <w:tab w:val="left" w:pos="1006"/>
        </w:tabs>
        <w:spacing w:beforeLines="0" w:afterLines="0"/>
        <w:ind w:left="0" w:firstLine="0"/>
      </w:pPr>
      <w:r>
        <w:rPr>
          <w:rFonts w:hint="eastAsia"/>
        </w:rPr>
        <w:t>拟建工程对保护区的长期影响</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color w:val="0070C0"/>
          <w:kern w:val="0"/>
          <w:sz w:val="24"/>
        </w:rPr>
        <w:t>本工程对保护区及其水生生物的影响程度较轻，本项目中码头的修建会占用保护区内部分水域面积，增加保护区通过的船舶数量，而护区内船舶增多，人类活动加剧，突发事件也有可能发生。因此，本工程对保护区及其水生生物的长期累计效应仍然是不可忽视的问题。</w:t>
      </w:r>
    </w:p>
    <w:p>
      <w:pPr>
        <w:pStyle w:val="5"/>
        <w:tabs>
          <w:tab w:val="left" w:pos="567"/>
        </w:tabs>
        <w:spacing w:before="48" w:beforeLines="20" w:after="48" w:line="360" w:lineRule="auto"/>
        <w:ind w:left="0" w:firstLine="0"/>
        <w:rPr>
          <w:rFonts w:ascii="宋体" w:hAnsi="宋体" w:eastAsia="宋体"/>
          <w:b/>
          <w:sz w:val="28"/>
          <w:szCs w:val="28"/>
        </w:rPr>
      </w:pPr>
      <w:bookmarkStart w:id="172" w:name="_Toc442195726"/>
      <w:r>
        <w:rPr>
          <w:rFonts w:hint="eastAsia" w:ascii="宋体" w:hAnsi="宋体" w:eastAsia="宋体"/>
          <w:b/>
          <w:sz w:val="28"/>
          <w:szCs w:val="28"/>
        </w:rPr>
        <w:t>声环境影响评价</w:t>
      </w:r>
      <w:bookmarkEnd w:id="172"/>
    </w:p>
    <w:p>
      <w:pPr>
        <w:autoSpaceDE w:val="0"/>
        <w:autoSpaceDN w:val="0"/>
        <w:adjustRightInd w:val="0"/>
        <w:spacing w:line="360" w:lineRule="auto"/>
        <w:ind w:firstLine="480" w:firstLineChars="200"/>
        <w:rPr>
          <w:kern w:val="0"/>
          <w:sz w:val="24"/>
        </w:rPr>
      </w:pPr>
      <w:r>
        <w:rPr>
          <w:kern w:val="0"/>
          <w:sz w:val="24"/>
        </w:rPr>
        <w:t>根据项目特点，项目运营期间产生的噪声</w:t>
      </w:r>
      <w:r>
        <w:rPr>
          <w:rFonts w:hint="eastAsia"/>
          <w:kern w:val="0"/>
          <w:sz w:val="24"/>
        </w:rPr>
        <w:t>污染源</w:t>
      </w:r>
      <w:r>
        <w:rPr>
          <w:kern w:val="0"/>
          <w:sz w:val="24"/>
        </w:rPr>
        <w:t>主要</w:t>
      </w:r>
      <w:r>
        <w:rPr>
          <w:rFonts w:hint="eastAsia"/>
          <w:kern w:val="0"/>
          <w:sz w:val="24"/>
        </w:rPr>
        <w:t>来自码头前沿装卸设备、堆场机械、仓储物流机械、</w:t>
      </w:r>
      <w:r>
        <w:rPr>
          <w:kern w:val="0"/>
          <w:sz w:val="24"/>
        </w:rPr>
        <w:t>道路车辆</w:t>
      </w:r>
      <w:r>
        <w:rPr>
          <w:rFonts w:hint="eastAsia"/>
          <w:kern w:val="0"/>
          <w:sz w:val="24"/>
        </w:rPr>
        <w:t>。物流园</w:t>
      </w:r>
      <w:r>
        <w:rPr>
          <w:kern w:val="0"/>
          <w:sz w:val="24"/>
        </w:rPr>
        <w:t>辅助办公设施基本不对外产生噪声污染</w:t>
      </w:r>
      <w:r>
        <w:rPr>
          <w:rFonts w:hint="eastAsia"/>
          <w:kern w:val="0"/>
          <w:sz w:val="24"/>
        </w:rPr>
        <w:t>。</w:t>
      </w:r>
    </w:p>
    <w:p>
      <w:pPr>
        <w:autoSpaceDE w:val="0"/>
        <w:autoSpaceDN w:val="0"/>
        <w:adjustRightInd w:val="0"/>
        <w:spacing w:line="360" w:lineRule="auto"/>
        <w:ind w:firstLine="480" w:firstLineChars="200"/>
        <w:rPr>
          <w:kern w:val="0"/>
          <w:sz w:val="24"/>
        </w:rPr>
      </w:pPr>
      <w:r>
        <w:rPr>
          <w:rFonts w:hint="eastAsia"/>
          <w:kern w:val="0"/>
          <w:sz w:val="24"/>
        </w:rPr>
        <w:t>拟建项目红线范围内有垭子山村和桂溪湖村部分村民，属于本工程征地拆迁范围，</w:t>
      </w:r>
      <w:r>
        <w:rPr>
          <w:kern w:val="0"/>
          <w:sz w:val="24"/>
        </w:rPr>
        <w:t>营运期由于村民的搬迁，噪声环境保护目标</w:t>
      </w:r>
      <w:r>
        <w:rPr>
          <w:rFonts w:hint="eastAsia"/>
          <w:kern w:val="0"/>
          <w:sz w:val="24"/>
        </w:rPr>
        <w:t>有桂溪湖村、垭子山村2</w:t>
      </w:r>
      <w:r>
        <w:rPr>
          <w:kern w:val="0"/>
          <w:sz w:val="24"/>
        </w:rPr>
        <w:t>处。</w:t>
      </w:r>
      <w:r>
        <w:rPr>
          <w:rFonts w:hint="eastAsia"/>
          <w:kern w:val="0"/>
          <w:sz w:val="24"/>
        </w:rPr>
        <w:t>垭子山村沿在建318国道分布，位于本项目北侧场界，本次评价综合考虑运营期本项目噪声源及318国道对垭子山村声环境叠加影响。</w:t>
      </w:r>
    </w:p>
    <w:p>
      <w:pPr>
        <w:pStyle w:val="6"/>
        <w:tabs>
          <w:tab w:val="left" w:pos="1006"/>
        </w:tabs>
        <w:spacing w:beforeLines="0" w:afterLines="0"/>
        <w:ind w:left="0" w:firstLine="0"/>
      </w:pPr>
      <w:r>
        <w:rPr>
          <w:rFonts w:hint="eastAsia"/>
        </w:rPr>
        <w:t>预测评价方法</w:t>
      </w:r>
    </w:p>
    <w:p>
      <w:pPr>
        <w:autoSpaceDE w:val="0"/>
        <w:autoSpaceDN w:val="0"/>
        <w:adjustRightInd w:val="0"/>
        <w:spacing w:line="360" w:lineRule="auto"/>
        <w:ind w:firstLine="480" w:firstLineChars="200"/>
        <w:rPr>
          <w:kern w:val="0"/>
          <w:sz w:val="24"/>
        </w:rPr>
      </w:pPr>
      <w:r>
        <w:rPr>
          <w:kern w:val="0"/>
          <w:sz w:val="24"/>
        </w:rPr>
        <w:t>本次环境影响评价执行HJ2.4-2009《环境影响评价技术导则</w:t>
      </w:r>
      <w:r>
        <w:rPr>
          <w:rFonts w:hint="eastAsia"/>
          <w:kern w:val="0"/>
          <w:sz w:val="24"/>
        </w:rPr>
        <w:t>—</w:t>
      </w:r>
      <w:r>
        <w:rPr>
          <w:kern w:val="0"/>
          <w:sz w:val="24"/>
        </w:rPr>
        <w:t>声环境》中的声环境噪声预测模式来计算道路交通噪声</w:t>
      </w:r>
      <w:r>
        <w:rPr>
          <w:rFonts w:hint="eastAsia"/>
          <w:kern w:val="0"/>
          <w:sz w:val="24"/>
        </w:rPr>
        <w:t>、机械设备噪声影响</w:t>
      </w:r>
      <w:r>
        <w:rPr>
          <w:kern w:val="0"/>
          <w:sz w:val="24"/>
        </w:rPr>
        <w:t>。</w:t>
      </w:r>
    </w:p>
    <w:p>
      <w:pPr>
        <w:pStyle w:val="6"/>
        <w:tabs>
          <w:tab w:val="left" w:pos="1006"/>
        </w:tabs>
        <w:spacing w:beforeLines="0" w:afterLines="0"/>
        <w:ind w:left="0" w:firstLine="0"/>
      </w:pPr>
      <w:r>
        <w:rPr>
          <w:rFonts w:hint="eastAsia"/>
        </w:rPr>
        <w:t>预测模式</w:t>
      </w:r>
    </w:p>
    <w:p>
      <w:pPr>
        <w:autoSpaceDE w:val="0"/>
        <w:autoSpaceDN w:val="0"/>
        <w:spacing w:line="360" w:lineRule="auto"/>
        <w:ind w:firstLine="482" w:firstLineChars="200"/>
        <w:rPr>
          <w:b/>
          <w:kern w:val="0"/>
          <w:sz w:val="24"/>
        </w:rPr>
      </w:pPr>
      <w:r>
        <w:rPr>
          <w:b/>
          <w:kern w:val="0"/>
          <w:sz w:val="24"/>
        </w:rPr>
        <w:t>（1）</w:t>
      </w:r>
      <w:r>
        <w:rPr>
          <w:rFonts w:hint="eastAsia"/>
          <w:b/>
          <w:kern w:val="0"/>
          <w:sz w:val="24"/>
        </w:rPr>
        <w:t>点声源预测模式</w:t>
      </w:r>
    </w:p>
    <w:p>
      <w:pPr>
        <w:spacing w:line="360" w:lineRule="auto"/>
        <w:ind w:firstLine="480" w:firstLineChars="200"/>
        <w:rPr>
          <w:rFonts w:ascii="宋体" w:hAnsi="宋体"/>
          <w:sz w:val="24"/>
        </w:rPr>
      </w:pPr>
      <w:r>
        <w:rPr>
          <w:rFonts w:hint="eastAsia" w:ascii="宋体" w:hAnsi="宋体"/>
          <w:sz w:val="24"/>
        </w:rPr>
        <w:t>根据噪声源的特性，采用以下噪声影响计算模式：</w:t>
      </w:r>
    </w:p>
    <w:p>
      <w:pPr>
        <w:spacing w:line="360" w:lineRule="auto"/>
        <w:ind w:firstLine="1050" w:firstLineChars="500"/>
        <w:rPr>
          <w:rFonts w:ascii="宋体" w:hAnsi="宋体"/>
        </w:rPr>
      </w:pPr>
      <w:r>
        <w:rPr>
          <w:rFonts w:ascii="宋体" w:hAnsi="宋体"/>
        </w:rPr>
        <w:object>
          <v:shape id="_x0000_i1025" o:spt="75" type="#_x0000_t75" style="height:37.5pt;width:137.25pt;" o:ole="t" filled="f" o:preferrelative="t" stroked="f" coordsize="21600,21600">
            <v:path/>
            <v:fill on="f" focussize="0,0"/>
            <v:stroke on="f" joinstyle="miter"/>
            <v:imagedata r:id="rId42" o:title=""/>
            <o:lock v:ext="edit" aspectratio="t"/>
            <w10:wrap type="none"/>
            <w10:anchorlock/>
          </v:shape>
          <o:OLEObject Type="Embed" ProgID="Equation.3" ShapeID="_x0000_i1025" DrawAspect="Content" ObjectID="_1468075725" r:id="rId41"/>
        </w:object>
      </w:r>
    </w:p>
    <w:p>
      <w:pPr>
        <w:spacing w:line="360" w:lineRule="auto"/>
        <w:ind w:firstLine="480" w:firstLineChars="200"/>
        <w:rPr>
          <w:rFonts w:ascii="宋体" w:hAnsi="宋体"/>
          <w:sz w:val="24"/>
        </w:rPr>
      </w:pPr>
      <w:r>
        <w:rPr>
          <w:rFonts w:hint="eastAsia" w:ascii="宋体" w:hAnsi="宋体"/>
          <w:sz w:val="24"/>
        </w:rPr>
        <w:t>式中：</w:t>
      </w:r>
      <w:r>
        <w:rPr>
          <w:rFonts w:hint="eastAsia" w:ascii="宋体" w:hAnsi="宋体"/>
          <w:i/>
          <w:sz w:val="24"/>
        </w:rPr>
        <w:t>L</w:t>
      </w:r>
      <w:r>
        <w:rPr>
          <w:rFonts w:hint="eastAsia" w:ascii="宋体" w:hAnsi="宋体"/>
          <w:sz w:val="24"/>
          <w:vertAlign w:val="subscript"/>
        </w:rPr>
        <w:t>i</w:t>
      </w:r>
      <w:r>
        <w:rPr>
          <w:rFonts w:hint="eastAsia" w:ascii="宋体" w:hAnsi="宋体"/>
          <w:sz w:val="24"/>
        </w:rPr>
        <w:t xml:space="preserve"> ——距声源r</w:t>
      </w:r>
      <w:r>
        <w:rPr>
          <w:rFonts w:hint="eastAsia" w:ascii="宋体" w:hAnsi="宋体"/>
          <w:sz w:val="24"/>
          <w:vertAlign w:val="subscript"/>
        </w:rPr>
        <w:t>i</w:t>
      </w:r>
      <w:r>
        <w:rPr>
          <w:rFonts w:hint="eastAsia" w:ascii="宋体" w:hAnsi="宋体"/>
          <w:sz w:val="24"/>
        </w:rPr>
        <w:t>处的声级[dB(A)]。</w:t>
      </w:r>
    </w:p>
    <w:p>
      <w:pPr>
        <w:spacing w:line="360" w:lineRule="auto"/>
        <w:ind w:firstLine="1200" w:firstLineChars="500"/>
        <w:rPr>
          <w:rFonts w:ascii="宋体" w:hAnsi="宋体"/>
          <w:sz w:val="24"/>
        </w:rPr>
      </w:pPr>
      <w:r>
        <w:rPr>
          <w:rFonts w:hint="eastAsia" w:ascii="宋体" w:hAnsi="宋体"/>
          <w:i/>
          <w:sz w:val="24"/>
        </w:rPr>
        <w:t>L</w:t>
      </w:r>
      <w:r>
        <w:rPr>
          <w:rFonts w:hint="eastAsia" w:ascii="宋体" w:hAnsi="宋体"/>
          <w:sz w:val="24"/>
          <w:vertAlign w:val="subscript"/>
        </w:rPr>
        <w:t xml:space="preserve">0 </w:t>
      </w:r>
      <w:r>
        <w:rPr>
          <w:rFonts w:hint="eastAsia" w:ascii="宋体" w:hAnsi="宋体"/>
          <w:sz w:val="24"/>
        </w:rPr>
        <w:t>——距声源r</w:t>
      </w:r>
      <w:r>
        <w:rPr>
          <w:rFonts w:hint="eastAsia" w:ascii="宋体" w:hAnsi="宋体"/>
          <w:sz w:val="24"/>
          <w:vertAlign w:val="subscript"/>
        </w:rPr>
        <w:t>0</w:t>
      </w:r>
      <w:r>
        <w:rPr>
          <w:rFonts w:hint="eastAsia" w:ascii="宋体" w:hAnsi="宋体"/>
          <w:sz w:val="24"/>
        </w:rPr>
        <w:t>处的声级[dB(A)]。</w:t>
      </w:r>
    </w:p>
    <w:p>
      <w:pPr>
        <w:spacing w:line="360" w:lineRule="auto"/>
        <w:ind w:firstLine="1200" w:firstLineChars="500"/>
        <w:rPr>
          <w:rFonts w:ascii="宋体" w:hAnsi="宋体"/>
          <w:sz w:val="24"/>
        </w:rPr>
      </w:pPr>
      <w:r>
        <w:rPr>
          <w:rFonts w:hint="eastAsia" w:ascii="宋体" w:hAnsi="宋体"/>
          <w:sz w:val="24"/>
        </w:rPr>
        <w:t>Δ</w:t>
      </w:r>
      <w:r>
        <w:rPr>
          <w:rFonts w:ascii="宋体" w:hAnsi="宋体"/>
          <w:i/>
          <w:sz w:val="24"/>
        </w:rPr>
        <w:t>L</w:t>
      </w:r>
      <w:r>
        <w:rPr>
          <w:rFonts w:hint="eastAsia" w:ascii="宋体" w:hAnsi="宋体"/>
          <w:sz w:val="24"/>
        </w:rPr>
        <w:t>——其它因素引起的噪声衰减量，保守取0。</w:t>
      </w:r>
    </w:p>
    <w:p>
      <w:pPr>
        <w:spacing w:line="360" w:lineRule="auto"/>
        <w:ind w:firstLine="480" w:firstLineChars="200"/>
        <w:rPr>
          <w:sz w:val="24"/>
        </w:rPr>
      </w:pPr>
      <w:r>
        <w:rPr>
          <w:rFonts w:hAnsi="宋体"/>
          <w:sz w:val="24"/>
        </w:rPr>
        <w:t>工程营运期作业机械</w:t>
      </w:r>
      <w:r>
        <w:rPr>
          <w:rFonts w:hint="eastAsia" w:hAnsi="宋体"/>
          <w:sz w:val="24"/>
        </w:rPr>
        <w:t>高</w:t>
      </w:r>
      <w:r>
        <w:rPr>
          <w:rFonts w:hAnsi="宋体"/>
          <w:sz w:val="24"/>
        </w:rPr>
        <w:t>噪声源为</w:t>
      </w:r>
      <w:r>
        <w:rPr>
          <w:rFonts w:hint="eastAsia" w:hAnsi="宋体"/>
          <w:sz w:val="24"/>
        </w:rPr>
        <w:t>码头前沿各类装卸机械，主要有多用途门座起重机、叉车，轮胎起重机、</w:t>
      </w:r>
      <w:r>
        <w:rPr>
          <w:rFonts w:hint="eastAsia"/>
          <w:sz w:val="24"/>
        </w:rPr>
        <w:t>轨道龙门起重机、皮带输送机、单斗装载机等</w:t>
      </w:r>
      <w:r>
        <w:rPr>
          <w:rFonts w:hAnsi="宋体"/>
          <w:sz w:val="24"/>
        </w:rPr>
        <w:t>，根据同类工程现场实测资料，确定本工程主要装卸作业机械噪声源强见表</w:t>
      </w:r>
      <w:r>
        <w:rPr>
          <w:rFonts w:hint="eastAsia"/>
          <w:sz w:val="24"/>
        </w:rPr>
        <w:t>3.3</w:t>
      </w:r>
      <w:r>
        <w:rPr>
          <w:sz w:val="24"/>
        </w:rPr>
        <w:t>-</w:t>
      </w:r>
      <w:r>
        <w:rPr>
          <w:rFonts w:hint="eastAsia"/>
          <w:sz w:val="24"/>
        </w:rPr>
        <w:t>2</w:t>
      </w:r>
      <w:r>
        <w:rPr>
          <w:rFonts w:hAnsi="宋体"/>
          <w:sz w:val="24"/>
        </w:rPr>
        <w:t>。</w:t>
      </w:r>
    </w:p>
    <w:p>
      <w:pPr>
        <w:autoSpaceDE w:val="0"/>
        <w:autoSpaceDN w:val="0"/>
        <w:spacing w:line="360" w:lineRule="auto"/>
        <w:ind w:firstLine="482" w:firstLineChars="200"/>
        <w:rPr>
          <w:b/>
          <w:kern w:val="0"/>
          <w:sz w:val="24"/>
        </w:rPr>
      </w:pPr>
      <w:r>
        <w:rPr>
          <w:b/>
          <w:kern w:val="0"/>
          <w:sz w:val="24"/>
        </w:rPr>
        <w:t>（2）交通噪声级计算模式</w:t>
      </w:r>
    </w:p>
    <w:p>
      <w:pPr>
        <w:autoSpaceDE w:val="0"/>
        <w:autoSpaceDN w:val="0"/>
        <w:adjustRightInd w:val="0"/>
        <w:spacing w:line="360" w:lineRule="auto"/>
        <w:ind w:firstLine="420" w:firstLineChars="200"/>
        <w:jc w:val="center"/>
        <w:rPr>
          <w:kern w:val="0"/>
        </w:rPr>
      </w:pPr>
      <w:r>
        <w:rPr>
          <w:kern w:val="0"/>
        </w:rPr>
        <w:drawing>
          <wp:inline distT="0" distB="0" distL="0" distR="0">
            <wp:extent cx="4295775" cy="390525"/>
            <wp:effectExtent l="0" t="0" r="0" b="952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295775" cy="390525"/>
                    </a:xfrm>
                    <a:prstGeom prst="rect">
                      <a:avLst/>
                    </a:prstGeom>
                    <a:noFill/>
                    <a:ln>
                      <a:noFill/>
                    </a:ln>
                  </pic:spPr>
                </pic:pic>
              </a:graphicData>
            </a:graphic>
          </wp:inline>
        </w:drawing>
      </w:r>
      <w:r>
        <w:rPr>
          <w:kern w:val="0"/>
        </w:rPr>
        <w:drawing>
          <wp:inline distT="0" distB="0" distL="0" distR="0">
            <wp:extent cx="2914650" cy="381000"/>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914650" cy="381000"/>
                    </a:xfrm>
                    <a:prstGeom prst="rect">
                      <a:avLst/>
                    </a:prstGeom>
                    <a:noFill/>
                    <a:ln>
                      <a:noFill/>
                    </a:ln>
                  </pic:spPr>
                </pic:pic>
              </a:graphicData>
            </a:graphic>
          </wp:inline>
        </w:drawing>
      </w:r>
    </w:p>
    <w:p>
      <w:pPr>
        <w:autoSpaceDE w:val="0"/>
        <w:autoSpaceDN w:val="0"/>
        <w:adjustRightInd w:val="0"/>
        <w:spacing w:line="360" w:lineRule="auto"/>
        <w:ind w:firstLine="420" w:firstLineChars="200"/>
        <w:rPr>
          <w:kern w:val="0"/>
        </w:rPr>
      </w:pPr>
      <w:r>
        <w:rPr>
          <w:kern w:val="0"/>
        </w:rPr>
        <w:t>式中：</w:t>
      </w:r>
      <w:r>
        <w:rPr>
          <w:kern w:val="0"/>
        </w:rPr>
        <w:drawing>
          <wp:inline distT="0" distB="0" distL="0" distR="0">
            <wp:extent cx="314325" cy="190500"/>
            <wp:effectExtent l="0" t="0" r="952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Pr>
          <w:kern w:val="0"/>
        </w:rPr>
        <w:t>—i车型，通常分为大、中、小三种车型，车辆的小时等效声级，dB；</w:t>
      </w:r>
    </w:p>
    <w:p>
      <w:pPr>
        <w:autoSpaceDE w:val="0"/>
        <w:autoSpaceDN w:val="0"/>
        <w:adjustRightInd w:val="0"/>
        <w:spacing w:line="360" w:lineRule="auto"/>
        <w:ind w:left="473" w:leftChars="225" w:firstLine="473" w:firstLineChars="225"/>
        <w:rPr>
          <w:kern w:val="0"/>
        </w:rPr>
      </w:pPr>
      <w:r>
        <w:rPr>
          <w:kern w:val="0"/>
        </w:rPr>
        <w:drawing>
          <wp:inline distT="0" distB="0" distL="0" distR="0">
            <wp:extent cx="371475" cy="190500"/>
            <wp:effectExtent l="0" t="0" r="9525"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Pr>
          <w:kern w:val="0"/>
        </w:rPr>
        <w:t>—公路交通噪声小时等效声级，dB；</w:t>
      </w:r>
    </w:p>
    <w:p>
      <w:pPr>
        <w:autoSpaceDE w:val="0"/>
        <w:autoSpaceDN w:val="0"/>
        <w:adjustRightInd w:val="0"/>
        <w:spacing w:line="360" w:lineRule="auto"/>
        <w:ind w:left="473" w:leftChars="225" w:firstLine="473" w:firstLineChars="225"/>
        <w:rPr>
          <w:kern w:val="0"/>
        </w:rPr>
      </w:pPr>
      <w:r>
        <w:rPr>
          <w:kern w:val="0"/>
        </w:rPr>
        <w:drawing>
          <wp:inline distT="0" distB="0" distL="0" distR="0">
            <wp:extent cx="219075" cy="200025"/>
            <wp:effectExtent l="0" t="0" r="9525" b="9525"/>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19075" cy="200025"/>
                    </a:xfrm>
                    <a:prstGeom prst="rect">
                      <a:avLst/>
                    </a:prstGeom>
                    <a:noFill/>
                    <a:ln>
                      <a:noFill/>
                    </a:ln>
                  </pic:spPr>
                </pic:pic>
              </a:graphicData>
            </a:graphic>
          </wp:inline>
        </w:drawing>
      </w:r>
      <w:r>
        <w:rPr>
          <w:kern w:val="0"/>
        </w:rPr>
        <w:t>—该车型车辆在参照点（7.5m处）的平均辐射噪声级，dB；</w:t>
      </w:r>
    </w:p>
    <w:p>
      <w:pPr>
        <w:autoSpaceDE w:val="0"/>
        <w:autoSpaceDN w:val="0"/>
        <w:adjustRightInd w:val="0"/>
        <w:spacing w:line="360" w:lineRule="auto"/>
        <w:ind w:left="473" w:leftChars="225" w:firstLine="473" w:firstLineChars="225"/>
        <w:rPr>
          <w:kern w:val="0"/>
        </w:rPr>
      </w:pPr>
      <w:r>
        <w:rPr>
          <w:kern w:val="0"/>
        </w:rPr>
        <w:drawing>
          <wp:inline distT="0" distB="0" distL="0" distR="0">
            <wp:extent cx="190500" cy="180975"/>
            <wp:effectExtent l="0" t="0" r="0" b="9525"/>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90500" cy="180975"/>
                    </a:xfrm>
                    <a:prstGeom prst="rect">
                      <a:avLst/>
                    </a:prstGeom>
                    <a:noFill/>
                    <a:ln>
                      <a:noFill/>
                    </a:ln>
                  </pic:spPr>
                </pic:pic>
              </a:graphicData>
            </a:graphic>
          </wp:inline>
        </w:drawing>
      </w:r>
      <w:r>
        <w:rPr>
          <w:kern w:val="0"/>
        </w:rPr>
        <w:t>—该车型车辆的小时车流量，辆/h；</w:t>
      </w:r>
    </w:p>
    <w:p>
      <w:pPr>
        <w:autoSpaceDE w:val="0"/>
        <w:autoSpaceDN w:val="0"/>
        <w:adjustRightInd w:val="0"/>
        <w:spacing w:line="360" w:lineRule="auto"/>
        <w:ind w:left="473" w:leftChars="225" w:firstLine="473" w:firstLineChars="225"/>
        <w:rPr>
          <w:kern w:val="0"/>
        </w:rPr>
      </w:pPr>
      <w:r>
        <w:rPr>
          <w:kern w:val="0"/>
        </w:rPr>
        <w:drawing>
          <wp:inline distT="0" distB="0" distL="0" distR="0">
            <wp:extent cx="142875" cy="161925"/>
            <wp:effectExtent l="0" t="0" r="9525" b="952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r>
        <w:rPr>
          <w:kern w:val="0"/>
        </w:rPr>
        <w:t>—计算等效声级的时间，取T=1h；</w:t>
      </w:r>
    </w:p>
    <w:p>
      <w:pPr>
        <w:autoSpaceDE w:val="0"/>
        <w:autoSpaceDN w:val="0"/>
        <w:adjustRightInd w:val="0"/>
        <w:spacing w:line="360" w:lineRule="auto"/>
        <w:ind w:left="473" w:leftChars="225" w:firstLine="473" w:firstLineChars="225"/>
        <w:rPr>
          <w:kern w:val="0"/>
        </w:rPr>
      </w:pPr>
      <w:r>
        <w:rPr>
          <w:kern w:val="0"/>
        </w:rPr>
        <w:drawing>
          <wp:inline distT="0" distB="0" distL="0" distR="0">
            <wp:extent cx="152400" cy="180975"/>
            <wp:effectExtent l="0" t="0" r="0" b="952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52400" cy="180975"/>
                    </a:xfrm>
                    <a:prstGeom prst="rect">
                      <a:avLst/>
                    </a:prstGeom>
                    <a:noFill/>
                    <a:ln>
                      <a:noFill/>
                    </a:ln>
                  </pic:spPr>
                </pic:pic>
              </a:graphicData>
            </a:graphic>
          </wp:inline>
        </w:drawing>
      </w:r>
      <w:r>
        <w:rPr>
          <w:kern w:val="0"/>
        </w:rPr>
        <w:t>—该车型车辆的平均行驶速度，km/h；</w:t>
      </w:r>
    </w:p>
    <w:p>
      <w:pPr>
        <w:autoSpaceDE w:val="0"/>
        <w:autoSpaceDN w:val="0"/>
        <w:adjustRightInd w:val="0"/>
        <w:spacing w:line="360" w:lineRule="auto"/>
        <w:ind w:left="473" w:leftChars="225" w:firstLine="473" w:firstLineChars="225"/>
        <w:rPr>
          <w:kern w:val="0"/>
        </w:rPr>
      </w:pPr>
      <w:r>
        <w:rPr>
          <w:kern w:val="0"/>
        </w:rPr>
        <w:t>r—从车道中心线到预测点的距离，m；</w:t>
      </w:r>
    </w:p>
    <w:p>
      <w:pPr>
        <w:autoSpaceDE w:val="0"/>
        <w:autoSpaceDN w:val="0"/>
        <w:adjustRightInd w:val="0"/>
        <w:spacing w:line="360" w:lineRule="auto"/>
        <w:ind w:left="473" w:leftChars="225" w:firstLine="473" w:firstLineChars="225"/>
        <w:rPr>
          <w:kern w:val="0"/>
        </w:rPr>
      </w:pPr>
      <w:r>
        <w:rPr>
          <w:kern w:val="0"/>
        </w:rPr>
        <w:drawing>
          <wp:inline distT="0" distB="0" distL="0" distR="0">
            <wp:extent cx="190500" cy="219075"/>
            <wp:effectExtent l="0" t="0" r="0" b="952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90500" cy="219075"/>
                    </a:xfrm>
                    <a:prstGeom prst="rect">
                      <a:avLst/>
                    </a:prstGeom>
                    <a:noFill/>
                    <a:ln>
                      <a:noFill/>
                    </a:ln>
                  </pic:spPr>
                </pic:pic>
              </a:graphicData>
            </a:graphic>
          </wp:inline>
        </w:drawing>
      </w:r>
      <w:r>
        <w:rPr>
          <w:kern w:val="0"/>
        </w:rPr>
        <w:t>、</w:t>
      </w:r>
      <w:r>
        <w:rPr>
          <w:kern w:val="0"/>
        </w:rPr>
        <w:drawing>
          <wp:inline distT="0" distB="0" distL="0" distR="0">
            <wp:extent cx="219075" cy="219075"/>
            <wp:effectExtent l="0" t="0" r="9525" b="9525"/>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19075" cy="219075"/>
                    </a:xfrm>
                    <a:prstGeom prst="rect">
                      <a:avLst/>
                    </a:prstGeom>
                    <a:noFill/>
                    <a:ln>
                      <a:noFill/>
                    </a:ln>
                  </pic:spPr>
                </pic:pic>
              </a:graphicData>
            </a:graphic>
          </wp:inline>
        </w:drawing>
      </w:r>
      <w:r>
        <w:rPr>
          <w:kern w:val="0"/>
        </w:rPr>
        <w:t>—预测点到有线长路段两端的张角，弧度；</w:t>
      </w:r>
    </w:p>
    <w:p>
      <w:pPr>
        <w:autoSpaceDE w:val="0"/>
        <w:autoSpaceDN w:val="0"/>
        <w:adjustRightInd w:val="0"/>
        <w:spacing w:line="360" w:lineRule="auto"/>
        <w:ind w:left="473" w:leftChars="225" w:firstLine="473" w:firstLineChars="225"/>
        <w:rPr>
          <w:kern w:val="0"/>
        </w:rPr>
      </w:pPr>
      <w:r>
        <w:rPr>
          <w:kern w:val="0"/>
        </w:rPr>
        <w:drawing>
          <wp:inline distT="0" distB="0" distL="0" distR="0">
            <wp:extent cx="228600" cy="161925"/>
            <wp:effectExtent l="0" t="0" r="0" b="9525"/>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28600" cy="161925"/>
                    </a:xfrm>
                    <a:prstGeom prst="rect">
                      <a:avLst/>
                    </a:prstGeom>
                    <a:noFill/>
                    <a:ln>
                      <a:noFill/>
                    </a:ln>
                  </pic:spPr>
                </pic:pic>
              </a:graphicData>
            </a:graphic>
          </wp:inline>
        </w:drawing>
      </w:r>
      <w:r>
        <w:rPr>
          <w:kern w:val="0"/>
        </w:rPr>
        <w:t>─由其他因素引起的修正量，dB（A）；可按下式计算：</w:t>
      </w:r>
    </w:p>
    <w:p>
      <w:pPr>
        <w:autoSpaceDE w:val="0"/>
        <w:autoSpaceDN w:val="0"/>
        <w:adjustRightInd w:val="0"/>
        <w:spacing w:line="360" w:lineRule="auto"/>
        <w:ind w:firstLine="420" w:firstLineChars="200"/>
        <w:jc w:val="center"/>
        <w:rPr>
          <w:kern w:val="0"/>
        </w:rPr>
      </w:pPr>
      <w:r>
        <w:rPr>
          <w:kern w:val="0"/>
        </w:rPr>
        <w:drawing>
          <wp:inline distT="0" distB="0" distL="0" distR="0">
            <wp:extent cx="1343025" cy="228600"/>
            <wp:effectExtent l="0" t="0" r="9525"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43025" cy="228600"/>
                    </a:xfrm>
                    <a:prstGeom prst="rect">
                      <a:avLst/>
                    </a:prstGeom>
                    <a:noFill/>
                    <a:ln>
                      <a:noFill/>
                    </a:ln>
                  </pic:spPr>
                </pic:pic>
              </a:graphicData>
            </a:graphic>
          </wp:inline>
        </w:drawing>
      </w:r>
    </w:p>
    <w:p>
      <w:pPr>
        <w:autoSpaceDE w:val="0"/>
        <w:autoSpaceDN w:val="0"/>
        <w:adjustRightInd w:val="0"/>
        <w:spacing w:line="360" w:lineRule="auto"/>
        <w:ind w:left="473" w:leftChars="225" w:firstLine="2993" w:firstLineChars="1425"/>
        <w:rPr>
          <w:kern w:val="0"/>
        </w:rPr>
      </w:pPr>
      <w:r>
        <w:rPr>
          <w:kern w:val="0"/>
        </w:rPr>
        <w:drawing>
          <wp:inline distT="0" distB="0" distL="0" distR="0">
            <wp:extent cx="1285875" cy="238125"/>
            <wp:effectExtent l="0" t="0" r="9525" b="9525"/>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285875" cy="238125"/>
                    </a:xfrm>
                    <a:prstGeom prst="rect">
                      <a:avLst/>
                    </a:prstGeom>
                    <a:noFill/>
                    <a:ln>
                      <a:noFill/>
                    </a:ln>
                  </pic:spPr>
                </pic:pic>
              </a:graphicData>
            </a:graphic>
          </wp:inline>
        </w:drawing>
      </w:r>
    </w:p>
    <w:p>
      <w:pPr>
        <w:autoSpaceDE w:val="0"/>
        <w:autoSpaceDN w:val="0"/>
        <w:adjustRightInd w:val="0"/>
        <w:spacing w:line="360" w:lineRule="auto"/>
        <w:ind w:left="473" w:leftChars="225" w:firstLine="473" w:firstLineChars="225"/>
        <w:jc w:val="center"/>
        <w:rPr>
          <w:kern w:val="0"/>
        </w:rPr>
      </w:pPr>
      <w:r>
        <w:rPr>
          <w:kern w:val="0"/>
        </w:rPr>
        <w:drawing>
          <wp:inline distT="0" distB="0" distL="0" distR="0">
            <wp:extent cx="1800225" cy="238125"/>
            <wp:effectExtent l="0" t="0" r="9525" b="9525"/>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00225" cy="238125"/>
                    </a:xfrm>
                    <a:prstGeom prst="rect">
                      <a:avLst/>
                    </a:prstGeom>
                    <a:noFill/>
                    <a:ln>
                      <a:noFill/>
                    </a:ln>
                  </pic:spPr>
                </pic:pic>
              </a:graphicData>
            </a:graphic>
          </wp:inline>
        </w:drawing>
      </w:r>
    </w:p>
    <w:p>
      <w:pPr>
        <w:autoSpaceDE w:val="0"/>
        <w:autoSpaceDN w:val="0"/>
        <w:spacing w:line="360" w:lineRule="auto"/>
        <w:ind w:left="473" w:leftChars="225" w:firstLine="473" w:firstLineChars="225"/>
        <w:rPr>
          <w:kern w:val="0"/>
        </w:rPr>
      </w:pPr>
      <w:r>
        <w:rPr>
          <w:kern w:val="0"/>
        </w:rPr>
        <w:drawing>
          <wp:inline distT="0" distB="0" distL="0" distR="0">
            <wp:extent cx="257175" cy="219075"/>
            <wp:effectExtent l="0" t="0" r="9525" b="9525"/>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57175" cy="219075"/>
                    </a:xfrm>
                    <a:prstGeom prst="rect">
                      <a:avLst/>
                    </a:prstGeom>
                    <a:noFill/>
                    <a:ln>
                      <a:noFill/>
                    </a:ln>
                  </pic:spPr>
                </pic:pic>
              </a:graphicData>
            </a:graphic>
          </wp:inline>
        </w:drawing>
      </w:r>
      <w:r>
        <w:rPr>
          <w:kern w:val="0"/>
        </w:rPr>
        <w:t>—线路因素引起的修正量，dB（A）；</w:t>
      </w:r>
    </w:p>
    <w:p>
      <w:pPr>
        <w:autoSpaceDE w:val="0"/>
        <w:autoSpaceDN w:val="0"/>
        <w:spacing w:line="360" w:lineRule="auto"/>
        <w:ind w:left="473" w:leftChars="225" w:firstLine="473" w:firstLineChars="225"/>
        <w:rPr>
          <w:kern w:val="0"/>
        </w:rPr>
      </w:pPr>
      <w:r>
        <w:rPr>
          <w:kern w:val="0"/>
        </w:rPr>
        <w:drawing>
          <wp:inline distT="0" distB="0" distL="0" distR="0">
            <wp:extent cx="390525" cy="238125"/>
            <wp:effectExtent l="0" t="0" r="9525" b="952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90525" cy="238125"/>
                    </a:xfrm>
                    <a:prstGeom prst="rect">
                      <a:avLst/>
                    </a:prstGeom>
                    <a:noFill/>
                    <a:ln>
                      <a:noFill/>
                    </a:ln>
                  </pic:spPr>
                </pic:pic>
              </a:graphicData>
            </a:graphic>
          </wp:inline>
        </w:drawing>
      </w:r>
      <w:r>
        <w:rPr>
          <w:kern w:val="0"/>
        </w:rPr>
        <w:t>—公路纵坡修正量，dB（A）；</w:t>
      </w:r>
    </w:p>
    <w:p>
      <w:pPr>
        <w:autoSpaceDE w:val="0"/>
        <w:autoSpaceDN w:val="0"/>
        <w:spacing w:line="360" w:lineRule="auto"/>
        <w:ind w:left="473" w:leftChars="225" w:firstLine="473" w:firstLineChars="225"/>
        <w:rPr>
          <w:kern w:val="0"/>
        </w:rPr>
      </w:pPr>
      <w:r>
        <w:rPr>
          <w:kern w:val="0"/>
        </w:rPr>
        <w:drawing>
          <wp:inline distT="0" distB="0" distL="0" distR="0">
            <wp:extent cx="390525" cy="228600"/>
            <wp:effectExtent l="0" t="0" r="9525"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90525" cy="228600"/>
                    </a:xfrm>
                    <a:prstGeom prst="rect">
                      <a:avLst/>
                    </a:prstGeom>
                    <a:noFill/>
                    <a:ln>
                      <a:noFill/>
                    </a:ln>
                  </pic:spPr>
                </pic:pic>
              </a:graphicData>
            </a:graphic>
          </wp:inline>
        </w:drawing>
      </w:r>
      <w:r>
        <w:rPr>
          <w:kern w:val="0"/>
        </w:rPr>
        <w:t>—公路路面材料引起的修正量，dB（A）；</w:t>
      </w:r>
    </w:p>
    <w:p>
      <w:pPr>
        <w:autoSpaceDE w:val="0"/>
        <w:autoSpaceDN w:val="0"/>
        <w:ind w:left="473" w:leftChars="225" w:firstLine="473" w:firstLineChars="225"/>
        <w:rPr>
          <w:kern w:val="0"/>
        </w:rPr>
      </w:pPr>
      <w:r>
        <w:rPr>
          <w:kern w:val="0"/>
        </w:rPr>
        <w:drawing>
          <wp:inline distT="0" distB="0" distL="0" distR="0">
            <wp:extent cx="266700" cy="219075"/>
            <wp:effectExtent l="0" t="0" r="0" b="9525"/>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r>
        <w:rPr>
          <w:kern w:val="0"/>
        </w:rPr>
        <w:t>—声波传播途径中引起的衰减量，dB（A）；</w:t>
      </w:r>
    </w:p>
    <w:p>
      <w:pPr>
        <w:autoSpaceDE w:val="0"/>
        <w:autoSpaceDN w:val="0"/>
        <w:ind w:left="473" w:leftChars="225" w:firstLine="473" w:firstLineChars="225"/>
        <w:rPr>
          <w:kern w:val="0"/>
        </w:rPr>
      </w:pPr>
      <w:r>
        <w:rPr>
          <w:kern w:val="0"/>
        </w:rPr>
        <w:drawing>
          <wp:inline distT="0" distB="0" distL="0" distR="0">
            <wp:extent cx="266700" cy="228600"/>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kern w:val="0"/>
        </w:rPr>
        <w:t>—由发射等引起的修正量，dB（A）；</w:t>
      </w:r>
    </w:p>
    <w:p>
      <w:pPr>
        <w:autoSpaceDE w:val="0"/>
        <w:autoSpaceDN w:val="0"/>
        <w:ind w:left="473" w:leftChars="225" w:firstLine="473" w:firstLineChars="225"/>
        <w:rPr>
          <w:kern w:val="0"/>
        </w:rPr>
      </w:pPr>
      <w:r>
        <w:rPr>
          <w:kern w:val="0"/>
        </w:rPr>
        <w:drawing>
          <wp:inline distT="0" distB="0" distL="0" distR="0">
            <wp:extent cx="276225" cy="228600"/>
            <wp:effectExtent l="0" t="0" r="9525"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3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76225" cy="228600"/>
                    </a:xfrm>
                    <a:prstGeom prst="rect">
                      <a:avLst/>
                    </a:prstGeom>
                    <a:noFill/>
                    <a:ln>
                      <a:noFill/>
                    </a:ln>
                  </pic:spPr>
                </pic:pic>
              </a:graphicData>
            </a:graphic>
          </wp:inline>
        </w:drawing>
      </w:r>
      <w:r>
        <w:rPr>
          <w:kern w:val="0"/>
        </w:rPr>
        <w:t>—大气吸收引起的修正量，dB（A）；</w:t>
      </w:r>
    </w:p>
    <w:p>
      <w:pPr>
        <w:autoSpaceDE w:val="0"/>
        <w:autoSpaceDN w:val="0"/>
        <w:ind w:left="473" w:leftChars="225" w:firstLine="473" w:firstLineChars="225"/>
        <w:rPr>
          <w:kern w:val="0"/>
        </w:rPr>
      </w:pPr>
      <w:r>
        <w:rPr>
          <w:kern w:val="0"/>
        </w:rPr>
        <w:drawing>
          <wp:inline distT="0" distB="0" distL="0" distR="0">
            <wp:extent cx="228600" cy="238125"/>
            <wp:effectExtent l="0" t="0" r="0" b="9525"/>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28600" cy="238125"/>
                    </a:xfrm>
                    <a:prstGeom prst="rect">
                      <a:avLst/>
                    </a:prstGeom>
                    <a:noFill/>
                    <a:ln>
                      <a:noFill/>
                    </a:ln>
                  </pic:spPr>
                </pic:pic>
              </a:graphicData>
            </a:graphic>
          </wp:inline>
        </w:drawing>
      </w:r>
      <w:r>
        <w:rPr>
          <w:kern w:val="0"/>
        </w:rPr>
        <w:t>—地面效应引起的修正量，dB（A）；</w:t>
      </w:r>
    </w:p>
    <w:p>
      <w:pPr>
        <w:autoSpaceDE w:val="0"/>
        <w:autoSpaceDN w:val="0"/>
        <w:ind w:left="473" w:leftChars="225" w:firstLine="473" w:firstLineChars="225"/>
        <w:rPr>
          <w:kern w:val="0"/>
        </w:rPr>
      </w:pPr>
      <w:r>
        <w:rPr>
          <w:kern w:val="0"/>
        </w:rPr>
        <w:drawing>
          <wp:inline distT="0" distB="0" distL="0" distR="0">
            <wp:extent cx="266700" cy="22860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kern w:val="0"/>
        </w:rPr>
        <w:t>—障碍物衰减量，dB（A）；</w:t>
      </w:r>
    </w:p>
    <w:p>
      <w:pPr>
        <w:autoSpaceDE w:val="0"/>
        <w:autoSpaceDN w:val="0"/>
        <w:ind w:left="473" w:leftChars="225" w:firstLine="473" w:firstLineChars="225"/>
        <w:rPr>
          <w:kern w:val="0"/>
        </w:rPr>
      </w:pPr>
      <w:r>
        <w:rPr>
          <w:kern w:val="0"/>
        </w:rPr>
        <w:drawing>
          <wp:inline distT="0" distB="0" distL="0" distR="0">
            <wp:extent cx="314325" cy="228600"/>
            <wp:effectExtent l="0" t="0" r="9525"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34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14325" cy="228600"/>
                    </a:xfrm>
                    <a:prstGeom prst="rect">
                      <a:avLst/>
                    </a:prstGeom>
                    <a:noFill/>
                    <a:ln>
                      <a:noFill/>
                    </a:ln>
                  </pic:spPr>
                </pic:pic>
              </a:graphicData>
            </a:graphic>
          </wp:inline>
        </w:drawing>
      </w:r>
      <w:r>
        <w:rPr>
          <w:kern w:val="0"/>
        </w:rPr>
        <w:t>—其他多方面效应的修正量，dB（A）。</w:t>
      </w:r>
    </w:p>
    <w:p>
      <w:pPr>
        <w:autoSpaceDE w:val="0"/>
        <w:autoSpaceDN w:val="0"/>
        <w:spacing w:line="360" w:lineRule="auto"/>
        <w:ind w:firstLine="422" w:firstLineChars="200"/>
        <w:rPr>
          <w:b/>
          <w:kern w:val="0"/>
        </w:rPr>
      </w:pPr>
      <w:r>
        <w:rPr>
          <w:rFonts w:hint="eastAsia"/>
          <w:b/>
          <w:kern w:val="0"/>
        </w:rPr>
        <w:t>（3）叠加噪声影响</w:t>
      </w:r>
    </w:p>
    <w:p>
      <w:pPr>
        <w:spacing w:line="360" w:lineRule="auto"/>
        <w:ind w:firstLine="420" w:firstLineChars="200"/>
        <w:rPr>
          <w:rFonts w:ascii="宋体" w:hAnsi="宋体"/>
          <w:sz w:val="24"/>
        </w:rPr>
      </w:pPr>
      <w:r>
        <w:rPr>
          <w:rFonts w:ascii="宋体" w:hAnsi="宋体"/>
        </w:rPr>
        <w:pict>
          <v:shape id="_x0000_s1177" o:spid="_x0000_s1177" o:spt="75" type="#_x0000_t75" style="position:absolute;left:0pt;margin-left:49.8pt;margin-top:19.45pt;height:36pt;width:108pt;z-index:252005376;mso-width-relative:page;mso-height-relative:page;" o:ole="t" fillcolor="#000005 [-4142]" filled="f" o:preferrelative="t" stroked="f" coordsize="21600,21600">
            <v:path/>
            <v:fill on="f" focussize="0,0"/>
            <v:stroke on="f" joinstyle="miter"/>
            <v:imagedata r:id="rId67" o:title=""/>
            <o:lock v:ext="edit" aspectratio="t"/>
          </v:shape>
          <o:OLEObject Type="Embed" ProgID="Equation.3" ShapeID="_x0000_s1177" DrawAspect="Content" ObjectID="_1468075726" r:id="rId66"/>
        </w:pict>
      </w:r>
      <w:r>
        <w:rPr>
          <w:rFonts w:hint="eastAsia" w:ascii="宋体" w:hAnsi="宋体"/>
          <w:sz w:val="24"/>
        </w:rPr>
        <w:t>各声源在预测点产生的合成声级采用以下计算模式：</w:t>
      </w:r>
    </w:p>
    <w:p>
      <w:pPr>
        <w:ind w:firstLine="1050" w:firstLineChars="500"/>
        <w:rPr>
          <w:rFonts w:ascii="宋体" w:hAnsi="宋体"/>
        </w:rPr>
      </w:pPr>
    </w:p>
    <w:p>
      <w:pPr>
        <w:ind w:firstLine="1050" w:firstLineChars="500"/>
        <w:rPr>
          <w:rFonts w:ascii="宋体" w:hAnsi="宋体"/>
        </w:rPr>
      </w:pPr>
    </w:p>
    <w:p>
      <w:pPr>
        <w:pStyle w:val="6"/>
        <w:tabs>
          <w:tab w:val="left" w:pos="1006"/>
        </w:tabs>
        <w:spacing w:beforeLines="0" w:afterLines="0"/>
        <w:ind w:left="0" w:firstLine="0"/>
      </w:pPr>
      <w:r>
        <w:rPr>
          <w:rFonts w:hint="eastAsia"/>
        </w:rPr>
        <w:t>预测技术条件</w:t>
      </w:r>
    </w:p>
    <w:p>
      <w:pPr>
        <w:adjustRightInd w:val="0"/>
        <w:snapToGrid w:val="0"/>
        <w:spacing w:line="360" w:lineRule="auto"/>
        <w:ind w:firstLine="482" w:firstLineChars="200"/>
        <w:rPr>
          <w:rFonts w:hAnsi="宋体"/>
          <w:b/>
          <w:sz w:val="24"/>
        </w:rPr>
      </w:pPr>
      <w:r>
        <w:rPr>
          <w:rFonts w:hint="eastAsia" w:hAnsi="宋体"/>
          <w:b/>
          <w:sz w:val="24"/>
        </w:rPr>
        <w:t>（1）预测点位</w:t>
      </w:r>
    </w:p>
    <w:p>
      <w:pPr>
        <w:spacing w:line="360" w:lineRule="auto"/>
        <w:ind w:firstLine="480" w:firstLineChars="200"/>
        <w:rPr>
          <w:rFonts w:hAnsi="宋体"/>
          <w:sz w:val="24"/>
        </w:rPr>
      </w:pPr>
      <w:r>
        <w:rPr>
          <w:rFonts w:hint="eastAsia" w:hAnsi="宋体"/>
          <w:sz w:val="24"/>
        </w:rPr>
        <w:t>本项目南侧为靠近长江航道一侧，评价范围分布有2处声环境敏感点（</w:t>
      </w:r>
      <w:r>
        <w:rPr>
          <w:rFonts w:hint="eastAsia"/>
          <w:kern w:val="0"/>
          <w:sz w:val="24"/>
        </w:rPr>
        <w:t>桂溪湖村、垭子山村</w:t>
      </w:r>
      <w:r>
        <w:rPr>
          <w:rFonts w:hint="eastAsia" w:hAnsi="宋体"/>
          <w:sz w:val="24"/>
        </w:rPr>
        <w:t>），因此，选取北、西、东侧场界、桂溪湖村、垭子山村预测噪声值</w:t>
      </w:r>
      <w:r>
        <w:rPr>
          <w:rFonts w:hAnsi="宋体"/>
          <w:sz w:val="24"/>
        </w:rPr>
        <w:t>。</w:t>
      </w:r>
    </w:p>
    <w:p>
      <w:pPr>
        <w:spacing w:line="360" w:lineRule="auto"/>
        <w:ind w:firstLine="482" w:firstLineChars="200"/>
        <w:rPr>
          <w:rFonts w:hAnsi="宋体"/>
          <w:sz w:val="24"/>
        </w:rPr>
      </w:pPr>
      <w:r>
        <w:rPr>
          <w:rFonts w:hint="eastAsia" w:hAnsi="宋体"/>
          <w:b/>
          <w:sz w:val="24"/>
        </w:rPr>
        <w:t>（2）预测计算作业机械数量取值</w:t>
      </w:r>
    </w:p>
    <w:p>
      <w:pPr>
        <w:spacing w:line="360" w:lineRule="auto"/>
        <w:ind w:firstLine="480" w:firstLineChars="200"/>
        <w:rPr>
          <w:rFonts w:hAnsi="宋体"/>
          <w:sz w:val="24"/>
        </w:rPr>
      </w:pPr>
      <w:r>
        <w:rPr>
          <w:rFonts w:hAnsi="宋体"/>
          <w:sz w:val="24"/>
        </w:rPr>
        <w:t>码头作业存在间歇性和作业机械流动性等特点，因而给噪声预测带来一定的困难。根据港区总平面布置</w:t>
      </w:r>
      <w:r>
        <w:rPr>
          <w:rFonts w:hint="eastAsia" w:hAnsi="宋体"/>
          <w:sz w:val="24"/>
        </w:rPr>
        <w:t>情况，</w:t>
      </w:r>
      <w:r>
        <w:rPr>
          <w:rFonts w:hAnsi="宋体"/>
          <w:sz w:val="24"/>
        </w:rPr>
        <w:t>为最大程度反映港区机械噪声带来的影响，</w:t>
      </w:r>
      <w:r>
        <w:rPr>
          <w:rFonts w:hint="eastAsia" w:hAnsi="宋体"/>
          <w:sz w:val="24"/>
        </w:rPr>
        <w:t>结合泊位及装卸机械利用情况，</w:t>
      </w:r>
      <w:r>
        <w:rPr>
          <w:rFonts w:hAnsi="宋体"/>
          <w:sz w:val="24"/>
        </w:rPr>
        <w:t>选择</w:t>
      </w:r>
      <w:r>
        <w:rPr>
          <w:rFonts w:hint="eastAsia" w:hAnsi="宋体"/>
          <w:sz w:val="24"/>
        </w:rPr>
        <w:t>码头前沿泊位及后方堆场、仓库机械</w:t>
      </w:r>
      <w:r>
        <w:rPr>
          <w:rFonts w:hAnsi="宋体"/>
          <w:sz w:val="24"/>
        </w:rPr>
        <w:t>同时作业的工况</w:t>
      </w:r>
      <w:r>
        <w:rPr>
          <w:rFonts w:hint="eastAsia" w:hAnsi="宋体"/>
          <w:sz w:val="24"/>
        </w:rPr>
        <w:t>预测</w:t>
      </w:r>
      <w:r>
        <w:rPr>
          <w:rFonts w:hAnsi="宋体"/>
          <w:sz w:val="24"/>
        </w:rPr>
        <w:t>。</w:t>
      </w:r>
    </w:p>
    <w:p>
      <w:pPr>
        <w:spacing w:line="360" w:lineRule="auto"/>
        <w:ind w:firstLine="482" w:firstLineChars="200"/>
        <w:rPr>
          <w:rFonts w:hAnsi="宋体"/>
          <w:b/>
          <w:sz w:val="24"/>
        </w:rPr>
      </w:pPr>
      <w:r>
        <w:rPr>
          <w:rFonts w:hint="eastAsia" w:hAnsi="宋体"/>
          <w:b/>
          <w:sz w:val="24"/>
        </w:rPr>
        <w:t>（3）敏感点噪声预测条件</w:t>
      </w:r>
    </w:p>
    <w:p>
      <w:pPr>
        <w:spacing w:line="360" w:lineRule="auto"/>
        <w:ind w:firstLine="480" w:firstLineChars="200"/>
        <w:rPr>
          <w:rFonts w:hAnsi="宋体"/>
          <w:b/>
        </w:rPr>
      </w:pPr>
      <w:r>
        <w:rPr>
          <w:rFonts w:hint="eastAsia" w:hAnsi="宋体"/>
          <w:sz w:val="24"/>
        </w:rPr>
        <w:t>垭子山村同时受本项目机械噪声及318国道交通噪声影响，318国道车流量见表2.6-1，</w:t>
      </w:r>
      <w:r>
        <w:rPr>
          <w:rFonts w:hint="eastAsia"/>
          <w:sz w:val="24"/>
        </w:rPr>
        <w:t>路基21.5m，设计行车速度80km/h，双向4 车道，沥青混凝土路面。</w:t>
      </w:r>
    </w:p>
    <w:p>
      <w:pPr>
        <w:pStyle w:val="6"/>
        <w:tabs>
          <w:tab w:val="left" w:pos="1006"/>
        </w:tabs>
        <w:spacing w:beforeLines="0" w:afterLines="0"/>
        <w:ind w:left="0" w:firstLine="0"/>
      </w:pPr>
      <w:r>
        <w:rPr>
          <w:rFonts w:hint="eastAsia"/>
        </w:rPr>
        <w:t>环境噪声预测结果与评价</w:t>
      </w:r>
    </w:p>
    <w:p>
      <w:pPr>
        <w:spacing w:line="360" w:lineRule="auto"/>
        <w:ind w:firstLine="422" w:firstLineChars="200"/>
        <w:rPr>
          <w:rFonts w:hAnsi="宋体"/>
          <w:b/>
        </w:rPr>
      </w:pPr>
      <w:r>
        <w:rPr>
          <w:rFonts w:hint="eastAsia" w:hAnsi="宋体"/>
          <w:b/>
        </w:rPr>
        <w:t>1、厂界噪声预测结果</w:t>
      </w:r>
    </w:p>
    <w:p>
      <w:pPr>
        <w:spacing w:line="360" w:lineRule="auto"/>
        <w:ind w:firstLine="480" w:firstLineChars="200"/>
        <w:rPr>
          <w:rFonts w:hAnsi="宋体"/>
          <w:sz w:val="24"/>
        </w:rPr>
      </w:pPr>
      <w:r>
        <w:rPr>
          <w:rFonts w:hint="eastAsia" w:hAnsi="宋体"/>
          <w:sz w:val="24"/>
        </w:rPr>
        <w:t>项目营运期厂界噪声环境影响预测结果见表6.2-2。</w:t>
      </w:r>
    </w:p>
    <w:p>
      <w:pPr>
        <w:jc w:val="center"/>
        <w:rPr>
          <w:b/>
        </w:rPr>
      </w:pPr>
      <w:r>
        <w:rPr>
          <w:b/>
        </w:rPr>
        <w:t>表</w:t>
      </w:r>
      <w:r>
        <w:rPr>
          <w:rFonts w:hint="eastAsia"/>
          <w:b/>
        </w:rPr>
        <w:t>6.2-2厂界</w:t>
      </w:r>
      <w:r>
        <w:rPr>
          <w:b/>
        </w:rPr>
        <w:t>噪声预测结果</w:t>
      </w:r>
    </w:p>
    <w:tbl>
      <w:tblPr>
        <w:tblStyle w:val="104"/>
        <w:tblW w:w="8289" w:type="dxa"/>
        <w:jc w:val="center"/>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521"/>
        <w:gridCol w:w="1020"/>
        <w:gridCol w:w="973"/>
        <w:gridCol w:w="652"/>
        <w:gridCol w:w="663"/>
        <w:gridCol w:w="817"/>
        <w:gridCol w:w="649"/>
        <w:gridCol w:w="603"/>
        <w:gridCol w:w="649"/>
        <w:gridCol w:w="74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616" w:hRule="atLeast"/>
          <w:jc w:val="center"/>
        </w:trPr>
        <w:tc>
          <w:tcPr>
            <w:tcW w:w="1521" w:type="dxa"/>
            <w:vMerge w:val="restart"/>
            <w:shd w:val="clear" w:color="auto" w:fill="auto"/>
            <w:vAlign w:val="center"/>
          </w:tcPr>
          <w:p>
            <w:pPr>
              <w:adjustRightInd w:val="0"/>
              <w:snapToGrid w:val="0"/>
              <w:jc w:val="center"/>
              <w:rPr>
                <w:szCs w:val="21"/>
              </w:rPr>
            </w:pPr>
            <w:r>
              <w:rPr>
                <w:szCs w:val="21"/>
              </w:rPr>
              <w:t>预测点</w:t>
            </w:r>
          </w:p>
        </w:tc>
        <w:tc>
          <w:tcPr>
            <w:tcW w:w="1020" w:type="dxa"/>
            <w:vMerge w:val="restart"/>
            <w:shd w:val="clear" w:color="auto" w:fill="auto"/>
            <w:vAlign w:val="center"/>
          </w:tcPr>
          <w:p>
            <w:pPr>
              <w:adjustRightInd w:val="0"/>
              <w:snapToGrid w:val="0"/>
              <w:jc w:val="center"/>
              <w:rPr>
                <w:szCs w:val="21"/>
              </w:rPr>
            </w:pPr>
            <w:r>
              <w:rPr>
                <w:szCs w:val="21"/>
              </w:rPr>
              <w:t>与声源最近距离(m)</w:t>
            </w:r>
          </w:p>
        </w:tc>
        <w:tc>
          <w:tcPr>
            <w:tcW w:w="973" w:type="dxa"/>
            <w:vMerge w:val="restart"/>
            <w:shd w:val="clear" w:color="auto" w:fill="auto"/>
            <w:vAlign w:val="center"/>
          </w:tcPr>
          <w:p>
            <w:pPr>
              <w:adjustRightInd w:val="0"/>
              <w:snapToGrid w:val="0"/>
              <w:ind w:left="-55" w:leftChars="-26" w:right="-55" w:rightChars="-26"/>
              <w:jc w:val="center"/>
              <w:rPr>
                <w:szCs w:val="21"/>
              </w:rPr>
            </w:pPr>
            <w:r>
              <w:rPr>
                <w:szCs w:val="21"/>
              </w:rPr>
              <w:t>多台机械贡献值[dB(A)]</w:t>
            </w:r>
          </w:p>
        </w:tc>
        <w:tc>
          <w:tcPr>
            <w:tcW w:w="1315" w:type="dxa"/>
            <w:gridSpan w:val="2"/>
            <w:shd w:val="clear" w:color="auto" w:fill="auto"/>
            <w:vAlign w:val="center"/>
          </w:tcPr>
          <w:p>
            <w:pPr>
              <w:adjustRightInd w:val="0"/>
              <w:snapToGrid w:val="0"/>
              <w:jc w:val="center"/>
              <w:rPr>
                <w:szCs w:val="21"/>
              </w:rPr>
            </w:pPr>
            <w:r>
              <w:rPr>
                <w:szCs w:val="21"/>
              </w:rPr>
              <w:t>背景</w:t>
            </w:r>
          </w:p>
          <w:p>
            <w:pPr>
              <w:adjustRightInd w:val="0"/>
              <w:snapToGrid w:val="0"/>
              <w:jc w:val="center"/>
              <w:rPr>
                <w:szCs w:val="21"/>
              </w:rPr>
            </w:pPr>
            <w:r>
              <w:rPr>
                <w:szCs w:val="21"/>
              </w:rPr>
              <w:t>[dB(A)]</w:t>
            </w:r>
          </w:p>
        </w:tc>
        <w:tc>
          <w:tcPr>
            <w:tcW w:w="1466" w:type="dxa"/>
            <w:gridSpan w:val="2"/>
            <w:shd w:val="clear" w:color="auto" w:fill="auto"/>
            <w:vAlign w:val="center"/>
          </w:tcPr>
          <w:p>
            <w:pPr>
              <w:adjustRightInd w:val="0"/>
              <w:snapToGrid w:val="0"/>
              <w:jc w:val="center"/>
              <w:rPr>
                <w:szCs w:val="21"/>
              </w:rPr>
            </w:pPr>
            <w:r>
              <w:rPr>
                <w:szCs w:val="21"/>
              </w:rPr>
              <w:t>预测值[dB(A)]</w:t>
            </w:r>
          </w:p>
        </w:tc>
        <w:tc>
          <w:tcPr>
            <w:tcW w:w="603" w:type="dxa"/>
            <w:vMerge w:val="restart"/>
            <w:shd w:val="clear" w:color="auto" w:fill="auto"/>
            <w:vAlign w:val="center"/>
          </w:tcPr>
          <w:p>
            <w:pPr>
              <w:adjustRightInd w:val="0"/>
              <w:snapToGrid w:val="0"/>
              <w:ind w:left="-55" w:leftChars="-26" w:right="-55" w:rightChars="-26"/>
              <w:jc w:val="center"/>
              <w:rPr>
                <w:szCs w:val="21"/>
              </w:rPr>
            </w:pPr>
            <w:r>
              <w:rPr>
                <w:szCs w:val="21"/>
              </w:rPr>
              <w:t>评价标准</w:t>
            </w:r>
          </w:p>
        </w:tc>
        <w:tc>
          <w:tcPr>
            <w:tcW w:w="1391" w:type="dxa"/>
            <w:gridSpan w:val="2"/>
            <w:shd w:val="clear" w:color="auto" w:fill="auto"/>
            <w:vAlign w:val="center"/>
          </w:tcPr>
          <w:p>
            <w:pPr>
              <w:adjustRightInd w:val="0"/>
              <w:snapToGrid w:val="0"/>
              <w:jc w:val="center"/>
              <w:rPr>
                <w:szCs w:val="21"/>
              </w:rPr>
            </w:pPr>
            <w:r>
              <w:rPr>
                <w:szCs w:val="21"/>
              </w:rPr>
              <w:t>超标情况</w:t>
            </w:r>
          </w:p>
          <w:p>
            <w:pPr>
              <w:adjustRightInd w:val="0"/>
              <w:snapToGrid w:val="0"/>
              <w:jc w:val="center"/>
              <w:rPr>
                <w:szCs w:val="21"/>
              </w:rPr>
            </w:pPr>
            <w:r>
              <w:rPr>
                <w:szCs w:val="21"/>
              </w:rPr>
              <w:t>[dB(A)]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9" w:hRule="atLeast"/>
          <w:jc w:val="center"/>
        </w:trPr>
        <w:tc>
          <w:tcPr>
            <w:tcW w:w="1521" w:type="dxa"/>
            <w:vMerge w:val="continue"/>
            <w:shd w:val="clear" w:color="auto" w:fill="auto"/>
            <w:vAlign w:val="center"/>
          </w:tcPr>
          <w:p>
            <w:pPr>
              <w:adjustRightInd w:val="0"/>
              <w:snapToGrid w:val="0"/>
              <w:jc w:val="center"/>
              <w:rPr>
                <w:szCs w:val="21"/>
              </w:rPr>
            </w:pPr>
          </w:p>
        </w:tc>
        <w:tc>
          <w:tcPr>
            <w:tcW w:w="1020" w:type="dxa"/>
            <w:vMerge w:val="continue"/>
            <w:shd w:val="clear" w:color="auto" w:fill="auto"/>
            <w:vAlign w:val="center"/>
          </w:tcPr>
          <w:p>
            <w:pPr>
              <w:adjustRightInd w:val="0"/>
              <w:snapToGrid w:val="0"/>
              <w:jc w:val="center"/>
              <w:rPr>
                <w:szCs w:val="21"/>
              </w:rPr>
            </w:pPr>
          </w:p>
        </w:tc>
        <w:tc>
          <w:tcPr>
            <w:tcW w:w="973" w:type="dxa"/>
            <w:vMerge w:val="continue"/>
            <w:shd w:val="clear" w:color="auto" w:fill="auto"/>
            <w:vAlign w:val="center"/>
          </w:tcPr>
          <w:p>
            <w:pPr>
              <w:adjustRightInd w:val="0"/>
              <w:snapToGrid w:val="0"/>
              <w:jc w:val="center"/>
              <w:rPr>
                <w:szCs w:val="21"/>
              </w:rPr>
            </w:pPr>
          </w:p>
        </w:tc>
        <w:tc>
          <w:tcPr>
            <w:tcW w:w="652" w:type="dxa"/>
            <w:shd w:val="clear" w:color="auto" w:fill="auto"/>
            <w:vAlign w:val="center"/>
          </w:tcPr>
          <w:p>
            <w:pPr>
              <w:adjustRightInd w:val="0"/>
              <w:snapToGrid w:val="0"/>
              <w:jc w:val="center"/>
              <w:rPr>
                <w:szCs w:val="21"/>
              </w:rPr>
            </w:pPr>
            <w:r>
              <w:rPr>
                <w:szCs w:val="21"/>
              </w:rPr>
              <w:t>昼间</w:t>
            </w:r>
          </w:p>
        </w:tc>
        <w:tc>
          <w:tcPr>
            <w:tcW w:w="663" w:type="dxa"/>
            <w:shd w:val="clear" w:color="auto" w:fill="auto"/>
            <w:vAlign w:val="center"/>
          </w:tcPr>
          <w:p>
            <w:pPr>
              <w:adjustRightInd w:val="0"/>
              <w:snapToGrid w:val="0"/>
              <w:jc w:val="center"/>
              <w:rPr>
                <w:szCs w:val="21"/>
              </w:rPr>
            </w:pPr>
            <w:r>
              <w:rPr>
                <w:szCs w:val="21"/>
              </w:rPr>
              <w:t>夜间</w:t>
            </w:r>
          </w:p>
        </w:tc>
        <w:tc>
          <w:tcPr>
            <w:tcW w:w="817" w:type="dxa"/>
            <w:shd w:val="clear" w:color="auto" w:fill="auto"/>
            <w:vAlign w:val="center"/>
          </w:tcPr>
          <w:p>
            <w:pPr>
              <w:adjustRightInd w:val="0"/>
              <w:snapToGrid w:val="0"/>
              <w:jc w:val="center"/>
              <w:rPr>
                <w:szCs w:val="21"/>
              </w:rPr>
            </w:pPr>
            <w:r>
              <w:rPr>
                <w:szCs w:val="21"/>
              </w:rPr>
              <w:t>昼间</w:t>
            </w:r>
          </w:p>
        </w:tc>
        <w:tc>
          <w:tcPr>
            <w:tcW w:w="649" w:type="dxa"/>
            <w:shd w:val="clear" w:color="auto" w:fill="auto"/>
            <w:vAlign w:val="center"/>
          </w:tcPr>
          <w:p>
            <w:pPr>
              <w:adjustRightInd w:val="0"/>
              <w:snapToGrid w:val="0"/>
              <w:jc w:val="center"/>
              <w:rPr>
                <w:szCs w:val="21"/>
              </w:rPr>
            </w:pPr>
            <w:r>
              <w:rPr>
                <w:szCs w:val="21"/>
              </w:rPr>
              <w:t>夜间</w:t>
            </w:r>
          </w:p>
        </w:tc>
        <w:tc>
          <w:tcPr>
            <w:tcW w:w="603" w:type="dxa"/>
            <w:vMerge w:val="continue"/>
            <w:shd w:val="clear" w:color="auto" w:fill="auto"/>
            <w:vAlign w:val="center"/>
          </w:tcPr>
          <w:p>
            <w:pPr>
              <w:adjustRightInd w:val="0"/>
              <w:snapToGrid w:val="0"/>
              <w:jc w:val="center"/>
              <w:rPr>
                <w:szCs w:val="21"/>
              </w:rPr>
            </w:pPr>
          </w:p>
        </w:tc>
        <w:tc>
          <w:tcPr>
            <w:tcW w:w="649" w:type="dxa"/>
            <w:shd w:val="clear" w:color="auto" w:fill="auto"/>
            <w:vAlign w:val="center"/>
          </w:tcPr>
          <w:p>
            <w:pPr>
              <w:adjustRightInd w:val="0"/>
              <w:snapToGrid w:val="0"/>
              <w:jc w:val="center"/>
              <w:rPr>
                <w:szCs w:val="21"/>
              </w:rPr>
            </w:pPr>
            <w:r>
              <w:rPr>
                <w:szCs w:val="21"/>
              </w:rPr>
              <w:t>昼间</w:t>
            </w:r>
          </w:p>
        </w:tc>
        <w:tc>
          <w:tcPr>
            <w:tcW w:w="742" w:type="dxa"/>
            <w:shd w:val="clear" w:color="auto" w:fill="auto"/>
            <w:vAlign w:val="center"/>
          </w:tcPr>
          <w:p>
            <w:pPr>
              <w:adjustRightInd w:val="0"/>
              <w:snapToGrid w:val="0"/>
              <w:jc w:val="center"/>
              <w:rPr>
                <w:szCs w:val="21"/>
              </w:rPr>
            </w:pPr>
            <w:r>
              <w:rPr>
                <w:szCs w:val="21"/>
              </w:rPr>
              <w:t>夜间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22" w:hRule="atLeast"/>
          <w:jc w:val="center"/>
        </w:trPr>
        <w:tc>
          <w:tcPr>
            <w:tcW w:w="1521" w:type="dxa"/>
            <w:shd w:val="clear" w:color="auto" w:fill="auto"/>
            <w:vAlign w:val="center"/>
          </w:tcPr>
          <w:p>
            <w:pPr>
              <w:pStyle w:val="36"/>
              <w:snapToGrid w:val="0"/>
              <w:spacing w:after="0" w:line="240" w:lineRule="auto"/>
              <w:ind w:left="0" w:leftChars="0" w:firstLine="0" w:firstLineChars="0"/>
              <w:jc w:val="center"/>
              <w:rPr>
                <w:snapToGrid w:val="0"/>
                <w:sz w:val="21"/>
                <w:szCs w:val="21"/>
              </w:rPr>
            </w:pPr>
            <w:r>
              <w:rPr>
                <w:sz w:val="21"/>
                <w:szCs w:val="21"/>
              </w:rPr>
              <w:t>北侧</w:t>
            </w:r>
            <w:r>
              <w:rPr>
                <w:snapToGrid w:val="0"/>
                <w:sz w:val="21"/>
                <w:szCs w:val="21"/>
              </w:rPr>
              <w:t>厂界</w:t>
            </w:r>
          </w:p>
        </w:tc>
        <w:tc>
          <w:tcPr>
            <w:tcW w:w="1020" w:type="dxa"/>
            <w:shd w:val="clear" w:color="auto" w:fill="auto"/>
            <w:vAlign w:val="center"/>
          </w:tcPr>
          <w:p>
            <w:pPr>
              <w:adjustRightInd w:val="0"/>
              <w:snapToGrid w:val="0"/>
              <w:jc w:val="center"/>
              <w:rPr>
                <w:szCs w:val="21"/>
              </w:rPr>
            </w:pPr>
            <w:r>
              <w:rPr>
                <w:rFonts w:hint="eastAsia"/>
                <w:szCs w:val="21"/>
              </w:rPr>
              <w:t>35</w:t>
            </w:r>
          </w:p>
        </w:tc>
        <w:tc>
          <w:tcPr>
            <w:tcW w:w="973" w:type="dxa"/>
            <w:shd w:val="clear" w:color="auto" w:fill="auto"/>
            <w:vAlign w:val="center"/>
          </w:tcPr>
          <w:p>
            <w:pPr>
              <w:widowControl/>
              <w:jc w:val="center"/>
              <w:rPr>
                <w:kern w:val="0"/>
                <w:szCs w:val="21"/>
              </w:rPr>
            </w:pPr>
            <w:r>
              <w:rPr>
                <w:rFonts w:hint="eastAsia"/>
                <w:kern w:val="0"/>
                <w:szCs w:val="21"/>
              </w:rPr>
              <w:t>43.5</w:t>
            </w:r>
          </w:p>
        </w:tc>
        <w:tc>
          <w:tcPr>
            <w:tcW w:w="652" w:type="dxa"/>
            <w:shd w:val="clear" w:color="auto" w:fill="auto"/>
            <w:vAlign w:val="center"/>
          </w:tcPr>
          <w:p>
            <w:pPr>
              <w:jc w:val="center"/>
              <w:rPr>
                <w:szCs w:val="21"/>
              </w:rPr>
            </w:pPr>
            <w:r>
              <w:rPr>
                <w:szCs w:val="21"/>
              </w:rPr>
              <w:t>—</w:t>
            </w:r>
          </w:p>
        </w:tc>
        <w:tc>
          <w:tcPr>
            <w:tcW w:w="663" w:type="dxa"/>
            <w:shd w:val="clear" w:color="auto" w:fill="auto"/>
            <w:vAlign w:val="center"/>
          </w:tcPr>
          <w:p>
            <w:pPr>
              <w:jc w:val="center"/>
              <w:rPr>
                <w:szCs w:val="21"/>
              </w:rPr>
            </w:pPr>
            <w:r>
              <w:rPr>
                <w:szCs w:val="21"/>
              </w:rPr>
              <w:t>—</w:t>
            </w:r>
          </w:p>
        </w:tc>
        <w:tc>
          <w:tcPr>
            <w:tcW w:w="817" w:type="dxa"/>
            <w:shd w:val="clear" w:color="auto" w:fill="auto"/>
            <w:vAlign w:val="center"/>
          </w:tcPr>
          <w:p>
            <w:pPr>
              <w:widowControl/>
              <w:jc w:val="center"/>
              <w:rPr>
                <w:kern w:val="0"/>
                <w:szCs w:val="21"/>
              </w:rPr>
            </w:pPr>
            <w:r>
              <w:rPr>
                <w:rFonts w:hint="eastAsia"/>
                <w:kern w:val="0"/>
                <w:szCs w:val="21"/>
              </w:rPr>
              <w:t>43.5</w:t>
            </w:r>
          </w:p>
        </w:tc>
        <w:tc>
          <w:tcPr>
            <w:tcW w:w="649" w:type="dxa"/>
            <w:shd w:val="clear" w:color="auto" w:fill="auto"/>
            <w:vAlign w:val="center"/>
          </w:tcPr>
          <w:p>
            <w:pPr>
              <w:widowControl/>
              <w:jc w:val="center"/>
              <w:rPr>
                <w:kern w:val="0"/>
                <w:szCs w:val="21"/>
              </w:rPr>
            </w:pPr>
            <w:r>
              <w:rPr>
                <w:rFonts w:hint="eastAsia"/>
                <w:kern w:val="0"/>
                <w:szCs w:val="21"/>
              </w:rPr>
              <w:t>43.5</w:t>
            </w:r>
          </w:p>
        </w:tc>
        <w:tc>
          <w:tcPr>
            <w:tcW w:w="603" w:type="dxa"/>
            <w:shd w:val="clear" w:color="auto" w:fill="auto"/>
            <w:vAlign w:val="center"/>
          </w:tcPr>
          <w:p>
            <w:pPr>
              <w:adjustRightInd w:val="0"/>
              <w:snapToGrid w:val="0"/>
              <w:jc w:val="center"/>
              <w:rPr>
                <w:szCs w:val="21"/>
              </w:rPr>
            </w:pPr>
            <w:r>
              <w:rPr>
                <w:rFonts w:hint="eastAsia"/>
                <w:szCs w:val="21"/>
              </w:rPr>
              <w:t>4</w:t>
            </w:r>
          </w:p>
        </w:tc>
        <w:tc>
          <w:tcPr>
            <w:tcW w:w="649" w:type="dxa"/>
            <w:shd w:val="clear" w:color="auto" w:fill="auto"/>
            <w:vAlign w:val="center"/>
          </w:tcPr>
          <w:p>
            <w:pPr>
              <w:rPr>
                <w:szCs w:val="21"/>
              </w:rPr>
            </w:pPr>
            <w:r>
              <w:rPr>
                <w:szCs w:val="21"/>
              </w:rPr>
              <w:t>达标</w:t>
            </w:r>
          </w:p>
        </w:tc>
        <w:tc>
          <w:tcPr>
            <w:tcW w:w="742" w:type="dxa"/>
            <w:shd w:val="clear" w:color="auto" w:fill="auto"/>
            <w:vAlign w:val="center"/>
          </w:tcPr>
          <w:p>
            <w:pPr>
              <w:jc w:val="center"/>
              <w:rPr>
                <w:szCs w:val="21"/>
              </w:rPr>
            </w:pPr>
            <w:r>
              <w:rPr>
                <w:szCs w:val="21"/>
              </w:rPr>
              <w:t>达标</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22" w:hRule="atLeast"/>
          <w:jc w:val="center"/>
        </w:trPr>
        <w:tc>
          <w:tcPr>
            <w:tcW w:w="1521" w:type="dxa"/>
            <w:shd w:val="clear" w:color="auto" w:fill="auto"/>
            <w:vAlign w:val="center"/>
          </w:tcPr>
          <w:p>
            <w:pPr>
              <w:pStyle w:val="36"/>
              <w:snapToGrid w:val="0"/>
              <w:spacing w:after="0" w:line="240" w:lineRule="auto"/>
              <w:ind w:left="0" w:leftChars="0" w:firstLine="0" w:firstLineChars="0"/>
              <w:jc w:val="center"/>
              <w:rPr>
                <w:snapToGrid w:val="0"/>
                <w:sz w:val="21"/>
                <w:szCs w:val="21"/>
              </w:rPr>
            </w:pPr>
            <w:r>
              <w:rPr>
                <w:sz w:val="21"/>
                <w:szCs w:val="21"/>
              </w:rPr>
              <w:t>西侧</w:t>
            </w:r>
            <w:r>
              <w:rPr>
                <w:snapToGrid w:val="0"/>
                <w:sz w:val="21"/>
                <w:szCs w:val="21"/>
              </w:rPr>
              <w:t>厂界</w:t>
            </w:r>
          </w:p>
        </w:tc>
        <w:tc>
          <w:tcPr>
            <w:tcW w:w="1020" w:type="dxa"/>
            <w:shd w:val="clear" w:color="auto" w:fill="auto"/>
            <w:vAlign w:val="center"/>
          </w:tcPr>
          <w:p>
            <w:pPr>
              <w:adjustRightInd w:val="0"/>
              <w:snapToGrid w:val="0"/>
              <w:jc w:val="center"/>
              <w:rPr>
                <w:szCs w:val="21"/>
              </w:rPr>
            </w:pPr>
            <w:r>
              <w:rPr>
                <w:rFonts w:hint="eastAsia"/>
                <w:szCs w:val="21"/>
              </w:rPr>
              <w:t>30</w:t>
            </w:r>
          </w:p>
        </w:tc>
        <w:tc>
          <w:tcPr>
            <w:tcW w:w="973" w:type="dxa"/>
            <w:shd w:val="clear" w:color="auto" w:fill="auto"/>
            <w:vAlign w:val="center"/>
          </w:tcPr>
          <w:p>
            <w:pPr>
              <w:widowControl/>
              <w:jc w:val="center"/>
              <w:rPr>
                <w:kern w:val="0"/>
                <w:szCs w:val="21"/>
              </w:rPr>
            </w:pPr>
            <w:r>
              <w:rPr>
                <w:rFonts w:hint="eastAsia"/>
                <w:kern w:val="0"/>
                <w:szCs w:val="21"/>
              </w:rPr>
              <w:t>41.0</w:t>
            </w:r>
          </w:p>
        </w:tc>
        <w:tc>
          <w:tcPr>
            <w:tcW w:w="652" w:type="dxa"/>
            <w:shd w:val="clear" w:color="auto" w:fill="auto"/>
            <w:vAlign w:val="center"/>
          </w:tcPr>
          <w:p>
            <w:pPr>
              <w:jc w:val="center"/>
              <w:rPr>
                <w:szCs w:val="21"/>
              </w:rPr>
            </w:pPr>
            <w:r>
              <w:rPr>
                <w:szCs w:val="21"/>
              </w:rPr>
              <w:t>—</w:t>
            </w:r>
          </w:p>
        </w:tc>
        <w:tc>
          <w:tcPr>
            <w:tcW w:w="663" w:type="dxa"/>
            <w:shd w:val="clear" w:color="auto" w:fill="auto"/>
            <w:vAlign w:val="center"/>
          </w:tcPr>
          <w:p>
            <w:pPr>
              <w:jc w:val="center"/>
              <w:rPr>
                <w:szCs w:val="21"/>
              </w:rPr>
            </w:pPr>
            <w:r>
              <w:rPr>
                <w:szCs w:val="21"/>
              </w:rPr>
              <w:t>—</w:t>
            </w:r>
          </w:p>
        </w:tc>
        <w:tc>
          <w:tcPr>
            <w:tcW w:w="817" w:type="dxa"/>
            <w:shd w:val="clear" w:color="auto" w:fill="auto"/>
            <w:vAlign w:val="center"/>
          </w:tcPr>
          <w:p>
            <w:pPr>
              <w:widowControl/>
              <w:jc w:val="center"/>
              <w:rPr>
                <w:kern w:val="0"/>
                <w:szCs w:val="21"/>
              </w:rPr>
            </w:pPr>
            <w:r>
              <w:rPr>
                <w:rFonts w:hint="eastAsia"/>
                <w:kern w:val="0"/>
                <w:szCs w:val="21"/>
              </w:rPr>
              <w:t>41.0</w:t>
            </w:r>
          </w:p>
        </w:tc>
        <w:tc>
          <w:tcPr>
            <w:tcW w:w="649" w:type="dxa"/>
            <w:shd w:val="clear" w:color="auto" w:fill="auto"/>
            <w:vAlign w:val="center"/>
          </w:tcPr>
          <w:p>
            <w:pPr>
              <w:widowControl/>
              <w:jc w:val="center"/>
              <w:rPr>
                <w:kern w:val="0"/>
                <w:szCs w:val="21"/>
              </w:rPr>
            </w:pPr>
            <w:r>
              <w:rPr>
                <w:rFonts w:hint="eastAsia"/>
                <w:kern w:val="0"/>
                <w:szCs w:val="21"/>
              </w:rPr>
              <w:t>41.0</w:t>
            </w:r>
          </w:p>
        </w:tc>
        <w:tc>
          <w:tcPr>
            <w:tcW w:w="603" w:type="dxa"/>
            <w:shd w:val="clear" w:color="auto" w:fill="auto"/>
            <w:vAlign w:val="center"/>
          </w:tcPr>
          <w:p>
            <w:pPr>
              <w:adjustRightInd w:val="0"/>
              <w:snapToGrid w:val="0"/>
              <w:jc w:val="center"/>
              <w:rPr>
                <w:szCs w:val="21"/>
              </w:rPr>
            </w:pPr>
            <w:r>
              <w:rPr>
                <w:rFonts w:hint="eastAsia"/>
                <w:szCs w:val="21"/>
              </w:rPr>
              <w:t>3</w:t>
            </w:r>
          </w:p>
        </w:tc>
        <w:tc>
          <w:tcPr>
            <w:tcW w:w="649" w:type="dxa"/>
            <w:shd w:val="clear" w:color="auto" w:fill="auto"/>
            <w:vAlign w:val="center"/>
          </w:tcPr>
          <w:p>
            <w:pPr>
              <w:adjustRightInd w:val="0"/>
              <w:snapToGrid w:val="0"/>
              <w:jc w:val="center"/>
              <w:rPr>
                <w:szCs w:val="21"/>
              </w:rPr>
            </w:pPr>
            <w:r>
              <w:rPr>
                <w:szCs w:val="21"/>
              </w:rPr>
              <w:t>达标</w:t>
            </w:r>
          </w:p>
        </w:tc>
        <w:tc>
          <w:tcPr>
            <w:tcW w:w="742" w:type="dxa"/>
            <w:shd w:val="clear" w:color="auto" w:fill="auto"/>
            <w:vAlign w:val="center"/>
          </w:tcPr>
          <w:p>
            <w:pPr>
              <w:jc w:val="center"/>
              <w:rPr>
                <w:szCs w:val="21"/>
              </w:rPr>
            </w:pPr>
            <w:r>
              <w:rPr>
                <w:szCs w:val="21"/>
              </w:rPr>
              <w:t>达标</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22" w:hRule="atLeast"/>
          <w:jc w:val="center"/>
        </w:trPr>
        <w:tc>
          <w:tcPr>
            <w:tcW w:w="1521" w:type="dxa"/>
            <w:shd w:val="clear" w:color="auto" w:fill="auto"/>
            <w:vAlign w:val="center"/>
          </w:tcPr>
          <w:p>
            <w:pPr>
              <w:pStyle w:val="36"/>
              <w:snapToGrid w:val="0"/>
              <w:spacing w:after="0" w:line="240" w:lineRule="auto"/>
              <w:ind w:left="0" w:leftChars="0" w:firstLine="0" w:firstLineChars="0"/>
              <w:jc w:val="center"/>
              <w:rPr>
                <w:snapToGrid w:val="0"/>
                <w:sz w:val="21"/>
                <w:szCs w:val="21"/>
              </w:rPr>
            </w:pPr>
            <w:r>
              <w:rPr>
                <w:sz w:val="21"/>
                <w:szCs w:val="21"/>
              </w:rPr>
              <w:t>东</w:t>
            </w:r>
            <w:r>
              <w:rPr>
                <w:snapToGrid w:val="0"/>
                <w:sz w:val="21"/>
                <w:szCs w:val="21"/>
              </w:rPr>
              <w:t>侧厂界</w:t>
            </w:r>
          </w:p>
        </w:tc>
        <w:tc>
          <w:tcPr>
            <w:tcW w:w="1020" w:type="dxa"/>
            <w:shd w:val="clear" w:color="auto" w:fill="auto"/>
            <w:vAlign w:val="center"/>
          </w:tcPr>
          <w:p>
            <w:pPr>
              <w:adjustRightInd w:val="0"/>
              <w:snapToGrid w:val="0"/>
              <w:jc w:val="center"/>
              <w:rPr>
                <w:szCs w:val="21"/>
              </w:rPr>
            </w:pPr>
            <w:r>
              <w:rPr>
                <w:szCs w:val="21"/>
              </w:rPr>
              <w:t>40</w:t>
            </w:r>
          </w:p>
        </w:tc>
        <w:tc>
          <w:tcPr>
            <w:tcW w:w="973" w:type="dxa"/>
            <w:shd w:val="clear" w:color="auto" w:fill="auto"/>
            <w:vAlign w:val="center"/>
          </w:tcPr>
          <w:p>
            <w:pPr>
              <w:widowControl/>
              <w:jc w:val="center"/>
              <w:rPr>
                <w:kern w:val="0"/>
                <w:szCs w:val="21"/>
              </w:rPr>
            </w:pPr>
            <w:r>
              <w:rPr>
                <w:rFonts w:hint="eastAsia"/>
                <w:kern w:val="0"/>
                <w:szCs w:val="21"/>
              </w:rPr>
              <w:t>49.5</w:t>
            </w:r>
          </w:p>
        </w:tc>
        <w:tc>
          <w:tcPr>
            <w:tcW w:w="652" w:type="dxa"/>
            <w:shd w:val="clear" w:color="auto" w:fill="auto"/>
            <w:vAlign w:val="center"/>
          </w:tcPr>
          <w:p>
            <w:pPr>
              <w:jc w:val="center"/>
              <w:rPr>
                <w:szCs w:val="21"/>
              </w:rPr>
            </w:pPr>
            <w:r>
              <w:rPr>
                <w:szCs w:val="21"/>
              </w:rPr>
              <w:t>—</w:t>
            </w:r>
          </w:p>
        </w:tc>
        <w:tc>
          <w:tcPr>
            <w:tcW w:w="663" w:type="dxa"/>
            <w:shd w:val="clear" w:color="auto" w:fill="auto"/>
            <w:vAlign w:val="center"/>
          </w:tcPr>
          <w:p>
            <w:pPr>
              <w:jc w:val="center"/>
              <w:rPr>
                <w:szCs w:val="21"/>
              </w:rPr>
            </w:pPr>
            <w:r>
              <w:rPr>
                <w:szCs w:val="21"/>
              </w:rPr>
              <w:t>—</w:t>
            </w:r>
          </w:p>
        </w:tc>
        <w:tc>
          <w:tcPr>
            <w:tcW w:w="817" w:type="dxa"/>
            <w:shd w:val="clear" w:color="auto" w:fill="auto"/>
            <w:vAlign w:val="center"/>
          </w:tcPr>
          <w:p>
            <w:pPr>
              <w:widowControl/>
              <w:jc w:val="center"/>
              <w:rPr>
                <w:kern w:val="0"/>
                <w:szCs w:val="21"/>
              </w:rPr>
            </w:pPr>
            <w:r>
              <w:rPr>
                <w:rFonts w:hint="eastAsia"/>
                <w:kern w:val="0"/>
                <w:szCs w:val="21"/>
              </w:rPr>
              <w:t>49.5</w:t>
            </w:r>
          </w:p>
        </w:tc>
        <w:tc>
          <w:tcPr>
            <w:tcW w:w="649" w:type="dxa"/>
            <w:shd w:val="clear" w:color="auto" w:fill="auto"/>
            <w:vAlign w:val="center"/>
          </w:tcPr>
          <w:p>
            <w:pPr>
              <w:widowControl/>
              <w:jc w:val="center"/>
              <w:rPr>
                <w:kern w:val="0"/>
                <w:szCs w:val="21"/>
              </w:rPr>
            </w:pPr>
            <w:r>
              <w:rPr>
                <w:rFonts w:hint="eastAsia"/>
                <w:kern w:val="0"/>
                <w:szCs w:val="21"/>
              </w:rPr>
              <w:t>49.5</w:t>
            </w:r>
          </w:p>
        </w:tc>
        <w:tc>
          <w:tcPr>
            <w:tcW w:w="603" w:type="dxa"/>
            <w:shd w:val="clear" w:color="auto" w:fill="auto"/>
            <w:vAlign w:val="center"/>
          </w:tcPr>
          <w:p>
            <w:pPr>
              <w:adjustRightInd w:val="0"/>
              <w:snapToGrid w:val="0"/>
              <w:jc w:val="center"/>
              <w:rPr>
                <w:szCs w:val="21"/>
              </w:rPr>
            </w:pPr>
            <w:r>
              <w:rPr>
                <w:snapToGrid w:val="0"/>
                <w:szCs w:val="21"/>
              </w:rPr>
              <w:t>3</w:t>
            </w:r>
          </w:p>
        </w:tc>
        <w:tc>
          <w:tcPr>
            <w:tcW w:w="649" w:type="dxa"/>
            <w:shd w:val="clear" w:color="auto" w:fill="auto"/>
            <w:vAlign w:val="center"/>
          </w:tcPr>
          <w:p>
            <w:pPr>
              <w:rPr>
                <w:szCs w:val="21"/>
              </w:rPr>
            </w:pPr>
            <w:r>
              <w:rPr>
                <w:szCs w:val="21"/>
              </w:rPr>
              <w:t>达标</w:t>
            </w:r>
          </w:p>
        </w:tc>
        <w:tc>
          <w:tcPr>
            <w:tcW w:w="742" w:type="dxa"/>
            <w:shd w:val="clear" w:color="auto" w:fill="auto"/>
            <w:vAlign w:val="center"/>
          </w:tcPr>
          <w:p>
            <w:pPr>
              <w:jc w:val="center"/>
              <w:rPr>
                <w:szCs w:val="21"/>
              </w:rPr>
            </w:pPr>
            <w:r>
              <w:rPr>
                <w:szCs w:val="21"/>
              </w:rPr>
              <w:t>达标</w:t>
            </w:r>
          </w:p>
        </w:tc>
      </w:tr>
    </w:tbl>
    <w:p>
      <w:pPr>
        <w:spacing w:before="120" w:beforeLines="50" w:line="360" w:lineRule="auto"/>
        <w:ind w:firstLine="482" w:firstLineChars="200"/>
        <w:rPr>
          <w:rFonts w:hAnsi="宋体"/>
          <w:b/>
          <w:sz w:val="24"/>
        </w:rPr>
      </w:pPr>
      <w:r>
        <w:rPr>
          <w:rFonts w:hint="eastAsia" w:hAnsi="宋体"/>
          <w:b/>
          <w:sz w:val="24"/>
        </w:rPr>
        <w:t>2、敏感点预测结果</w:t>
      </w:r>
    </w:p>
    <w:p>
      <w:pPr>
        <w:spacing w:line="360" w:lineRule="auto"/>
        <w:ind w:firstLine="480" w:firstLineChars="200"/>
        <w:rPr>
          <w:rFonts w:hAnsi="宋体"/>
          <w:sz w:val="24"/>
        </w:rPr>
      </w:pPr>
      <w:r>
        <w:rPr>
          <w:rFonts w:hint="eastAsia" w:hAnsi="宋体"/>
          <w:sz w:val="24"/>
        </w:rPr>
        <w:t>评价范围内敏感点垭子山村同时受本项目机械噪声及318国道交通噪声影响；桂溪湖村主要受本项目机械噪声影响。根据《318 国道万城大桥至云池一级公路改扩建工程环境影响评价报告》，白洋镇垭子山村位于K50+680 至终点的新建路段，距318 国道最近距离为60m，预测垭子山村受318国道影响，中期噪声贡献值为昼间59.3dB(A)、夜间56.7dB(A)，该敏感点夜间超标6.8dB(A)，工程拟对该处户居民采取设置通风隔声窗的措施。根据预测，桂溪湖村不超标。</w:t>
      </w:r>
    </w:p>
    <w:p>
      <w:pPr>
        <w:spacing w:line="360" w:lineRule="auto"/>
        <w:jc w:val="center"/>
        <w:rPr>
          <w:b/>
        </w:rPr>
      </w:pPr>
      <w:r>
        <w:rPr>
          <w:b/>
        </w:rPr>
        <w:t>表5.</w:t>
      </w:r>
      <w:r>
        <w:rPr>
          <w:rFonts w:hint="eastAsia"/>
          <w:b/>
        </w:rPr>
        <w:t>6</w:t>
      </w:r>
      <w:r>
        <w:rPr>
          <w:b/>
        </w:rPr>
        <w:t>-</w:t>
      </w:r>
      <w:r>
        <w:rPr>
          <w:rFonts w:hint="eastAsia"/>
          <w:b/>
        </w:rPr>
        <w:t>3</w:t>
      </w:r>
      <w:r>
        <w:rPr>
          <w:b/>
        </w:rPr>
        <w:t xml:space="preserve">  </w:t>
      </w:r>
      <w:r>
        <w:rPr>
          <w:rFonts w:hint="eastAsia"/>
          <w:b/>
        </w:rPr>
        <w:t>敏感点</w:t>
      </w:r>
      <w:r>
        <w:rPr>
          <w:b/>
        </w:rPr>
        <w:t>噪声预测结果</w:t>
      </w:r>
    </w:p>
    <w:tbl>
      <w:tblPr>
        <w:tblStyle w:val="104"/>
        <w:tblW w:w="8336" w:type="dxa"/>
        <w:jc w:val="center"/>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00"/>
        <w:gridCol w:w="993"/>
        <w:gridCol w:w="834"/>
        <w:gridCol w:w="834"/>
        <w:gridCol w:w="652"/>
        <w:gridCol w:w="663"/>
        <w:gridCol w:w="702"/>
        <w:gridCol w:w="709"/>
        <w:gridCol w:w="709"/>
        <w:gridCol w:w="679"/>
        <w:gridCol w:w="66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616" w:hRule="atLeast"/>
          <w:jc w:val="center"/>
        </w:trPr>
        <w:tc>
          <w:tcPr>
            <w:tcW w:w="900" w:type="dxa"/>
            <w:vMerge w:val="restart"/>
            <w:shd w:val="clear" w:color="auto" w:fill="auto"/>
            <w:vAlign w:val="center"/>
          </w:tcPr>
          <w:p>
            <w:pPr>
              <w:adjustRightInd w:val="0"/>
              <w:snapToGrid w:val="0"/>
              <w:jc w:val="center"/>
              <w:rPr>
                <w:szCs w:val="21"/>
              </w:rPr>
            </w:pPr>
            <w:r>
              <w:rPr>
                <w:szCs w:val="21"/>
              </w:rPr>
              <w:t>预测点</w:t>
            </w:r>
          </w:p>
        </w:tc>
        <w:tc>
          <w:tcPr>
            <w:tcW w:w="993" w:type="dxa"/>
            <w:vMerge w:val="restart"/>
            <w:vAlign w:val="center"/>
          </w:tcPr>
          <w:p>
            <w:pPr>
              <w:adjustRightInd w:val="0"/>
              <w:snapToGrid w:val="0"/>
              <w:ind w:left="-55" w:leftChars="-26" w:right="-55" w:rightChars="-26"/>
              <w:jc w:val="center"/>
              <w:rPr>
                <w:szCs w:val="21"/>
              </w:rPr>
            </w:pPr>
            <w:r>
              <w:rPr>
                <w:szCs w:val="21"/>
              </w:rPr>
              <w:t>多台机械贡献值[dB(A)]</w:t>
            </w:r>
          </w:p>
        </w:tc>
        <w:tc>
          <w:tcPr>
            <w:tcW w:w="1668" w:type="dxa"/>
            <w:gridSpan w:val="2"/>
            <w:shd w:val="clear" w:color="auto" w:fill="auto"/>
            <w:vAlign w:val="center"/>
          </w:tcPr>
          <w:p>
            <w:pPr>
              <w:adjustRightInd w:val="0"/>
              <w:snapToGrid w:val="0"/>
              <w:jc w:val="center"/>
              <w:rPr>
                <w:szCs w:val="21"/>
              </w:rPr>
            </w:pPr>
            <w:r>
              <w:rPr>
                <w:szCs w:val="21"/>
              </w:rPr>
              <w:t>318国道噪声贡献值</w:t>
            </w:r>
          </w:p>
        </w:tc>
        <w:tc>
          <w:tcPr>
            <w:tcW w:w="1315" w:type="dxa"/>
            <w:gridSpan w:val="2"/>
            <w:shd w:val="clear" w:color="auto" w:fill="auto"/>
            <w:vAlign w:val="center"/>
          </w:tcPr>
          <w:p>
            <w:pPr>
              <w:adjustRightInd w:val="0"/>
              <w:snapToGrid w:val="0"/>
              <w:jc w:val="center"/>
              <w:rPr>
                <w:szCs w:val="21"/>
              </w:rPr>
            </w:pPr>
            <w:commentRangeStart w:id="0"/>
            <w:r>
              <w:rPr>
                <w:szCs w:val="21"/>
              </w:rPr>
              <w:t>背景值</w:t>
            </w:r>
          </w:p>
          <w:p>
            <w:pPr>
              <w:adjustRightInd w:val="0"/>
              <w:snapToGrid w:val="0"/>
              <w:jc w:val="center"/>
              <w:rPr>
                <w:szCs w:val="21"/>
              </w:rPr>
            </w:pPr>
            <w:r>
              <w:rPr>
                <w:szCs w:val="21"/>
              </w:rPr>
              <w:t>[dB(A)]</w:t>
            </w:r>
            <w:commentRangeEnd w:id="0"/>
            <w:r>
              <w:rPr>
                <w:rStyle w:val="99"/>
              </w:rPr>
              <w:commentReference w:id="0"/>
            </w:r>
          </w:p>
        </w:tc>
        <w:tc>
          <w:tcPr>
            <w:tcW w:w="1411" w:type="dxa"/>
            <w:gridSpan w:val="2"/>
            <w:shd w:val="clear" w:color="auto" w:fill="auto"/>
            <w:vAlign w:val="center"/>
          </w:tcPr>
          <w:p>
            <w:pPr>
              <w:adjustRightInd w:val="0"/>
              <w:snapToGrid w:val="0"/>
              <w:jc w:val="center"/>
              <w:rPr>
                <w:szCs w:val="21"/>
              </w:rPr>
            </w:pPr>
            <w:r>
              <w:rPr>
                <w:szCs w:val="21"/>
              </w:rPr>
              <w:t>预测值[dB(A)]</w:t>
            </w:r>
          </w:p>
        </w:tc>
        <w:tc>
          <w:tcPr>
            <w:tcW w:w="709" w:type="dxa"/>
            <w:vMerge w:val="restart"/>
            <w:shd w:val="clear" w:color="auto" w:fill="auto"/>
            <w:vAlign w:val="center"/>
          </w:tcPr>
          <w:p>
            <w:pPr>
              <w:adjustRightInd w:val="0"/>
              <w:snapToGrid w:val="0"/>
              <w:ind w:left="-55" w:leftChars="-26" w:right="-55" w:rightChars="-26"/>
              <w:jc w:val="center"/>
              <w:rPr>
                <w:szCs w:val="21"/>
              </w:rPr>
            </w:pPr>
            <w:r>
              <w:rPr>
                <w:szCs w:val="21"/>
              </w:rPr>
              <w:t>评价标准</w:t>
            </w:r>
          </w:p>
        </w:tc>
        <w:tc>
          <w:tcPr>
            <w:tcW w:w="1340" w:type="dxa"/>
            <w:gridSpan w:val="2"/>
            <w:shd w:val="clear" w:color="auto" w:fill="auto"/>
            <w:vAlign w:val="center"/>
          </w:tcPr>
          <w:p>
            <w:pPr>
              <w:adjustRightInd w:val="0"/>
              <w:snapToGrid w:val="0"/>
              <w:jc w:val="center"/>
              <w:rPr>
                <w:szCs w:val="21"/>
              </w:rPr>
            </w:pPr>
            <w:r>
              <w:rPr>
                <w:szCs w:val="21"/>
              </w:rPr>
              <w:t>超标情况</w:t>
            </w:r>
          </w:p>
          <w:p>
            <w:pPr>
              <w:adjustRightInd w:val="0"/>
              <w:snapToGrid w:val="0"/>
              <w:jc w:val="center"/>
              <w:rPr>
                <w:szCs w:val="21"/>
              </w:rPr>
            </w:pPr>
            <w:r>
              <w:rPr>
                <w:szCs w:val="21"/>
              </w:rPr>
              <w:t>[dB(A)]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69" w:hRule="atLeast"/>
          <w:jc w:val="center"/>
        </w:trPr>
        <w:tc>
          <w:tcPr>
            <w:tcW w:w="900" w:type="dxa"/>
            <w:vMerge w:val="continue"/>
            <w:shd w:val="clear" w:color="auto" w:fill="auto"/>
            <w:vAlign w:val="center"/>
          </w:tcPr>
          <w:p>
            <w:pPr>
              <w:adjustRightInd w:val="0"/>
              <w:snapToGrid w:val="0"/>
              <w:jc w:val="center"/>
              <w:rPr>
                <w:szCs w:val="21"/>
              </w:rPr>
            </w:pPr>
          </w:p>
        </w:tc>
        <w:tc>
          <w:tcPr>
            <w:tcW w:w="993" w:type="dxa"/>
            <w:vMerge w:val="continue"/>
            <w:vAlign w:val="center"/>
          </w:tcPr>
          <w:p>
            <w:pPr>
              <w:adjustRightInd w:val="0"/>
              <w:snapToGrid w:val="0"/>
              <w:jc w:val="center"/>
              <w:rPr>
                <w:szCs w:val="21"/>
              </w:rPr>
            </w:pPr>
          </w:p>
        </w:tc>
        <w:tc>
          <w:tcPr>
            <w:tcW w:w="834" w:type="dxa"/>
            <w:shd w:val="clear" w:color="auto" w:fill="auto"/>
            <w:vAlign w:val="center"/>
          </w:tcPr>
          <w:p>
            <w:pPr>
              <w:adjustRightInd w:val="0"/>
              <w:snapToGrid w:val="0"/>
              <w:jc w:val="center"/>
              <w:rPr>
                <w:szCs w:val="21"/>
              </w:rPr>
            </w:pPr>
            <w:r>
              <w:rPr>
                <w:szCs w:val="21"/>
              </w:rPr>
              <w:t>昼间</w:t>
            </w:r>
          </w:p>
        </w:tc>
        <w:tc>
          <w:tcPr>
            <w:tcW w:w="834" w:type="dxa"/>
            <w:shd w:val="clear" w:color="auto" w:fill="auto"/>
            <w:vAlign w:val="center"/>
          </w:tcPr>
          <w:p>
            <w:pPr>
              <w:adjustRightInd w:val="0"/>
              <w:snapToGrid w:val="0"/>
              <w:jc w:val="center"/>
              <w:rPr>
                <w:szCs w:val="21"/>
              </w:rPr>
            </w:pPr>
            <w:r>
              <w:rPr>
                <w:szCs w:val="21"/>
              </w:rPr>
              <w:t>夜间</w:t>
            </w:r>
          </w:p>
        </w:tc>
        <w:tc>
          <w:tcPr>
            <w:tcW w:w="652" w:type="dxa"/>
            <w:shd w:val="clear" w:color="auto" w:fill="auto"/>
            <w:vAlign w:val="center"/>
          </w:tcPr>
          <w:p>
            <w:pPr>
              <w:adjustRightInd w:val="0"/>
              <w:snapToGrid w:val="0"/>
              <w:jc w:val="center"/>
              <w:rPr>
                <w:szCs w:val="21"/>
              </w:rPr>
            </w:pPr>
            <w:r>
              <w:rPr>
                <w:szCs w:val="21"/>
              </w:rPr>
              <w:t>昼间</w:t>
            </w:r>
          </w:p>
        </w:tc>
        <w:tc>
          <w:tcPr>
            <w:tcW w:w="663" w:type="dxa"/>
            <w:shd w:val="clear" w:color="auto" w:fill="auto"/>
            <w:vAlign w:val="center"/>
          </w:tcPr>
          <w:p>
            <w:pPr>
              <w:adjustRightInd w:val="0"/>
              <w:snapToGrid w:val="0"/>
              <w:jc w:val="center"/>
              <w:rPr>
                <w:szCs w:val="21"/>
              </w:rPr>
            </w:pPr>
            <w:r>
              <w:rPr>
                <w:szCs w:val="21"/>
              </w:rPr>
              <w:t>夜间</w:t>
            </w:r>
          </w:p>
        </w:tc>
        <w:tc>
          <w:tcPr>
            <w:tcW w:w="702" w:type="dxa"/>
            <w:shd w:val="clear" w:color="auto" w:fill="auto"/>
            <w:vAlign w:val="center"/>
          </w:tcPr>
          <w:p>
            <w:pPr>
              <w:adjustRightInd w:val="0"/>
              <w:snapToGrid w:val="0"/>
              <w:jc w:val="center"/>
              <w:rPr>
                <w:szCs w:val="21"/>
              </w:rPr>
            </w:pPr>
            <w:r>
              <w:rPr>
                <w:szCs w:val="21"/>
              </w:rPr>
              <w:t>昼间</w:t>
            </w:r>
          </w:p>
        </w:tc>
        <w:tc>
          <w:tcPr>
            <w:tcW w:w="709" w:type="dxa"/>
            <w:shd w:val="clear" w:color="auto" w:fill="auto"/>
            <w:vAlign w:val="center"/>
          </w:tcPr>
          <w:p>
            <w:pPr>
              <w:adjustRightInd w:val="0"/>
              <w:snapToGrid w:val="0"/>
              <w:jc w:val="center"/>
              <w:rPr>
                <w:szCs w:val="21"/>
              </w:rPr>
            </w:pPr>
            <w:r>
              <w:rPr>
                <w:szCs w:val="21"/>
              </w:rPr>
              <w:t>夜间</w:t>
            </w:r>
          </w:p>
        </w:tc>
        <w:tc>
          <w:tcPr>
            <w:tcW w:w="709" w:type="dxa"/>
            <w:vMerge w:val="continue"/>
            <w:shd w:val="clear" w:color="auto" w:fill="auto"/>
            <w:vAlign w:val="center"/>
          </w:tcPr>
          <w:p>
            <w:pPr>
              <w:adjustRightInd w:val="0"/>
              <w:snapToGrid w:val="0"/>
              <w:jc w:val="center"/>
              <w:rPr>
                <w:szCs w:val="21"/>
              </w:rPr>
            </w:pPr>
          </w:p>
        </w:tc>
        <w:tc>
          <w:tcPr>
            <w:tcW w:w="679" w:type="dxa"/>
            <w:shd w:val="clear" w:color="auto" w:fill="auto"/>
            <w:vAlign w:val="center"/>
          </w:tcPr>
          <w:p>
            <w:pPr>
              <w:adjustRightInd w:val="0"/>
              <w:snapToGrid w:val="0"/>
              <w:jc w:val="center"/>
              <w:rPr>
                <w:szCs w:val="21"/>
              </w:rPr>
            </w:pPr>
            <w:r>
              <w:rPr>
                <w:szCs w:val="21"/>
              </w:rPr>
              <w:t>昼间</w:t>
            </w:r>
          </w:p>
        </w:tc>
        <w:tc>
          <w:tcPr>
            <w:tcW w:w="661" w:type="dxa"/>
            <w:shd w:val="clear" w:color="auto" w:fill="auto"/>
            <w:vAlign w:val="center"/>
          </w:tcPr>
          <w:p>
            <w:pPr>
              <w:adjustRightInd w:val="0"/>
              <w:snapToGrid w:val="0"/>
              <w:jc w:val="center"/>
              <w:rPr>
                <w:szCs w:val="21"/>
              </w:rPr>
            </w:pPr>
            <w:r>
              <w:rPr>
                <w:szCs w:val="21"/>
              </w:rPr>
              <w:t>夜间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22" w:hRule="atLeast"/>
          <w:jc w:val="center"/>
        </w:trPr>
        <w:tc>
          <w:tcPr>
            <w:tcW w:w="900" w:type="dxa"/>
            <w:shd w:val="clear" w:color="auto" w:fill="auto"/>
            <w:vAlign w:val="center"/>
          </w:tcPr>
          <w:p>
            <w:pPr>
              <w:pStyle w:val="36"/>
              <w:snapToGrid w:val="0"/>
              <w:spacing w:after="0" w:line="240" w:lineRule="auto"/>
              <w:ind w:left="0" w:leftChars="0" w:firstLine="0" w:firstLineChars="0"/>
              <w:jc w:val="center"/>
              <w:rPr>
                <w:sz w:val="21"/>
                <w:szCs w:val="21"/>
              </w:rPr>
            </w:pPr>
            <w:r>
              <w:rPr>
                <w:sz w:val="21"/>
                <w:szCs w:val="21"/>
              </w:rPr>
              <w:t>桂溪</w:t>
            </w:r>
          </w:p>
          <w:p>
            <w:pPr>
              <w:pStyle w:val="36"/>
              <w:snapToGrid w:val="0"/>
              <w:spacing w:after="0" w:line="240" w:lineRule="auto"/>
              <w:ind w:left="0" w:leftChars="0" w:firstLine="0" w:firstLineChars="0"/>
              <w:jc w:val="center"/>
              <w:rPr>
                <w:snapToGrid w:val="0"/>
                <w:sz w:val="21"/>
                <w:szCs w:val="21"/>
              </w:rPr>
            </w:pPr>
            <w:r>
              <w:rPr>
                <w:sz w:val="21"/>
                <w:szCs w:val="21"/>
              </w:rPr>
              <w:t>湖村</w:t>
            </w:r>
          </w:p>
        </w:tc>
        <w:tc>
          <w:tcPr>
            <w:tcW w:w="993" w:type="dxa"/>
            <w:vAlign w:val="center"/>
          </w:tcPr>
          <w:p>
            <w:pPr>
              <w:widowControl/>
              <w:jc w:val="center"/>
              <w:rPr>
                <w:kern w:val="0"/>
                <w:szCs w:val="21"/>
              </w:rPr>
            </w:pPr>
            <w:r>
              <w:rPr>
                <w:kern w:val="0"/>
                <w:szCs w:val="21"/>
              </w:rPr>
              <w:t>35</w:t>
            </w:r>
          </w:p>
        </w:tc>
        <w:tc>
          <w:tcPr>
            <w:tcW w:w="834" w:type="dxa"/>
            <w:shd w:val="clear" w:color="auto" w:fill="auto"/>
            <w:vAlign w:val="center"/>
          </w:tcPr>
          <w:p>
            <w:pPr>
              <w:adjustRightInd w:val="0"/>
              <w:snapToGrid w:val="0"/>
              <w:jc w:val="center"/>
              <w:rPr>
                <w:szCs w:val="21"/>
              </w:rPr>
            </w:pPr>
            <w:r>
              <w:rPr>
                <w:szCs w:val="21"/>
              </w:rPr>
              <w:t>/</w:t>
            </w:r>
          </w:p>
        </w:tc>
        <w:tc>
          <w:tcPr>
            <w:tcW w:w="834" w:type="dxa"/>
            <w:shd w:val="clear" w:color="auto" w:fill="auto"/>
            <w:vAlign w:val="center"/>
          </w:tcPr>
          <w:p>
            <w:pPr>
              <w:adjustRightInd w:val="0"/>
              <w:snapToGrid w:val="0"/>
              <w:jc w:val="center"/>
              <w:rPr>
                <w:szCs w:val="21"/>
              </w:rPr>
            </w:pPr>
            <w:r>
              <w:rPr>
                <w:szCs w:val="21"/>
              </w:rPr>
              <w:t>/</w:t>
            </w:r>
          </w:p>
        </w:tc>
        <w:tc>
          <w:tcPr>
            <w:tcW w:w="652" w:type="dxa"/>
            <w:shd w:val="clear" w:color="auto" w:fill="auto"/>
            <w:vAlign w:val="center"/>
          </w:tcPr>
          <w:p>
            <w:pPr>
              <w:jc w:val="center"/>
              <w:rPr>
                <w:szCs w:val="21"/>
              </w:rPr>
            </w:pPr>
            <w:r>
              <w:rPr>
                <w:rFonts w:hint="eastAsia"/>
                <w:szCs w:val="21"/>
              </w:rPr>
              <w:t>46.2</w:t>
            </w:r>
          </w:p>
        </w:tc>
        <w:tc>
          <w:tcPr>
            <w:tcW w:w="663" w:type="dxa"/>
            <w:shd w:val="clear" w:color="auto" w:fill="auto"/>
            <w:vAlign w:val="center"/>
          </w:tcPr>
          <w:p>
            <w:pPr>
              <w:jc w:val="center"/>
              <w:rPr>
                <w:szCs w:val="21"/>
              </w:rPr>
            </w:pPr>
            <w:r>
              <w:rPr>
                <w:rFonts w:hint="eastAsia"/>
                <w:szCs w:val="21"/>
              </w:rPr>
              <w:t>44</w:t>
            </w:r>
          </w:p>
        </w:tc>
        <w:tc>
          <w:tcPr>
            <w:tcW w:w="702" w:type="dxa"/>
            <w:shd w:val="clear" w:color="auto" w:fill="auto"/>
            <w:vAlign w:val="center"/>
          </w:tcPr>
          <w:p>
            <w:pPr>
              <w:widowControl/>
              <w:jc w:val="center"/>
              <w:rPr>
                <w:kern w:val="0"/>
                <w:szCs w:val="21"/>
              </w:rPr>
            </w:pPr>
            <w:r>
              <w:rPr>
                <w:rFonts w:hint="eastAsia"/>
                <w:kern w:val="0"/>
                <w:szCs w:val="21"/>
              </w:rPr>
              <w:t>46.2</w:t>
            </w:r>
          </w:p>
        </w:tc>
        <w:tc>
          <w:tcPr>
            <w:tcW w:w="709" w:type="dxa"/>
            <w:shd w:val="clear" w:color="auto" w:fill="auto"/>
            <w:vAlign w:val="center"/>
          </w:tcPr>
          <w:p>
            <w:pPr>
              <w:widowControl/>
              <w:jc w:val="center"/>
              <w:rPr>
                <w:kern w:val="0"/>
                <w:szCs w:val="21"/>
              </w:rPr>
            </w:pPr>
            <w:r>
              <w:rPr>
                <w:rFonts w:hint="eastAsia"/>
                <w:kern w:val="0"/>
                <w:szCs w:val="21"/>
              </w:rPr>
              <w:t>44.0</w:t>
            </w:r>
          </w:p>
        </w:tc>
        <w:tc>
          <w:tcPr>
            <w:tcW w:w="709" w:type="dxa"/>
            <w:shd w:val="clear" w:color="auto" w:fill="auto"/>
            <w:vAlign w:val="center"/>
          </w:tcPr>
          <w:p>
            <w:pPr>
              <w:adjustRightInd w:val="0"/>
              <w:snapToGrid w:val="0"/>
              <w:jc w:val="center"/>
              <w:rPr>
                <w:szCs w:val="21"/>
              </w:rPr>
            </w:pPr>
            <w:r>
              <w:rPr>
                <w:szCs w:val="21"/>
              </w:rPr>
              <w:t>2</w:t>
            </w:r>
          </w:p>
        </w:tc>
        <w:tc>
          <w:tcPr>
            <w:tcW w:w="679" w:type="dxa"/>
            <w:shd w:val="clear" w:color="auto" w:fill="auto"/>
            <w:vAlign w:val="center"/>
          </w:tcPr>
          <w:p>
            <w:pPr>
              <w:adjustRightInd w:val="0"/>
              <w:snapToGrid w:val="0"/>
              <w:jc w:val="center"/>
              <w:rPr>
                <w:szCs w:val="21"/>
              </w:rPr>
            </w:pPr>
            <w:r>
              <w:rPr>
                <w:rFonts w:hint="eastAsia"/>
                <w:szCs w:val="21"/>
              </w:rPr>
              <w:t>-</w:t>
            </w:r>
          </w:p>
        </w:tc>
        <w:tc>
          <w:tcPr>
            <w:tcW w:w="661" w:type="dxa"/>
            <w:shd w:val="clear" w:color="auto" w:fill="auto"/>
            <w:vAlign w:val="center"/>
          </w:tcPr>
          <w:p>
            <w:pPr>
              <w:jc w:val="center"/>
              <w:rPr>
                <w:szCs w:val="21"/>
              </w:rPr>
            </w:pPr>
            <w:r>
              <w:rPr>
                <w:rFonts w:hint="eastAsia"/>
                <w:szCs w:val="21"/>
              </w:rPr>
              <w:t>-</w:t>
            </w:r>
          </w:p>
        </w:tc>
      </w:tr>
    </w:tbl>
    <w:p>
      <w:pPr>
        <w:rPr>
          <w:rFonts w:hAnsi="宋体"/>
          <w:sz w:val="24"/>
        </w:rPr>
        <w:sectPr>
          <w:headerReference r:id="rId12" w:type="default"/>
          <w:pgSz w:w="11907" w:h="16840"/>
          <w:pgMar w:top="1661" w:right="1503" w:bottom="1440" w:left="1599" w:header="1134" w:footer="992" w:gutter="0"/>
          <w:cols w:space="720" w:num="1"/>
          <w:docGrid w:linePitch="326" w:charSpace="0"/>
        </w:sectPr>
      </w:pPr>
    </w:p>
    <w:p>
      <w:pPr>
        <w:spacing w:line="360" w:lineRule="auto"/>
        <w:rPr>
          <w:rFonts w:hAnsi="宋体"/>
          <w:b/>
          <w:color w:val="0000FF"/>
          <w:sz w:val="24"/>
        </w:rPr>
      </w:pPr>
      <w:r>
        <w:rPr>
          <w:rFonts w:hAnsi="宋体"/>
          <w:b/>
          <w:color w:val="0000FF"/>
          <w:sz w:val="24"/>
        </w:rPr>
        <mc:AlternateContent>
          <mc:Choice Requires="wps">
            <w:drawing>
              <wp:anchor distT="0" distB="0" distL="114300" distR="114300" simplePos="0" relativeHeight="252019712" behindDoc="0" locked="0" layoutInCell="1" allowOverlap="1">
                <wp:simplePos x="0" y="0"/>
                <wp:positionH relativeFrom="column">
                  <wp:posOffset>2865120</wp:posOffset>
                </wp:positionH>
                <wp:positionV relativeFrom="paragraph">
                  <wp:posOffset>0</wp:posOffset>
                </wp:positionV>
                <wp:extent cx="1438910" cy="1271905"/>
                <wp:effectExtent l="0" t="0" r="27940" b="23495"/>
                <wp:wrapNone/>
                <wp:docPr id="267" name="矩形 267"/>
                <wp:cNvGraphicFramePr/>
                <a:graphic xmlns:a="http://schemas.openxmlformats.org/drawingml/2006/main">
                  <a:graphicData uri="http://schemas.microsoft.com/office/word/2010/wordprocessingShape">
                    <wps:wsp>
                      <wps:cNvSpPr/>
                      <wps:spPr>
                        <a:xfrm>
                          <a:off x="0" y="0"/>
                          <a:ext cx="1439186" cy="1271905"/>
                        </a:xfrm>
                        <a:prstGeom prst="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5.6pt;margin-top:0pt;height:100.15pt;width:113.3pt;z-index:252019712;v-text-anchor:middle;mso-width-relative:page;mso-height-relative:page;" filled="f" stroked="t" coordsize="21600,21600" o:gfxdata="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X3fJV1QAAAAgBAAAPAAAAAAAAAAEAIAAAACIA&#10;AABkcnMvZG93bnJldi54bWxQSwECFAAUAAAACACHTuJA0Acum0UCAABqBAAADgAAAAAAAAABACAA&#10;AAAkAQAAZHJzL2Uyb0RvYy54bWxQSwUGAAAAAAYABgBZAQAA2wUAAAAA&#10;">
                <v:fill on="f" focussize="0,0"/>
                <v:stroke weight="0.5pt" color="#000000 [3200]" joinstyle="round"/>
                <v:imagedata o:title=""/>
                <o:lock v:ext="edit" aspectratio="f"/>
              </v:rect>
            </w:pict>
          </mc:Fallback>
        </mc:AlternateContent>
      </w:r>
      <w:r>
        <w:rPr>
          <w:rFonts w:hAnsi="宋体"/>
          <w:b/>
          <w:color w:val="0000FF"/>
          <w:sz w:val="24"/>
        </w:rPr>
        <mc:AlternateContent>
          <mc:Choice Requires="wps">
            <w:drawing>
              <wp:anchor distT="0" distB="0" distL="114300" distR="114300" simplePos="0" relativeHeight="252008448" behindDoc="0" locked="0" layoutInCell="1" allowOverlap="1">
                <wp:simplePos x="0" y="0"/>
                <wp:positionH relativeFrom="column">
                  <wp:posOffset>3663950</wp:posOffset>
                </wp:positionH>
                <wp:positionV relativeFrom="paragraph">
                  <wp:posOffset>-40005</wp:posOffset>
                </wp:positionV>
                <wp:extent cx="890270" cy="285750"/>
                <wp:effectExtent l="0" t="0" r="5080" b="0"/>
                <wp:wrapNone/>
                <wp:docPr id="268" name="矩形 268"/>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红线范围</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8.5pt;margin-top:-3.15pt;height:22.5pt;width:70.1pt;z-index:252008448;v-text-anchor:middle;mso-width-relative:page;mso-height-relative:page;" filled="f" stroked="f" coordsize="21600,21600" o:gfxdata="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L2Rp/NgAAAAJAQAADwAAAAAAAAABACAAAAAiAAAAZHJzL2Rvd25yZXYueG1sUEsB&#10;AhQAFAAAAAgAh07iQBEpNsEuAgAAOwQAAA4AAAAAAAAAAQAgAAAAJwEAAGRycy9lMm9Eb2MueG1s&#10;UEsFBgAAAAAGAAYAWQEAAMcFAAAAAA==&#10;">
                <v:fill on="f" focussize="0,0"/>
                <v:stroke on="f" weight="2pt"/>
                <v:imagedata o:title=""/>
                <o:lock v:ext="edit" aspectratio="f"/>
                <v:textbox inset="0mm,0mm,0mm,0mm">
                  <w:txbxContent>
                    <w:p>
                      <w:pPr/>
                      <w:r>
                        <w:rPr>
                          <w:rFonts w:hint="eastAsia"/>
                        </w:rPr>
                        <w:t>红线范围</w:t>
                      </w:r>
                    </w:p>
                  </w:txbxContent>
                </v:textbox>
              </v:rect>
            </w:pict>
          </mc:Fallback>
        </mc:AlternateContent>
      </w:r>
      <w:r>
        <w:rPr>
          <w:rFonts w:hAnsi="宋体"/>
          <w:b/>
          <w:color w:val="0000FF"/>
          <w:sz w:val="24"/>
        </w:rPr>
        <mc:AlternateContent>
          <mc:Choice Requires="wps">
            <w:drawing>
              <wp:anchor distT="0" distB="0" distL="114300" distR="114300" simplePos="0" relativeHeight="252018688" behindDoc="0" locked="0" layoutInCell="1" allowOverlap="1">
                <wp:simplePos x="0" y="0"/>
                <wp:positionH relativeFrom="column">
                  <wp:posOffset>3675380</wp:posOffset>
                </wp:positionH>
                <wp:positionV relativeFrom="paragraph">
                  <wp:posOffset>1048385</wp:posOffset>
                </wp:positionV>
                <wp:extent cx="890270" cy="285750"/>
                <wp:effectExtent l="0" t="0" r="5080" b="0"/>
                <wp:wrapNone/>
                <wp:docPr id="269" name="矩形 269"/>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55 dB(A)</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9.4pt;margin-top:82.55pt;height:22.5pt;width:70.1pt;z-index:252018688;v-text-anchor:middle;mso-width-relative:page;mso-height-relative:page;" filled="f" stroked="f" coordsize="21600,21600" o:gfxdata="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QLHp79cAAAALAQAADwAAAAAAAAABACAAAAAiAAAAZHJzL2Rvd25yZXYueG1sUEsB&#10;AhQAFAAAAAgAh07iQMhP6aUvAgAAOwQAAA4AAAAAAAAAAQAgAAAAJgEAAGRycy9lMm9Eb2MueG1s&#10;UEsFBgAAAAAGAAYAWQEAAMcFAAAAAA==&#10;">
                <v:fill on="f" focussize="0,0"/>
                <v:stroke on="f" weight="2pt"/>
                <v:imagedata o:title=""/>
                <o:lock v:ext="edit" aspectratio="f"/>
                <v:textbox inset="0mm,0mm,0mm,0mm">
                  <w:txbxContent>
                    <w:p>
                      <w:pPr/>
                      <w:r>
                        <w:rPr>
                          <w:rFonts w:hint="eastAsia"/>
                        </w:rPr>
                        <w:t>55 dB(A)</w:t>
                      </w:r>
                    </w:p>
                  </w:txbxContent>
                </v:textbox>
              </v:rect>
            </w:pict>
          </mc:Fallback>
        </mc:AlternateContent>
      </w:r>
      <w:r>
        <w:rPr>
          <w:rFonts w:hAnsi="宋体"/>
          <w:b/>
          <w:color w:val="0000FF"/>
          <w:sz w:val="24"/>
        </w:rPr>
        <mc:AlternateContent>
          <mc:Choice Requires="wps">
            <w:drawing>
              <wp:anchor distT="0" distB="0" distL="114300" distR="114300" simplePos="0" relativeHeight="252016640" behindDoc="0" locked="0" layoutInCell="1" allowOverlap="1">
                <wp:simplePos x="0" y="0"/>
                <wp:positionH relativeFrom="column">
                  <wp:posOffset>3668395</wp:posOffset>
                </wp:positionH>
                <wp:positionV relativeFrom="paragraph">
                  <wp:posOffset>825500</wp:posOffset>
                </wp:positionV>
                <wp:extent cx="890270" cy="285750"/>
                <wp:effectExtent l="0" t="0" r="5080" b="0"/>
                <wp:wrapNone/>
                <wp:docPr id="270" name="矩形 270"/>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50 dB(A)</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8.85pt;margin-top:65pt;height:22.5pt;width:70.1pt;z-index:252016640;v-text-anchor:middle;mso-width-relative:page;mso-height-relative:page;" filled="f" stroked="f" coordsize="21600,21600" o:gfxdata="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xwjgwtcAAAALAQAADwAAAAAAAAABACAAAAAiAAAAZHJzL2Rvd25yZXYueG1sUEsBAhQA&#10;FAAAAAgAh07iQE2mRK4sAgAAOwQAAA4AAAAAAAAAAQAgAAAAJgEAAGRycy9lMm9Eb2MueG1sUEsF&#10;BgAAAAAGAAYAWQEAAMQFAAAAAA==&#10;">
                <v:fill on="f" focussize="0,0"/>
                <v:stroke on="f" weight="2pt"/>
                <v:imagedata o:title=""/>
                <o:lock v:ext="edit" aspectratio="f"/>
                <v:textbox inset="0mm,0mm,0mm,0mm">
                  <w:txbxContent>
                    <w:p>
                      <w:pPr/>
                      <w:r>
                        <w:rPr>
                          <w:rFonts w:hint="eastAsia"/>
                        </w:rPr>
                        <w:t>50 dB(A)</w:t>
                      </w:r>
                    </w:p>
                  </w:txbxContent>
                </v:textbox>
              </v:rect>
            </w:pict>
          </mc:Fallback>
        </mc:AlternateContent>
      </w:r>
      <w:r>
        <w:rPr>
          <w:rFonts w:hAnsi="宋体"/>
          <w:b/>
          <w:color w:val="0000FF"/>
          <w:sz w:val="24"/>
        </w:rPr>
        <mc:AlternateContent>
          <mc:Choice Requires="wps">
            <w:drawing>
              <wp:anchor distT="0" distB="0" distL="114300" distR="114300" simplePos="0" relativeHeight="252012544" behindDoc="0" locked="0" layoutInCell="1" allowOverlap="1">
                <wp:simplePos x="0" y="0"/>
                <wp:positionH relativeFrom="column">
                  <wp:posOffset>3678555</wp:posOffset>
                </wp:positionH>
                <wp:positionV relativeFrom="paragraph">
                  <wp:posOffset>615950</wp:posOffset>
                </wp:positionV>
                <wp:extent cx="890270" cy="285750"/>
                <wp:effectExtent l="0" t="0" r="5080" b="0"/>
                <wp:wrapNone/>
                <wp:docPr id="271" name="矩形 271"/>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45 dB(A)</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9.65pt;margin-top:48.5pt;height:22.5pt;width:70.1pt;z-index:252012544;v-text-anchor:middle;mso-width-relative:page;mso-height-relative:page;" filled="f" stroked="f" coordsize="21600,21600" o:gfxdata="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Q4LwT1wAAAAoBAAAPAAAAAAAAAAEAIAAAACIAAABkcnMvZG93bnJldi54bWxQSwEC&#10;FAAUAAAACACHTuJAlMCbyi4CAAA7BAAADgAAAAAAAAABACAAAAAmAQAAZHJzL2Uyb0RvYy54bWxQ&#10;SwUGAAAAAAYABgBZAQAAxgUAAAAA&#10;">
                <v:fill on="f" focussize="0,0"/>
                <v:stroke on="f" weight="2pt"/>
                <v:imagedata o:title=""/>
                <o:lock v:ext="edit" aspectratio="f"/>
                <v:textbox inset="0mm,0mm,0mm,0mm">
                  <w:txbxContent>
                    <w:p>
                      <w:pPr/>
                      <w:r>
                        <w:rPr>
                          <w:rFonts w:hint="eastAsia"/>
                        </w:rPr>
                        <w:t>45 dB(A)</w:t>
                      </w:r>
                    </w:p>
                  </w:txbxContent>
                </v:textbox>
              </v:rect>
            </w:pict>
          </mc:Fallback>
        </mc:AlternateContent>
      </w:r>
      <w:r>
        <w:rPr>
          <w:rFonts w:hAnsi="宋体"/>
          <w:b/>
          <w:color w:val="0000FF"/>
          <w:sz w:val="24"/>
        </w:rPr>
        <mc:AlternateContent>
          <mc:Choice Requires="wps">
            <w:drawing>
              <wp:anchor distT="0" distB="0" distL="114300" distR="114300" simplePos="0" relativeHeight="252014592" behindDoc="0" locked="0" layoutInCell="1" allowOverlap="1">
                <wp:simplePos x="0" y="0"/>
                <wp:positionH relativeFrom="column">
                  <wp:posOffset>3677920</wp:posOffset>
                </wp:positionH>
                <wp:positionV relativeFrom="paragraph">
                  <wp:posOffset>391795</wp:posOffset>
                </wp:positionV>
                <wp:extent cx="890270" cy="285750"/>
                <wp:effectExtent l="0" t="0" r="5080" b="0"/>
                <wp:wrapNone/>
                <wp:docPr id="272" name="矩形 272"/>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40 dB(A)</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89.6pt;margin-top:30.85pt;height:22.5pt;width:70.1pt;z-index:252014592;v-text-anchor:middle;mso-width-relative:page;mso-height-relative:page;" filled="f" stroked="f" coordsize="21600,21600" o:gfxdata="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CxbQiPWAAAACgEAAA8AAAAAAAAAAQAgAAAAIgAAAGRycy9kb3ducmV2LnhtbFBLAQIU&#10;ABQAAAAIAIdO4kD/a/pnLgIAADsEAAAOAAAAAAAAAAEAIAAAACUBAABkcnMvZTJvRG9jLnhtbFBL&#10;BQYAAAAABgAGAFkBAADFBQAAAAA=&#10;">
                <v:fill on="f" focussize="0,0"/>
                <v:stroke on="f" weight="2pt"/>
                <v:imagedata o:title=""/>
                <o:lock v:ext="edit" aspectratio="f"/>
                <v:textbox inset="0mm,0mm,0mm,0mm">
                  <w:txbxContent>
                    <w:p>
                      <w:pPr/>
                      <w:r>
                        <w:rPr>
                          <w:rFonts w:hint="eastAsia"/>
                        </w:rPr>
                        <w:t>40 dB(A)</w:t>
                      </w:r>
                    </w:p>
                  </w:txbxContent>
                </v:textbox>
              </v:rect>
            </w:pict>
          </mc:Fallback>
        </mc:AlternateContent>
      </w:r>
      <w:r>
        <w:rPr>
          <w:rFonts w:hAnsi="宋体"/>
          <w:b/>
          <w:color w:val="0000FF"/>
          <w:sz w:val="24"/>
        </w:rPr>
        <mc:AlternateContent>
          <mc:Choice Requires="wps">
            <w:drawing>
              <wp:anchor distT="0" distB="0" distL="114300" distR="114300" simplePos="0" relativeHeight="252010496" behindDoc="0" locked="0" layoutInCell="1" allowOverlap="1">
                <wp:simplePos x="0" y="0"/>
                <wp:positionH relativeFrom="column">
                  <wp:posOffset>3692525</wp:posOffset>
                </wp:positionH>
                <wp:positionV relativeFrom="paragraph">
                  <wp:posOffset>160020</wp:posOffset>
                </wp:positionV>
                <wp:extent cx="890270" cy="285750"/>
                <wp:effectExtent l="0" t="0" r="5080" b="0"/>
                <wp:wrapNone/>
                <wp:docPr id="275" name="矩形 275"/>
                <wp:cNvGraphicFramePr/>
                <a:graphic xmlns:a="http://schemas.openxmlformats.org/drawingml/2006/main">
                  <a:graphicData uri="http://schemas.microsoft.com/office/word/2010/wordprocessingShape">
                    <wps:wsp>
                      <wps:cNvSpPr/>
                      <wps:spPr>
                        <a:xfrm>
                          <a:off x="0" y="0"/>
                          <a:ext cx="890270" cy="2857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pPr/>
                            <w:r>
                              <w:rPr>
                                <w:rFonts w:hint="eastAsia"/>
                              </w:rPr>
                              <w:t>35 dB(A)</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90.75pt;margin-top:12.6pt;height:22.5pt;width:70.1pt;z-index:252010496;v-text-anchor:middle;mso-width-relative:page;mso-height-relative:page;" filled="f" stroked="f" coordsize="21600,21600" o:gfxdata="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oBnyjWAAAACQEAAA8AAAAAAAAAAQAgAAAAIgAAAGRycy9kb3ducmV2LnhtbFBLAQIU&#10;ABQAAAAIAIdO4kCxXZeCLgIAADsEAAAOAAAAAAAAAAEAIAAAACUBAABkcnMvZTJvRG9jLnhtbFBL&#10;BQYAAAAABgAGAFkBAADFBQAAAAA=&#10;">
                <v:fill on="f" focussize="0,0"/>
                <v:stroke on="f" weight="2pt"/>
                <v:imagedata o:title=""/>
                <o:lock v:ext="edit" aspectratio="f"/>
                <v:textbox inset="0mm,0mm,0mm,0mm">
                  <w:txbxContent>
                    <w:p>
                      <w:pPr/>
                      <w:r>
                        <w:rPr>
                          <w:rFonts w:hint="eastAsia"/>
                        </w:rPr>
                        <w:t>35 dB(A)</w:t>
                      </w:r>
                    </w:p>
                  </w:txbxContent>
                </v:textbox>
              </v:rect>
            </w:pict>
          </mc:Fallback>
        </mc:AlternateContent>
      </w:r>
      <w:r>
        <w:rPr>
          <w:rFonts w:hAnsi="宋体"/>
          <w:b/>
          <w:color w:val="0000FF"/>
          <w:sz w:val="24"/>
        </w:rPr>
        <mc:AlternateContent>
          <mc:Choice Requires="wps">
            <w:drawing>
              <wp:anchor distT="0" distB="0" distL="114300" distR="114300" simplePos="0" relativeHeight="252017664" behindDoc="0" locked="0" layoutInCell="1" allowOverlap="1">
                <wp:simplePos x="0" y="0"/>
                <wp:positionH relativeFrom="column">
                  <wp:posOffset>2938780</wp:posOffset>
                </wp:positionH>
                <wp:positionV relativeFrom="paragraph">
                  <wp:posOffset>1209675</wp:posOffset>
                </wp:positionV>
                <wp:extent cx="580390" cy="0"/>
                <wp:effectExtent l="0" t="19050" r="10160" b="19050"/>
                <wp:wrapNone/>
                <wp:docPr id="276" name="直接连接符 276"/>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0000FF"/>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4pt;margin-top:95.25pt;height:0pt;width:45.7pt;z-index:252017664;mso-width-relative:page;mso-height-relative:page;" filled="f" stroked="t" coordsize="21600,21600" o:gfxdata="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V9IbbdcAAAALAQAADwAAAAAAAAABACAAAAAiAAAAZHJzL2Rvd25yZXYueG1s&#10;UEsBAhQAFAAAAAgAh07iQGvrUSzAAQAAUAMAAA4AAAAAAAAAAQAgAAAAJgEAAGRycy9lMm9Eb2Mu&#10;eG1sUEsFBgAAAAAGAAYAWQEAAFgFAAAAAA==&#10;">
                <v:fill on="f" focussize="0,0"/>
                <v:stroke weight="3pt" color="#0000FF [3204]" joinstyle="round"/>
                <v:imagedata o:title=""/>
                <o:lock v:ext="edit" aspectratio="f"/>
              </v:line>
            </w:pict>
          </mc:Fallback>
        </mc:AlternateContent>
      </w:r>
      <w:r>
        <w:rPr>
          <w:rFonts w:hAnsi="宋体"/>
          <w:b/>
          <w:color w:val="0000FF"/>
          <w:sz w:val="24"/>
        </w:rPr>
        <mc:AlternateContent>
          <mc:Choice Requires="wps">
            <w:drawing>
              <wp:anchor distT="0" distB="0" distL="114300" distR="114300" simplePos="0" relativeHeight="252009472" behindDoc="0" locked="0" layoutInCell="1" allowOverlap="1">
                <wp:simplePos x="0" y="0"/>
                <wp:positionH relativeFrom="column">
                  <wp:posOffset>2933700</wp:posOffset>
                </wp:positionH>
                <wp:positionV relativeFrom="paragraph">
                  <wp:posOffset>316230</wp:posOffset>
                </wp:positionV>
                <wp:extent cx="580390" cy="0"/>
                <wp:effectExtent l="0" t="19050" r="10160" b="19050"/>
                <wp:wrapNone/>
                <wp:docPr id="277" name="直接连接符 277"/>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00B05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pt;margin-top:24.9pt;height:0pt;width:45.7pt;z-index:252009472;mso-width-relative:page;mso-height-relative:page;" filled="f" stroked="t" coordsize="21600,21600" o:gfxdata="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4mOY6dgAAAAJAQAADwAAAAAAAAABACAAAAAiAAAAZHJzL2Rvd25yZXYu&#10;eG1sUEsBAhQAFAAAAAgAh07iQG4jAJbCAQAAUAMAAA4AAAAAAAAAAQAgAAAAJwEAAGRycy9lMm9E&#10;b2MueG1sUEsFBgAAAAAGAAYAWQEAAFsFAAAAAA==&#10;">
                <v:fill on="f" focussize="0,0"/>
                <v:stroke weight="3pt" color="#00B050 [3204]" joinstyle="round"/>
                <v:imagedata o:title=""/>
                <o:lock v:ext="edit" aspectratio="f"/>
              </v:line>
            </w:pict>
          </mc:Fallback>
        </mc:AlternateContent>
      </w:r>
      <w:r>
        <w:rPr>
          <w:rFonts w:hAnsi="宋体"/>
          <w:b/>
          <w:color w:val="0000FF"/>
          <w:sz w:val="24"/>
        </w:rPr>
        <mc:AlternateContent>
          <mc:Choice Requires="wps">
            <w:drawing>
              <wp:anchor distT="0" distB="0" distL="114300" distR="114300" simplePos="0" relativeHeight="252007424" behindDoc="0" locked="0" layoutInCell="1" allowOverlap="1">
                <wp:simplePos x="0" y="0"/>
                <wp:positionH relativeFrom="column">
                  <wp:posOffset>2940685</wp:posOffset>
                </wp:positionH>
                <wp:positionV relativeFrom="paragraph">
                  <wp:posOffset>85725</wp:posOffset>
                </wp:positionV>
                <wp:extent cx="580390" cy="0"/>
                <wp:effectExtent l="0" t="19050" r="10160" b="19050"/>
                <wp:wrapNone/>
                <wp:docPr id="278" name="直接连接符 278"/>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55pt;margin-top:6.75pt;height:0pt;width:45.7pt;z-index:252007424;mso-width-relative:page;mso-height-relative:page;" filled="f" stroked="t" coordsize="21600,21600" o:gfxdata="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BsvDA1QAAAAkBAAAPAAAAAAAAAAEAIAAAACIAAABkcnMvZG93bnJldi54bWxQ&#10;SwECFAAUAAAACACHTuJAwCdkYMEBAABPAwAADgAAAAAAAAABACAAAAAkAQAAZHJzL2Uyb0RvYy54&#10;bWxQSwUGAAAAAAYABgBZAQAAVwUAAAAA&#10;">
                <v:fill on="f" focussize="0,0"/>
                <v:stroke weight="3pt" color="#FF0000 [3204]" joinstyle="round" dashstyle="dash"/>
                <v:imagedata o:title=""/>
                <o:lock v:ext="edit" aspectratio="f"/>
              </v:line>
            </w:pict>
          </mc:Fallback>
        </mc:AlternateContent>
      </w:r>
      <w:r>
        <w:rPr>
          <w:rFonts w:hAnsi="宋体"/>
          <w:b/>
          <w:color w:val="0000FF"/>
          <w:sz w:val="24"/>
        </w:rPr>
        <mc:AlternateContent>
          <mc:Choice Requires="wps">
            <w:drawing>
              <wp:anchor distT="0" distB="0" distL="114300" distR="114300" simplePos="0" relativeHeight="252015616" behindDoc="0" locked="0" layoutInCell="1" allowOverlap="1">
                <wp:simplePos x="0" y="0"/>
                <wp:positionH relativeFrom="column">
                  <wp:posOffset>2937510</wp:posOffset>
                </wp:positionH>
                <wp:positionV relativeFrom="paragraph">
                  <wp:posOffset>977900</wp:posOffset>
                </wp:positionV>
                <wp:extent cx="580390" cy="0"/>
                <wp:effectExtent l="0" t="19050" r="10160" b="19050"/>
                <wp:wrapNone/>
                <wp:docPr id="279" name="直接连接符 279"/>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CC00FF"/>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3pt;margin-top:77pt;height:0pt;width:45.7pt;z-index:252015616;mso-width-relative:page;mso-height-relative:page;" filled="f" stroked="t" coordsize="21600,21600" o:gfxdata="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rjPsU2QAAAAsBAAAPAAAAAAAAAAEAIAAAACIAAABkcnMvZG93bnJldi54&#10;bWxQSwECFAAUAAAACACHTuJABd6DDsABAABQAwAADgAAAAAAAAABACAAAAAoAQAAZHJzL2Uyb0Rv&#10;Yy54bWxQSwUGAAAAAAYABgBZAQAAWgUAAAAA&#10;">
                <v:fill on="f" focussize="0,0"/>
                <v:stroke weight="3pt" color="#CC00FF [3204]" joinstyle="round"/>
                <v:imagedata o:title=""/>
                <o:lock v:ext="edit" aspectratio="f"/>
              </v:line>
            </w:pict>
          </mc:Fallback>
        </mc:AlternateContent>
      </w:r>
      <w:r>
        <w:rPr>
          <w:rFonts w:hAnsi="宋体"/>
          <w:b/>
          <w:color w:val="0000FF"/>
          <w:sz w:val="24"/>
        </w:rPr>
        <mc:AlternateContent>
          <mc:Choice Requires="wps">
            <w:drawing>
              <wp:anchor distT="0" distB="0" distL="114300" distR="114300" simplePos="0" relativeHeight="252013568" behindDoc="0" locked="0" layoutInCell="1" allowOverlap="1">
                <wp:simplePos x="0" y="0"/>
                <wp:positionH relativeFrom="column">
                  <wp:posOffset>2936240</wp:posOffset>
                </wp:positionH>
                <wp:positionV relativeFrom="paragraph">
                  <wp:posOffset>740410</wp:posOffset>
                </wp:positionV>
                <wp:extent cx="580390" cy="0"/>
                <wp:effectExtent l="0" t="19050" r="10160" b="19050"/>
                <wp:wrapNone/>
                <wp:docPr id="280" name="直接连接符 280"/>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FFC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2pt;margin-top:58.3pt;height:0pt;width:45.7pt;z-index:252013568;mso-width-relative:page;mso-height-relative:page;" filled="f" stroked="t" coordsize="21600,21600" o:gfxdata="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eMjBrtYAAAALAQAADwAAAAAAAAABACAAAAAiAAAAZHJzL2Rvd25yZXYueG1sUEsB&#10;AhQAFAAAAAgAh07iQFhB5/G+AQAAUAMAAA4AAAAAAAAAAQAgAAAAJQEAAGRycy9lMm9Eb2MueG1s&#10;UEsFBgAAAAAGAAYAWQEAAFUFAAAAAA==&#10;">
                <v:fill on="f" focussize="0,0"/>
                <v:stroke weight="3pt" color="#FFC000 [3204]" joinstyle="round"/>
                <v:imagedata o:title=""/>
                <o:lock v:ext="edit" aspectratio="f"/>
              </v:line>
            </w:pict>
          </mc:Fallback>
        </mc:AlternateContent>
      </w:r>
      <w:r>
        <w:rPr>
          <w:rFonts w:hAnsi="宋体"/>
          <w:b/>
          <w:color w:val="0000FF"/>
          <w:sz w:val="24"/>
        </w:rPr>
        <mc:AlternateContent>
          <mc:Choice Requires="wps">
            <w:drawing>
              <wp:anchor distT="0" distB="0" distL="114300" distR="114300" simplePos="0" relativeHeight="252011520" behindDoc="0" locked="0" layoutInCell="1" allowOverlap="1">
                <wp:simplePos x="0" y="0"/>
                <wp:positionH relativeFrom="column">
                  <wp:posOffset>2934970</wp:posOffset>
                </wp:positionH>
                <wp:positionV relativeFrom="paragraph">
                  <wp:posOffset>532765</wp:posOffset>
                </wp:positionV>
                <wp:extent cx="580390" cy="0"/>
                <wp:effectExtent l="0" t="19050" r="10160" b="19050"/>
                <wp:wrapNone/>
                <wp:docPr id="281" name="直接连接符 281"/>
                <wp:cNvGraphicFramePr/>
                <a:graphic xmlns:a="http://schemas.openxmlformats.org/drawingml/2006/main">
                  <a:graphicData uri="http://schemas.microsoft.com/office/word/2010/wordprocessingShape">
                    <wps:wsp>
                      <wps:cNvCnPr/>
                      <wps:spPr>
                        <a:xfrm>
                          <a:off x="0" y="0"/>
                          <a:ext cx="580390" cy="0"/>
                        </a:xfrm>
                        <a:prstGeom prst="line">
                          <a:avLst/>
                        </a:prstGeom>
                        <a:ln w="38100">
                          <a:solidFill>
                            <a:srgbClr val="00FFFF"/>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1pt;margin-top:41.95pt;height:0pt;width:45.7pt;z-index:252011520;mso-width-relative:page;mso-height-relative:page;" filled="f" stroked="t" coordsize="21600,21600" o:gfxdata="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YlZhZ1gAAAAkBAAAPAAAAAAAAAAEAIAAAACIAAABkcnMvZG93bnJldi54bWxQ&#10;SwECFAAUAAAACACHTuJAmOVuvsABAABQAwAADgAAAAAAAAABACAAAAAlAQAAZHJzL2Uyb0RvYy54&#10;bWxQSwUGAAAAAAYABgBZAQAAVwUAAAAA&#10;">
                <v:fill on="f" focussize="0,0"/>
                <v:stroke weight="3pt" color="#00FFFF [3204]" joinstyle="round"/>
                <v:imagedata o:title=""/>
                <o:lock v:ext="edit" aspectratio="f"/>
              </v:line>
            </w:pict>
          </mc:Fallback>
        </mc:AlternateContent>
      </w:r>
      <w:r>
        <w:rPr>
          <w:rFonts w:hAnsi="宋体"/>
          <w:b/>
          <w:color w:val="0000FF"/>
          <w:sz w:val="24"/>
        </w:rPr>
        <w:pict>
          <v:shape id="_x0000_s1178" o:spid="_x0000_s1178" o:spt="75" type="#_x0000_t75" style="position:absolute;left:0pt;margin-left:626.45pt;margin-top:7.85pt;height:51.9pt;width:38.7pt;z-index:252006400;mso-width-relative:page;mso-height-relative:page;" o:ole="t" filled="f" o:preferrelative="t" stroked="f" coordsize="21600,21600">
            <v:path/>
            <v:fill on="f" focussize="0,0"/>
            <v:stroke on="f" joinstyle="miter"/>
            <v:imagedata r:id="rId69" o:title=""/>
            <o:lock v:ext="edit" aspectratio="t"/>
          </v:shape>
          <o:OLEObject Type="Embed" ProgID="Visio.Drawing.11" ShapeID="_x0000_s1178" DrawAspect="Content" ObjectID="_1468075727" r:id="rId68"/>
        </w:pict>
      </w:r>
      <w:r>
        <w:rPr>
          <w:rFonts w:hAnsi="宋体"/>
          <w:b/>
          <w:color w:val="0000FF"/>
          <w:sz w:val="24"/>
        </w:rPr>
        <w:drawing>
          <wp:inline distT="0" distB="0" distL="0" distR="0">
            <wp:extent cx="8724265" cy="5017770"/>
            <wp:effectExtent l="0" t="0" r="635" b="0"/>
            <wp:docPr id="343" name="图片 343" descr="C:\Users\lix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descr="C:\Users\lixu\Desktop\1.JPG"/>
                    <pic:cNvPicPr>
                      <a:picLocks noChangeAspect="1" noChangeArrowheads="1"/>
                    </pic:cNvPicPr>
                  </pic:nvPicPr>
                  <pic:blipFill>
                    <a:blip r:embed="rId70" cstate="email">
                      <a:extLst>
                        <a:ext uri="{28A0092B-C50C-407E-A947-70E740481C1C}">
                          <a14:useLocalDpi xmlns:a14="http://schemas.microsoft.com/office/drawing/2010/main" val="0"/>
                        </a:ext>
                      </a:extLst>
                    </a:blip>
                    <a:srcRect/>
                    <a:stretch>
                      <a:fillRect/>
                    </a:stretch>
                  </pic:blipFill>
                  <pic:spPr>
                    <a:xfrm>
                      <a:off x="0" y="0"/>
                      <a:ext cx="8724265" cy="5017914"/>
                    </a:xfrm>
                    <a:prstGeom prst="rect">
                      <a:avLst/>
                    </a:prstGeom>
                    <a:noFill/>
                    <a:ln>
                      <a:noFill/>
                    </a:ln>
                  </pic:spPr>
                </pic:pic>
              </a:graphicData>
            </a:graphic>
          </wp:inline>
        </w:drawing>
      </w:r>
    </w:p>
    <w:p>
      <w:pPr>
        <w:spacing w:line="360" w:lineRule="auto"/>
        <w:jc w:val="center"/>
        <w:rPr>
          <w:rFonts w:hAnsi="宋体"/>
          <w:b/>
          <w:color w:val="0000FF"/>
          <w:sz w:val="24"/>
        </w:rPr>
        <w:sectPr>
          <w:headerReference r:id="rId13" w:type="default"/>
          <w:pgSz w:w="16840" w:h="11907" w:orient="landscape"/>
          <w:pgMar w:top="1503" w:right="1440" w:bottom="1599" w:left="1661" w:header="1134" w:footer="992" w:gutter="0"/>
          <w:cols w:space="720" w:num="1"/>
          <w:docGrid w:linePitch="326" w:charSpace="0"/>
        </w:sectPr>
      </w:pPr>
      <w:r>
        <w:rPr>
          <w:rFonts w:hint="eastAsia" w:hAnsi="宋体"/>
          <w:b/>
          <w:color w:val="0000FF"/>
          <w:sz w:val="24"/>
        </w:rPr>
        <w:t>图6.2-1 噪声等值线图</w:t>
      </w:r>
    </w:p>
    <w:p>
      <w:pPr>
        <w:pStyle w:val="5"/>
        <w:tabs>
          <w:tab w:val="left" w:pos="567"/>
        </w:tabs>
        <w:spacing w:before="62" w:beforeLines="20" w:line="360" w:lineRule="auto"/>
        <w:ind w:left="0" w:firstLine="0"/>
        <w:rPr>
          <w:rFonts w:ascii="宋体" w:hAnsi="宋体" w:eastAsia="宋体"/>
          <w:b/>
          <w:sz w:val="28"/>
          <w:szCs w:val="28"/>
        </w:rPr>
      </w:pPr>
      <w:bookmarkStart w:id="173" w:name="_Toc442195727"/>
      <w:r>
        <w:rPr>
          <w:rFonts w:hint="eastAsia" w:ascii="宋体" w:hAnsi="宋体" w:eastAsia="宋体"/>
          <w:b/>
          <w:sz w:val="28"/>
          <w:szCs w:val="28"/>
        </w:rPr>
        <w:t>环境空气影响评价</w:t>
      </w:r>
      <w:bookmarkEnd w:id="173"/>
    </w:p>
    <w:p>
      <w:pPr>
        <w:pStyle w:val="6"/>
        <w:tabs>
          <w:tab w:val="left" w:pos="1006"/>
        </w:tabs>
        <w:spacing w:beforeLines="0" w:afterLines="0"/>
        <w:ind w:left="0" w:firstLine="0"/>
      </w:pPr>
      <w:r>
        <w:rPr>
          <w:rFonts w:hint="eastAsia"/>
        </w:rPr>
        <w:t>码头散货装卸、堆存作业扬尘影响分析</w:t>
      </w:r>
    </w:p>
    <w:p>
      <w:pPr>
        <w:spacing w:line="360" w:lineRule="auto"/>
        <w:ind w:firstLine="480" w:firstLineChars="200"/>
        <w:rPr>
          <w:sz w:val="24"/>
        </w:rPr>
      </w:pPr>
      <w:r>
        <w:rPr>
          <w:sz w:val="24"/>
        </w:rPr>
        <w:t>项目营运期</w:t>
      </w:r>
      <w:r>
        <w:rPr>
          <w:rFonts w:hint="eastAsia"/>
          <w:sz w:val="24"/>
        </w:rPr>
        <w:t>堆场</w:t>
      </w:r>
      <w:r>
        <w:rPr>
          <w:sz w:val="24"/>
        </w:rPr>
        <w:t>扬尘、装卸机械及到港船舶废气系地面无组织排放源，具有近距离的污染特点，废气的排放将对环境空气将产生一定污染影响，但这种影响仅局限在</w:t>
      </w:r>
      <w:r>
        <w:rPr>
          <w:rFonts w:hint="eastAsia"/>
          <w:sz w:val="24"/>
        </w:rPr>
        <w:t>白洋港口作业区</w:t>
      </w:r>
      <w:r>
        <w:rPr>
          <w:sz w:val="24"/>
        </w:rPr>
        <w:t>范围内。而码头作业空气环境污染主要源于码头散货装卸、堆存作业时产生的颗粒物，采用预测分析方法评价TSP对周边大气环境污染影响。</w:t>
      </w:r>
    </w:p>
    <w:p>
      <w:pPr>
        <w:spacing w:line="360" w:lineRule="auto"/>
        <w:ind w:firstLine="482" w:firstLineChars="200"/>
        <w:rPr>
          <w:b/>
          <w:sz w:val="24"/>
        </w:rPr>
      </w:pPr>
      <w:r>
        <w:rPr>
          <w:b/>
          <w:sz w:val="24"/>
        </w:rPr>
        <w:t>一、预测内容</w:t>
      </w:r>
    </w:p>
    <w:p>
      <w:pPr>
        <w:spacing w:line="360" w:lineRule="auto"/>
        <w:ind w:firstLine="480" w:firstLineChars="200"/>
        <w:rPr>
          <w:sz w:val="24"/>
        </w:rPr>
      </w:pPr>
      <w:r>
        <w:rPr>
          <w:sz w:val="24"/>
        </w:rPr>
        <w:t>码头</w:t>
      </w:r>
      <w:r>
        <w:rPr>
          <w:rFonts w:hint="eastAsia"/>
          <w:sz w:val="24"/>
        </w:rPr>
        <w:t>砂石料</w:t>
      </w:r>
      <w:r>
        <w:rPr>
          <w:sz w:val="24"/>
        </w:rPr>
        <w:t>装卸、堆存作业过程起尘量，起尘几率和散货含水率、气象条件等因素有关。对</w:t>
      </w:r>
      <w:r>
        <w:rPr>
          <w:rFonts w:hint="eastAsia"/>
          <w:sz w:val="24"/>
        </w:rPr>
        <w:t>8号</w:t>
      </w:r>
      <w:r>
        <w:rPr>
          <w:sz w:val="24"/>
        </w:rPr>
        <w:t>~</w:t>
      </w:r>
      <w:r>
        <w:rPr>
          <w:rFonts w:hint="eastAsia"/>
          <w:sz w:val="24"/>
        </w:rPr>
        <w:t>11号</w:t>
      </w:r>
      <w:r>
        <w:rPr>
          <w:sz w:val="24"/>
        </w:rPr>
        <w:t>等</w:t>
      </w:r>
      <w:r>
        <w:rPr>
          <w:rFonts w:hint="eastAsia"/>
          <w:sz w:val="24"/>
        </w:rPr>
        <w:t>4</w:t>
      </w:r>
      <w:r>
        <w:rPr>
          <w:sz w:val="24"/>
        </w:rPr>
        <w:t>个散货泊位同时作业，对码头周围区域及敏感点的TSP污染影响情况预测。预测情景组合详见表</w:t>
      </w:r>
      <w:r>
        <w:rPr>
          <w:rFonts w:hint="eastAsia"/>
          <w:sz w:val="24"/>
        </w:rPr>
        <w:t>6.2-4</w:t>
      </w:r>
      <w:r>
        <w:rPr>
          <w:sz w:val="24"/>
        </w:rPr>
        <w:t>。</w:t>
      </w:r>
    </w:p>
    <w:p>
      <w:pPr>
        <w:spacing w:line="360" w:lineRule="auto"/>
        <w:jc w:val="center"/>
        <w:rPr>
          <w:b/>
          <w:snapToGrid w:val="0"/>
          <w:kern w:val="0"/>
          <w:sz w:val="24"/>
        </w:rPr>
      </w:pPr>
      <w:r>
        <w:rPr>
          <w:b/>
          <w:snapToGrid w:val="0"/>
          <w:kern w:val="0"/>
          <w:sz w:val="24"/>
        </w:rPr>
        <w:t>表</w:t>
      </w:r>
      <w:r>
        <w:rPr>
          <w:rFonts w:hint="eastAsia"/>
          <w:b/>
          <w:snapToGrid w:val="0"/>
          <w:kern w:val="0"/>
          <w:sz w:val="24"/>
        </w:rPr>
        <w:t>6.2-4</w:t>
      </w:r>
      <w:r>
        <w:rPr>
          <w:b/>
          <w:snapToGrid w:val="0"/>
          <w:kern w:val="0"/>
          <w:sz w:val="24"/>
        </w:rPr>
        <w:t xml:space="preserve"> 预测情景组合情况表</w:t>
      </w:r>
    </w:p>
    <w:tbl>
      <w:tblPr>
        <w:tblStyle w:val="104"/>
        <w:tblW w:w="8473"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776"/>
        <w:gridCol w:w="2581"/>
        <w:gridCol w:w="1610"/>
        <w:gridCol w:w="1283"/>
        <w:gridCol w:w="2223"/>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7" w:hRule="atLeast"/>
          <w:jc w:val="center"/>
        </w:trPr>
        <w:tc>
          <w:tcPr>
            <w:tcW w:w="776" w:type="dxa"/>
            <w:shd w:val="clear" w:color="auto" w:fill="auto"/>
            <w:vAlign w:val="center"/>
          </w:tcPr>
          <w:p>
            <w:pPr>
              <w:jc w:val="center"/>
              <w:rPr>
                <w:snapToGrid w:val="0"/>
                <w:kern w:val="0"/>
                <w:szCs w:val="21"/>
              </w:rPr>
            </w:pPr>
            <w:r>
              <w:rPr>
                <w:snapToGrid w:val="0"/>
                <w:kern w:val="0"/>
                <w:szCs w:val="21"/>
              </w:rPr>
              <w:t>序号</w:t>
            </w:r>
          </w:p>
        </w:tc>
        <w:tc>
          <w:tcPr>
            <w:tcW w:w="2581" w:type="dxa"/>
            <w:shd w:val="clear" w:color="auto" w:fill="auto"/>
            <w:vAlign w:val="center"/>
          </w:tcPr>
          <w:p>
            <w:pPr>
              <w:jc w:val="center"/>
              <w:rPr>
                <w:snapToGrid w:val="0"/>
                <w:kern w:val="0"/>
                <w:szCs w:val="21"/>
              </w:rPr>
            </w:pPr>
            <w:r>
              <w:rPr>
                <w:snapToGrid w:val="0"/>
                <w:kern w:val="0"/>
                <w:szCs w:val="21"/>
              </w:rPr>
              <w:t>排放方案</w:t>
            </w:r>
          </w:p>
        </w:tc>
        <w:tc>
          <w:tcPr>
            <w:tcW w:w="1610" w:type="dxa"/>
            <w:shd w:val="clear" w:color="auto" w:fill="auto"/>
            <w:vAlign w:val="center"/>
          </w:tcPr>
          <w:p>
            <w:pPr>
              <w:jc w:val="center"/>
              <w:rPr>
                <w:snapToGrid w:val="0"/>
                <w:kern w:val="0"/>
                <w:szCs w:val="21"/>
              </w:rPr>
            </w:pPr>
            <w:r>
              <w:rPr>
                <w:snapToGrid w:val="0"/>
                <w:kern w:val="0"/>
                <w:szCs w:val="21"/>
              </w:rPr>
              <w:t>污染源类别</w:t>
            </w:r>
          </w:p>
        </w:tc>
        <w:tc>
          <w:tcPr>
            <w:tcW w:w="1283" w:type="dxa"/>
            <w:shd w:val="clear" w:color="auto" w:fill="auto"/>
            <w:vAlign w:val="center"/>
          </w:tcPr>
          <w:p>
            <w:pPr>
              <w:jc w:val="center"/>
              <w:rPr>
                <w:snapToGrid w:val="0"/>
                <w:kern w:val="0"/>
                <w:szCs w:val="21"/>
              </w:rPr>
            </w:pPr>
            <w:r>
              <w:rPr>
                <w:snapToGrid w:val="0"/>
                <w:kern w:val="0"/>
                <w:szCs w:val="21"/>
              </w:rPr>
              <w:t>预测因子</w:t>
            </w:r>
          </w:p>
        </w:tc>
        <w:tc>
          <w:tcPr>
            <w:tcW w:w="2223" w:type="dxa"/>
            <w:shd w:val="clear" w:color="auto" w:fill="auto"/>
            <w:vAlign w:val="center"/>
          </w:tcPr>
          <w:p>
            <w:pPr>
              <w:jc w:val="center"/>
              <w:rPr>
                <w:snapToGrid w:val="0"/>
                <w:kern w:val="0"/>
                <w:szCs w:val="21"/>
              </w:rPr>
            </w:pPr>
            <w:r>
              <w:rPr>
                <w:snapToGrid w:val="0"/>
                <w:kern w:val="0"/>
                <w:szCs w:val="21"/>
              </w:rPr>
              <w:t>计算点</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75" w:hRule="atLeast"/>
          <w:jc w:val="center"/>
        </w:trPr>
        <w:tc>
          <w:tcPr>
            <w:tcW w:w="776" w:type="dxa"/>
            <w:shd w:val="clear" w:color="auto" w:fill="auto"/>
            <w:vAlign w:val="center"/>
          </w:tcPr>
          <w:p>
            <w:pPr>
              <w:jc w:val="center"/>
              <w:rPr>
                <w:snapToGrid w:val="0"/>
                <w:kern w:val="0"/>
                <w:szCs w:val="21"/>
              </w:rPr>
            </w:pPr>
            <w:r>
              <w:rPr>
                <w:snapToGrid w:val="0"/>
                <w:kern w:val="0"/>
                <w:szCs w:val="21"/>
              </w:rPr>
              <w:t>1</w:t>
            </w:r>
          </w:p>
        </w:tc>
        <w:tc>
          <w:tcPr>
            <w:tcW w:w="2581" w:type="dxa"/>
            <w:shd w:val="clear" w:color="auto" w:fill="auto"/>
            <w:vAlign w:val="center"/>
          </w:tcPr>
          <w:p>
            <w:pPr>
              <w:jc w:val="center"/>
              <w:rPr>
                <w:snapToGrid w:val="0"/>
                <w:kern w:val="0"/>
                <w:szCs w:val="21"/>
              </w:rPr>
            </w:pPr>
            <w:r>
              <w:rPr>
                <w:rFonts w:hint="eastAsia"/>
                <w:snapToGrid w:val="0"/>
                <w:kern w:val="0"/>
                <w:szCs w:val="21"/>
              </w:rPr>
              <w:t>4</w:t>
            </w:r>
            <w:r>
              <w:rPr>
                <w:snapToGrid w:val="0"/>
                <w:kern w:val="0"/>
                <w:szCs w:val="21"/>
              </w:rPr>
              <w:t>个</w:t>
            </w:r>
            <w:r>
              <w:rPr>
                <w:rFonts w:hint="eastAsia"/>
                <w:snapToGrid w:val="0"/>
                <w:kern w:val="0"/>
                <w:szCs w:val="21"/>
              </w:rPr>
              <w:t>散货</w:t>
            </w:r>
            <w:r>
              <w:rPr>
                <w:snapToGrid w:val="0"/>
                <w:kern w:val="0"/>
                <w:szCs w:val="21"/>
              </w:rPr>
              <w:t>泊位同时装卸散货</w:t>
            </w:r>
          </w:p>
        </w:tc>
        <w:tc>
          <w:tcPr>
            <w:tcW w:w="1610" w:type="dxa"/>
            <w:shd w:val="clear" w:color="auto" w:fill="auto"/>
            <w:vAlign w:val="center"/>
          </w:tcPr>
          <w:p>
            <w:pPr>
              <w:jc w:val="center"/>
              <w:rPr>
                <w:snapToGrid w:val="0"/>
                <w:kern w:val="0"/>
                <w:szCs w:val="21"/>
              </w:rPr>
            </w:pPr>
            <w:r>
              <w:rPr>
                <w:snapToGrid w:val="0"/>
                <w:kern w:val="0"/>
                <w:szCs w:val="21"/>
              </w:rPr>
              <w:t>含水率</w:t>
            </w:r>
            <w:r>
              <w:rPr>
                <w:rFonts w:hint="eastAsia"/>
                <w:snapToGrid w:val="0"/>
                <w:kern w:val="0"/>
                <w:szCs w:val="21"/>
              </w:rPr>
              <w:t>8%</w:t>
            </w:r>
          </w:p>
        </w:tc>
        <w:tc>
          <w:tcPr>
            <w:tcW w:w="1283" w:type="dxa"/>
            <w:shd w:val="clear" w:color="auto" w:fill="auto"/>
            <w:vAlign w:val="center"/>
          </w:tcPr>
          <w:p>
            <w:pPr>
              <w:jc w:val="center"/>
              <w:rPr>
                <w:snapToGrid w:val="0"/>
                <w:kern w:val="0"/>
                <w:szCs w:val="21"/>
                <w:vertAlign w:val="subscript"/>
              </w:rPr>
            </w:pPr>
            <w:r>
              <w:rPr>
                <w:snapToGrid w:val="0"/>
                <w:kern w:val="0"/>
                <w:szCs w:val="21"/>
              </w:rPr>
              <w:t>TSP</w:t>
            </w:r>
          </w:p>
        </w:tc>
        <w:tc>
          <w:tcPr>
            <w:tcW w:w="2223" w:type="dxa"/>
            <w:shd w:val="clear" w:color="auto" w:fill="auto"/>
            <w:vAlign w:val="center"/>
          </w:tcPr>
          <w:p>
            <w:pPr>
              <w:jc w:val="center"/>
              <w:rPr>
                <w:snapToGrid w:val="0"/>
                <w:kern w:val="0"/>
                <w:szCs w:val="21"/>
              </w:rPr>
            </w:pPr>
            <w:r>
              <w:rPr>
                <w:snapToGrid w:val="0"/>
                <w:kern w:val="0"/>
                <w:szCs w:val="21"/>
              </w:rPr>
              <w:t>环境空气保护目标</w:t>
            </w:r>
          </w:p>
          <w:p>
            <w:pPr>
              <w:jc w:val="center"/>
              <w:rPr>
                <w:snapToGrid w:val="0"/>
                <w:kern w:val="0"/>
                <w:szCs w:val="21"/>
              </w:rPr>
            </w:pPr>
            <w:r>
              <w:rPr>
                <w:snapToGrid w:val="0"/>
                <w:kern w:val="0"/>
                <w:szCs w:val="21"/>
              </w:rPr>
              <w:t>最大</w:t>
            </w:r>
            <w:r>
              <w:rPr>
                <w:rFonts w:hint="eastAsia"/>
                <w:snapToGrid w:val="0"/>
                <w:kern w:val="0"/>
                <w:szCs w:val="21"/>
              </w:rPr>
              <w:t>落地浓度</w:t>
            </w:r>
          </w:p>
        </w:tc>
      </w:tr>
    </w:tbl>
    <w:p>
      <w:pPr>
        <w:spacing w:line="360" w:lineRule="auto"/>
        <w:ind w:firstLine="482" w:firstLineChars="200"/>
        <w:rPr>
          <w:b/>
          <w:sz w:val="24"/>
        </w:rPr>
      </w:pPr>
      <w:r>
        <w:rPr>
          <w:b/>
          <w:sz w:val="24"/>
        </w:rPr>
        <w:t>二、预测方法</w:t>
      </w:r>
    </w:p>
    <w:p>
      <w:pPr>
        <w:spacing w:line="360" w:lineRule="auto"/>
        <w:ind w:firstLine="480" w:firstLineChars="200"/>
        <w:rPr>
          <w:sz w:val="24"/>
        </w:rPr>
      </w:pPr>
      <w:r>
        <w:rPr>
          <w:sz w:val="24"/>
        </w:rPr>
        <w:t>污染物浓度预测采用HJ2.2-2008《环境影响评价技术导则—大气环境》推荐的</w:t>
      </w:r>
      <w:r>
        <w:rPr>
          <w:rFonts w:hint="eastAsia"/>
          <w:sz w:val="24"/>
        </w:rPr>
        <w:t>估算</w:t>
      </w:r>
      <w:r>
        <w:rPr>
          <w:sz w:val="24"/>
        </w:rPr>
        <w:t>模式</w:t>
      </w:r>
      <w:r>
        <w:rPr>
          <w:rFonts w:hint="eastAsia"/>
          <w:sz w:val="24"/>
        </w:rPr>
        <w:t>SCREEN3</w:t>
      </w:r>
      <w:r>
        <w:rPr>
          <w:sz w:val="24"/>
        </w:rPr>
        <w:t>进行计算。</w:t>
      </w:r>
    </w:p>
    <w:p>
      <w:pPr>
        <w:spacing w:line="360" w:lineRule="auto"/>
        <w:ind w:firstLine="482" w:firstLineChars="200"/>
        <w:rPr>
          <w:b/>
          <w:sz w:val="24"/>
        </w:rPr>
      </w:pPr>
      <w:r>
        <w:rPr>
          <w:b/>
          <w:sz w:val="24"/>
        </w:rPr>
        <w:t>三、污染源强</w:t>
      </w:r>
    </w:p>
    <w:p>
      <w:pPr>
        <w:spacing w:line="360" w:lineRule="auto"/>
        <w:ind w:firstLine="480" w:firstLineChars="200"/>
        <w:rPr>
          <w:sz w:val="24"/>
        </w:rPr>
      </w:pPr>
      <w:r>
        <w:rPr>
          <w:rFonts w:hint="eastAsia"/>
          <w:sz w:val="24"/>
        </w:rPr>
        <w:t>工程在散货装卸船、装卸车、港区堆场存取时均设置湿式除尘系统，同时在散货堆场周边设置防风网，根据计算，本项目</w:t>
      </w:r>
      <w:r>
        <w:rPr>
          <w:sz w:val="24"/>
        </w:rPr>
        <w:t>污染源强基本情况见表</w:t>
      </w:r>
      <w:r>
        <w:rPr>
          <w:rFonts w:hint="eastAsia"/>
          <w:sz w:val="24"/>
        </w:rPr>
        <w:t>6.2-5</w:t>
      </w:r>
      <w:r>
        <w:rPr>
          <w:sz w:val="24"/>
        </w:rPr>
        <w:t>。</w:t>
      </w:r>
    </w:p>
    <w:p>
      <w:pPr>
        <w:jc w:val="center"/>
        <w:rPr>
          <w:b/>
          <w:bCs/>
          <w:szCs w:val="21"/>
        </w:rPr>
      </w:pPr>
      <w:r>
        <w:rPr>
          <w:b/>
          <w:bCs/>
          <w:szCs w:val="21"/>
        </w:rPr>
        <w:t>表</w:t>
      </w:r>
      <w:r>
        <w:rPr>
          <w:rFonts w:hint="eastAsia"/>
          <w:b/>
          <w:bCs/>
          <w:szCs w:val="21"/>
        </w:rPr>
        <w:t>6.2-5</w:t>
      </w:r>
      <w:r>
        <w:rPr>
          <w:b/>
          <w:bCs/>
          <w:szCs w:val="21"/>
        </w:rPr>
        <w:t xml:space="preserve"> 码头散货卸船、堆场堆存作业起尘源强</w:t>
      </w:r>
    </w:p>
    <w:tbl>
      <w:tblPr>
        <w:tblStyle w:val="104"/>
        <w:tblW w:w="8478" w:type="dxa"/>
        <w:jc w:val="center"/>
        <w:tblInd w:w="81"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701"/>
        <w:gridCol w:w="1633"/>
        <w:gridCol w:w="1036"/>
        <w:gridCol w:w="963"/>
        <w:gridCol w:w="729"/>
        <w:gridCol w:w="1292"/>
        <w:gridCol w:w="1056"/>
        <w:gridCol w:w="106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51" w:hRule="atLeast"/>
          <w:jc w:val="center"/>
        </w:trPr>
        <w:tc>
          <w:tcPr>
            <w:tcW w:w="701" w:type="dxa"/>
            <w:vMerge w:val="restart"/>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类别</w:t>
            </w:r>
          </w:p>
        </w:tc>
        <w:tc>
          <w:tcPr>
            <w:tcW w:w="1633" w:type="dxa"/>
            <w:vMerge w:val="restart"/>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面源名称</w:t>
            </w:r>
          </w:p>
        </w:tc>
        <w:tc>
          <w:tcPr>
            <w:tcW w:w="1036" w:type="dxa"/>
            <w:vMerge w:val="restart"/>
            <w:shd w:val="clear" w:color="auto" w:fill="auto"/>
            <w:vAlign w:val="center"/>
          </w:tcPr>
          <w:p>
            <w:pPr>
              <w:pStyle w:val="186"/>
              <w:spacing w:line="240" w:lineRule="exact"/>
              <w:ind w:left="-118" w:leftChars="-56" w:right="-92" w:rightChars="-44"/>
              <w:jc w:val="center"/>
              <w:rPr>
                <w:rFonts w:ascii="Times New Roman" w:hAnsi="Times New Roman"/>
              </w:rPr>
            </w:pPr>
            <w:r>
              <w:rPr>
                <w:rFonts w:ascii="Times New Roman" w:hAnsi="Times New Roman"/>
              </w:rPr>
              <w:t>面源长度</w:t>
            </w:r>
          </w:p>
        </w:tc>
        <w:tc>
          <w:tcPr>
            <w:tcW w:w="963" w:type="dxa"/>
            <w:vMerge w:val="restart"/>
            <w:shd w:val="clear" w:color="auto" w:fill="auto"/>
            <w:vAlign w:val="center"/>
          </w:tcPr>
          <w:p>
            <w:pPr>
              <w:pStyle w:val="186"/>
              <w:spacing w:line="240" w:lineRule="exact"/>
              <w:ind w:left="-118" w:leftChars="-56" w:right="-92" w:rightChars="-44"/>
              <w:jc w:val="center"/>
              <w:rPr>
                <w:rFonts w:ascii="Times New Roman" w:hAnsi="Times New Roman"/>
              </w:rPr>
            </w:pPr>
            <w:r>
              <w:rPr>
                <w:rFonts w:ascii="Times New Roman" w:hAnsi="Times New Roman"/>
              </w:rPr>
              <w:t>面源宽度</w:t>
            </w:r>
          </w:p>
        </w:tc>
        <w:tc>
          <w:tcPr>
            <w:tcW w:w="729" w:type="dxa"/>
            <w:vMerge w:val="restart"/>
            <w:vAlign w:val="center"/>
          </w:tcPr>
          <w:p>
            <w:pPr>
              <w:pStyle w:val="186"/>
              <w:spacing w:line="240" w:lineRule="exact"/>
              <w:ind w:left="-94" w:leftChars="-45" w:right="-76" w:rightChars="-36"/>
              <w:jc w:val="center"/>
              <w:rPr>
                <w:rFonts w:ascii="Times New Roman" w:hAnsi="Times New Roman"/>
              </w:rPr>
            </w:pPr>
            <w:r>
              <w:rPr>
                <w:rFonts w:ascii="Times New Roman" w:hAnsi="Times New Roman"/>
              </w:rPr>
              <w:t>与正北夹角</w:t>
            </w:r>
          </w:p>
        </w:tc>
        <w:tc>
          <w:tcPr>
            <w:tcW w:w="1292" w:type="dxa"/>
            <w:vMerge w:val="restart"/>
            <w:shd w:val="clear" w:color="auto" w:fill="auto"/>
            <w:vAlign w:val="center"/>
          </w:tcPr>
          <w:p>
            <w:pPr>
              <w:pStyle w:val="186"/>
              <w:spacing w:line="240" w:lineRule="exact"/>
              <w:ind w:left="-94" w:leftChars="-45" w:right="-76" w:rightChars="-36"/>
              <w:jc w:val="center"/>
              <w:rPr>
                <w:rFonts w:ascii="Times New Roman" w:hAnsi="Times New Roman"/>
              </w:rPr>
            </w:pPr>
            <w:r>
              <w:rPr>
                <w:rFonts w:ascii="Times New Roman" w:hAnsi="Times New Roman"/>
              </w:rPr>
              <w:t>面源初始排放高度</w:t>
            </w:r>
          </w:p>
        </w:tc>
        <w:tc>
          <w:tcPr>
            <w:tcW w:w="2124" w:type="dxa"/>
            <w:gridSpan w:val="2"/>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排放源强</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50" w:hRule="atLeast"/>
          <w:jc w:val="center"/>
        </w:trPr>
        <w:tc>
          <w:tcPr>
            <w:tcW w:w="701" w:type="dxa"/>
            <w:vMerge w:val="continue"/>
            <w:shd w:val="clear" w:color="auto" w:fill="auto"/>
            <w:vAlign w:val="center"/>
          </w:tcPr>
          <w:p>
            <w:pPr>
              <w:pStyle w:val="186"/>
              <w:spacing w:line="240" w:lineRule="exact"/>
              <w:ind w:left="-21" w:right="-21"/>
              <w:jc w:val="center"/>
              <w:rPr>
                <w:rFonts w:ascii="Times New Roman" w:hAnsi="Times New Roman"/>
              </w:rPr>
            </w:pPr>
          </w:p>
        </w:tc>
        <w:tc>
          <w:tcPr>
            <w:tcW w:w="1633" w:type="dxa"/>
            <w:vMerge w:val="continue"/>
            <w:shd w:val="clear" w:color="auto" w:fill="auto"/>
            <w:vAlign w:val="center"/>
          </w:tcPr>
          <w:p>
            <w:pPr>
              <w:pStyle w:val="186"/>
              <w:spacing w:line="240" w:lineRule="exact"/>
              <w:ind w:left="-21" w:right="-21"/>
              <w:jc w:val="center"/>
              <w:rPr>
                <w:rFonts w:ascii="Times New Roman" w:hAnsi="Times New Roman"/>
              </w:rPr>
            </w:pPr>
          </w:p>
        </w:tc>
        <w:tc>
          <w:tcPr>
            <w:tcW w:w="1036" w:type="dxa"/>
            <w:vMerge w:val="continue"/>
            <w:shd w:val="clear" w:color="auto" w:fill="auto"/>
            <w:vAlign w:val="center"/>
          </w:tcPr>
          <w:p>
            <w:pPr>
              <w:pStyle w:val="186"/>
              <w:spacing w:line="240" w:lineRule="exact"/>
              <w:ind w:left="-118" w:leftChars="-56" w:right="-92" w:rightChars="-44"/>
              <w:jc w:val="center"/>
              <w:rPr>
                <w:rFonts w:ascii="Times New Roman" w:hAnsi="Times New Roman"/>
              </w:rPr>
            </w:pPr>
          </w:p>
        </w:tc>
        <w:tc>
          <w:tcPr>
            <w:tcW w:w="963" w:type="dxa"/>
            <w:vMerge w:val="continue"/>
            <w:shd w:val="clear" w:color="auto" w:fill="auto"/>
            <w:vAlign w:val="center"/>
          </w:tcPr>
          <w:p>
            <w:pPr>
              <w:pStyle w:val="186"/>
              <w:spacing w:line="240" w:lineRule="exact"/>
              <w:ind w:left="-118" w:leftChars="-56" w:right="-92" w:rightChars="-44"/>
              <w:jc w:val="center"/>
              <w:rPr>
                <w:rFonts w:ascii="Times New Roman" w:hAnsi="Times New Roman"/>
              </w:rPr>
            </w:pPr>
          </w:p>
        </w:tc>
        <w:tc>
          <w:tcPr>
            <w:tcW w:w="729" w:type="dxa"/>
            <w:vMerge w:val="continue"/>
            <w:vAlign w:val="center"/>
          </w:tcPr>
          <w:p>
            <w:pPr>
              <w:pStyle w:val="186"/>
              <w:spacing w:line="240" w:lineRule="exact"/>
              <w:ind w:left="-94" w:leftChars="-45" w:right="-76" w:rightChars="-36"/>
              <w:jc w:val="center"/>
              <w:rPr>
                <w:rFonts w:ascii="Times New Roman" w:hAnsi="Times New Roman"/>
              </w:rPr>
            </w:pPr>
          </w:p>
        </w:tc>
        <w:tc>
          <w:tcPr>
            <w:tcW w:w="1292" w:type="dxa"/>
            <w:vMerge w:val="continue"/>
            <w:shd w:val="clear" w:color="auto" w:fill="auto"/>
            <w:vAlign w:val="center"/>
          </w:tcPr>
          <w:p>
            <w:pPr>
              <w:pStyle w:val="186"/>
              <w:spacing w:line="240" w:lineRule="exact"/>
              <w:ind w:left="-94" w:leftChars="-45" w:right="-76" w:rightChars="-36"/>
              <w:jc w:val="center"/>
              <w:rPr>
                <w:rFonts w:ascii="Times New Roman" w:hAnsi="Times New Roman"/>
              </w:rPr>
            </w:pPr>
          </w:p>
        </w:tc>
        <w:tc>
          <w:tcPr>
            <w:tcW w:w="1056"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TSP</w:t>
            </w:r>
          </w:p>
        </w:tc>
        <w:tc>
          <w:tcPr>
            <w:tcW w:w="1068" w:type="dxa"/>
            <w:shd w:val="clear" w:color="auto" w:fill="auto"/>
            <w:vAlign w:val="center"/>
          </w:tcPr>
          <w:p>
            <w:pPr>
              <w:pStyle w:val="186"/>
              <w:spacing w:line="240" w:lineRule="exact"/>
              <w:ind w:left="-21" w:right="-21"/>
              <w:jc w:val="center"/>
              <w:rPr>
                <w:rFonts w:ascii="Times New Roman" w:hAnsi="Times New Roman"/>
                <w:vertAlign w:val="subscript"/>
              </w:rPr>
            </w:pPr>
            <w:r>
              <w:rPr>
                <w:rFonts w:ascii="Times New Roman" w:hAnsi="Times New Roman"/>
              </w:rPr>
              <w:t>PM</w:t>
            </w:r>
            <w:r>
              <w:rPr>
                <w:rFonts w:ascii="Times New Roman" w:hAnsi="Times New Roman"/>
                <w:vertAlign w:val="subscript"/>
              </w:rPr>
              <w:t>10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58" w:hRule="atLeast"/>
          <w:jc w:val="center"/>
        </w:trPr>
        <w:tc>
          <w:tcPr>
            <w:tcW w:w="701"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单位</w:t>
            </w:r>
          </w:p>
        </w:tc>
        <w:tc>
          <w:tcPr>
            <w:tcW w:w="1633"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w:t>
            </w:r>
          </w:p>
        </w:tc>
        <w:tc>
          <w:tcPr>
            <w:tcW w:w="1036"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m</w:t>
            </w:r>
          </w:p>
        </w:tc>
        <w:tc>
          <w:tcPr>
            <w:tcW w:w="963"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m</w:t>
            </w:r>
          </w:p>
        </w:tc>
        <w:tc>
          <w:tcPr>
            <w:tcW w:w="729" w:type="dxa"/>
            <w:vAlign w:val="center"/>
          </w:tcPr>
          <w:p>
            <w:pPr>
              <w:pStyle w:val="186"/>
              <w:spacing w:line="240" w:lineRule="exact"/>
              <w:ind w:left="-21" w:right="-21"/>
              <w:jc w:val="center"/>
              <w:rPr>
                <w:rFonts w:ascii="Times New Roman" w:hAnsi="Times New Roman"/>
              </w:rPr>
            </w:pPr>
            <w:r>
              <w:rPr>
                <w:rFonts w:ascii="Times New Roman" w:hAnsi="Times New Roman"/>
              </w:rPr>
              <w:t>°</w:t>
            </w:r>
          </w:p>
        </w:tc>
        <w:tc>
          <w:tcPr>
            <w:tcW w:w="1292"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m</w:t>
            </w:r>
          </w:p>
        </w:tc>
        <w:tc>
          <w:tcPr>
            <w:tcW w:w="1056"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mg/s</w:t>
            </w:r>
          </w:p>
        </w:tc>
        <w:tc>
          <w:tcPr>
            <w:tcW w:w="1068" w:type="dxa"/>
            <w:vAlign w:val="center"/>
          </w:tcPr>
          <w:p>
            <w:pPr>
              <w:pStyle w:val="186"/>
              <w:spacing w:line="240" w:lineRule="exact"/>
              <w:ind w:left="-21" w:right="-21"/>
              <w:jc w:val="center"/>
              <w:rPr>
                <w:rFonts w:ascii="Times New Roman" w:hAnsi="Times New Roman"/>
              </w:rPr>
            </w:pPr>
            <w:r>
              <w:rPr>
                <w:rFonts w:ascii="Times New Roman" w:hAnsi="Times New Roman"/>
              </w:rPr>
              <w:t>mg/s</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58" w:hRule="atLeast"/>
          <w:jc w:val="center"/>
        </w:trPr>
        <w:tc>
          <w:tcPr>
            <w:tcW w:w="701" w:type="dxa"/>
            <w:vMerge w:val="restart"/>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源强</w:t>
            </w:r>
          </w:p>
          <w:p>
            <w:pPr>
              <w:pStyle w:val="186"/>
              <w:spacing w:line="240" w:lineRule="exact"/>
              <w:ind w:left="-21" w:right="-21"/>
              <w:jc w:val="center"/>
              <w:rPr>
                <w:rFonts w:ascii="Times New Roman" w:hAnsi="Times New Roman"/>
              </w:rPr>
            </w:pPr>
            <w:r>
              <w:rPr>
                <w:rFonts w:ascii="Times New Roman" w:hAnsi="Times New Roman"/>
              </w:rPr>
              <w:t>类别</w:t>
            </w:r>
          </w:p>
        </w:tc>
        <w:tc>
          <w:tcPr>
            <w:tcW w:w="1633"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码头装卸矿石</w:t>
            </w:r>
          </w:p>
        </w:tc>
        <w:tc>
          <w:tcPr>
            <w:tcW w:w="1036"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90</w:t>
            </w:r>
          </w:p>
        </w:tc>
        <w:tc>
          <w:tcPr>
            <w:tcW w:w="963"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32</w:t>
            </w:r>
          </w:p>
        </w:tc>
        <w:tc>
          <w:tcPr>
            <w:tcW w:w="729" w:type="dxa"/>
            <w:vAlign w:val="center"/>
          </w:tcPr>
          <w:p>
            <w:pPr>
              <w:pStyle w:val="186"/>
              <w:spacing w:line="240" w:lineRule="exact"/>
              <w:ind w:left="-21" w:right="-21"/>
              <w:jc w:val="center"/>
              <w:rPr>
                <w:rFonts w:ascii="Times New Roman" w:hAnsi="Times New Roman"/>
              </w:rPr>
            </w:pPr>
            <w:r>
              <w:rPr>
                <w:rFonts w:ascii="Times New Roman" w:hAnsi="Times New Roman"/>
              </w:rPr>
              <w:t>11.5</w:t>
            </w:r>
          </w:p>
        </w:tc>
        <w:tc>
          <w:tcPr>
            <w:tcW w:w="1292"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10</w:t>
            </w:r>
          </w:p>
        </w:tc>
        <w:tc>
          <w:tcPr>
            <w:tcW w:w="1056"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79.6</w:t>
            </w:r>
          </w:p>
        </w:tc>
        <w:tc>
          <w:tcPr>
            <w:tcW w:w="1068" w:type="dxa"/>
            <w:vAlign w:val="center"/>
          </w:tcPr>
          <w:p>
            <w:pPr>
              <w:jc w:val="center"/>
              <w:rPr>
                <w:szCs w:val="21"/>
              </w:rPr>
            </w:pPr>
            <w:r>
              <w:rPr>
                <w:rFonts w:hint="eastAsia"/>
                <w:szCs w:val="21"/>
              </w:rPr>
              <w:t>16.7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58" w:hRule="atLeast"/>
          <w:jc w:val="center"/>
        </w:trPr>
        <w:tc>
          <w:tcPr>
            <w:tcW w:w="701" w:type="dxa"/>
            <w:vMerge w:val="continue"/>
            <w:shd w:val="clear" w:color="auto" w:fill="auto"/>
            <w:vAlign w:val="center"/>
          </w:tcPr>
          <w:p>
            <w:pPr>
              <w:pStyle w:val="186"/>
              <w:spacing w:line="240" w:lineRule="exact"/>
              <w:ind w:left="-21" w:right="-21"/>
              <w:jc w:val="center"/>
              <w:rPr>
                <w:rFonts w:ascii="Times New Roman" w:hAnsi="Times New Roman"/>
              </w:rPr>
            </w:pPr>
          </w:p>
        </w:tc>
        <w:tc>
          <w:tcPr>
            <w:tcW w:w="1633"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堆场风蚀起尘</w:t>
            </w:r>
          </w:p>
        </w:tc>
        <w:tc>
          <w:tcPr>
            <w:tcW w:w="1036"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180</w:t>
            </w:r>
          </w:p>
        </w:tc>
        <w:tc>
          <w:tcPr>
            <w:tcW w:w="963"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60</w:t>
            </w:r>
          </w:p>
        </w:tc>
        <w:tc>
          <w:tcPr>
            <w:tcW w:w="729" w:type="dxa"/>
            <w:vAlign w:val="center"/>
          </w:tcPr>
          <w:p>
            <w:pPr>
              <w:pStyle w:val="186"/>
              <w:spacing w:line="240" w:lineRule="exact"/>
              <w:ind w:left="-21" w:right="-21"/>
              <w:jc w:val="center"/>
              <w:rPr>
                <w:rFonts w:ascii="Times New Roman" w:hAnsi="Times New Roman"/>
              </w:rPr>
            </w:pPr>
            <w:r>
              <w:rPr>
                <w:rFonts w:ascii="Times New Roman" w:hAnsi="Times New Roman"/>
              </w:rPr>
              <w:t>11.5</w:t>
            </w:r>
          </w:p>
        </w:tc>
        <w:tc>
          <w:tcPr>
            <w:tcW w:w="1292" w:type="dxa"/>
            <w:shd w:val="clear" w:color="auto" w:fill="auto"/>
            <w:vAlign w:val="center"/>
          </w:tcPr>
          <w:p>
            <w:pPr>
              <w:pStyle w:val="186"/>
              <w:spacing w:line="240" w:lineRule="exact"/>
              <w:ind w:left="-21" w:right="-21"/>
              <w:jc w:val="center"/>
              <w:rPr>
                <w:rFonts w:ascii="Times New Roman" w:hAnsi="Times New Roman"/>
              </w:rPr>
            </w:pPr>
            <w:r>
              <w:rPr>
                <w:rFonts w:ascii="Times New Roman" w:hAnsi="Times New Roman"/>
              </w:rPr>
              <w:t>8</w:t>
            </w:r>
          </w:p>
        </w:tc>
        <w:tc>
          <w:tcPr>
            <w:tcW w:w="1056" w:type="dxa"/>
            <w:shd w:val="clear" w:color="auto" w:fill="auto"/>
            <w:vAlign w:val="center"/>
          </w:tcPr>
          <w:p>
            <w:pPr>
              <w:pStyle w:val="186"/>
              <w:spacing w:line="240" w:lineRule="exact"/>
              <w:ind w:left="-21" w:right="-21"/>
              <w:jc w:val="center"/>
              <w:rPr>
                <w:rFonts w:ascii="Times New Roman" w:hAnsi="Times New Roman"/>
              </w:rPr>
            </w:pPr>
            <w:r>
              <w:rPr>
                <w:rFonts w:hint="eastAsia" w:ascii="Times New Roman" w:hAnsi="Times New Roman"/>
              </w:rPr>
              <w:t>103.22</w:t>
            </w:r>
          </w:p>
        </w:tc>
        <w:tc>
          <w:tcPr>
            <w:tcW w:w="1068" w:type="dxa"/>
            <w:vAlign w:val="center"/>
          </w:tcPr>
          <w:p>
            <w:pPr>
              <w:jc w:val="center"/>
              <w:rPr>
                <w:szCs w:val="21"/>
              </w:rPr>
            </w:pPr>
            <w:r>
              <w:rPr>
                <w:rFonts w:hint="eastAsia"/>
                <w:szCs w:val="21"/>
              </w:rPr>
              <w:t>21.68</w:t>
            </w:r>
          </w:p>
        </w:tc>
      </w:tr>
    </w:tbl>
    <w:p>
      <w:pPr>
        <w:spacing w:line="360" w:lineRule="auto"/>
        <w:ind w:firstLine="482" w:firstLineChars="200"/>
        <w:rPr>
          <w:b/>
          <w:bCs/>
          <w:sz w:val="24"/>
        </w:rPr>
      </w:pPr>
      <w:r>
        <w:rPr>
          <w:b/>
          <w:bCs/>
          <w:sz w:val="24"/>
        </w:rPr>
        <w:t>四、预测结果</w:t>
      </w:r>
    </w:p>
    <w:p>
      <w:pPr>
        <w:pStyle w:val="1205"/>
        <w:spacing w:line="360" w:lineRule="auto"/>
        <w:ind w:firstLine="482"/>
        <w:jc w:val="both"/>
        <w:rPr>
          <w:b/>
          <w:color w:val="auto"/>
        </w:rPr>
      </w:pPr>
      <w:r>
        <w:rPr>
          <w:rFonts w:hint="eastAsia"/>
          <w:b/>
          <w:color w:val="auto"/>
        </w:rPr>
        <w:t>（1）大气环境影响估算预测</w:t>
      </w:r>
    </w:p>
    <w:p>
      <w:pPr>
        <w:jc w:val="center"/>
        <w:rPr>
          <w:b/>
          <w:bCs/>
          <w:szCs w:val="21"/>
        </w:rPr>
      </w:pPr>
      <w:r>
        <w:rPr>
          <w:rFonts w:hint="eastAsia"/>
          <w:b/>
          <w:bCs/>
          <w:szCs w:val="21"/>
        </w:rPr>
        <w:t>表6.2-6  大气环境影响估算预测结果</w:t>
      </w:r>
    </w:p>
    <w:tbl>
      <w:tblPr>
        <w:tblStyle w:val="104"/>
        <w:tblW w:w="9031" w:type="dxa"/>
        <w:jc w:val="center"/>
        <w:tblInd w:w="417"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23"/>
        <w:gridCol w:w="1064"/>
        <w:gridCol w:w="882"/>
        <w:gridCol w:w="1063"/>
        <w:gridCol w:w="896"/>
        <w:gridCol w:w="1077"/>
        <w:gridCol w:w="927"/>
        <w:gridCol w:w="1134"/>
        <w:gridCol w:w="86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739" w:hRule="atLeast"/>
          <w:jc w:val="center"/>
        </w:trPr>
        <w:tc>
          <w:tcPr>
            <w:tcW w:w="1123" w:type="dxa"/>
            <w:vMerge w:val="restart"/>
            <w:shd w:val="clear" w:color="auto" w:fill="auto"/>
            <w:vAlign w:val="center"/>
          </w:tcPr>
          <w:p>
            <w:pPr>
              <w:adjustRightInd w:val="0"/>
              <w:snapToGrid w:val="0"/>
              <w:spacing w:line="240" w:lineRule="exact"/>
              <w:jc w:val="center"/>
              <w:rPr>
                <w:kern w:val="0"/>
                <w:szCs w:val="21"/>
              </w:rPr>
            </w:pPr>
            <w:r>
              <w:rPr>
                <w:kern w:val="0"/>
                <w:szCs w:val="21"/>
              </w:rPr>
              <w:t>距污染源中心的下风向距离</w:t>
            </w:r>
          </w:p>
          <w:p>
            <w:pPr>
              <w:adjustRightInd w:val="0"/>
              <w:snapToGrid w:val="0"/>
              <w:spacing w:line="240" w:lineRule="exact"/>
              <w:jc w:val="center"/>
              <w:rPr>
                <w:kern w:val="0"/>
                <w:szCs w:val="21"/>
              </w:rPr>
            </w:pPr>
            <w:r>
              <w:rPr>
                <w:kern w:val="0"/>
                <w:szCs w:val="21"/>
              </w:rPr>
              <w:t>D（m）</w:t>
            </w:r>
          </w:p>
        </w:tc>
        <w:tc>
          <w:tcPr>
            <w:tcW w:w="1946" w:type="dxa"/>
            <w:gridSpan w:val="2"/>
            <w:shd w:val="clear" w:color="auto" w:fill="auto"/>
            <w:vAlign w:val="center"/>
          </w:tcPr>
          <w:p>
            <w:pPr>
              <w:adjustRightInd w:val="0"/>
              <w:snapToGrid w:val="0"/>
              <w:spacing w:line="240" w:lineRule="exact"/>
              <w:jc w:val="center"/>
              <w:rPr>
                <w:kern w:val="0"/>
                <w:szCs w:val="21"/>
              </w:rPr>
            </w:pPr>
            <w:r>
              <w:rPr>
                <w:kern w:val="0"/>
                <w:szCs w:val="21"/>
              </w:rPr>
              <w:t>码头装卸起尘</w:t>
            </w:r>
          </w:p>
          <w:p>
            <w:pPr>
              <w:adjustRightInd w:val="0"/>
              <w:snapToGrid w:val="0"/>
              <w:spacing w:line="240" w:lineRule="exact"/>
              <w:jc w:val="center"/>
              <w:rPr>
                <w:kern w:val="0"/>
                <w:szCs w:val="21"/>
              </w:rPr>
            </w:pPr>
            <w:r>
              <w:rPr>
                <w:kern w:val="0"/>
                <w:szCs w:val="21"/>
              </w:rPr>
              <w:t>TSP</w:t>
            </w:r>
          </w:p>
        </w:tc>
        <w:tc>
          <w:tcPr>
            <w:tcW w:w="1959" w:type="dxa"/>
            <w:gridSpan w:val="2"/>
            <w:vAlign w:val="center"/>
          </w:tcPr>
          <w:p>
            <w:pPr>
              <w:adjustRightInd w:val="0"/>
              <w:snapToGrid w:val="0"/>
              <w:spacing w:line="240" w:lineRule="exact"/>
              <w:jc w:val="center"/>
              <w:rPr>
                <w:kern w:val="0"/>
                <w:szCs w:val="21"/>
              </w:rPr>
            </w:pPr>
            <w:r>
              <w:rPr>
                <w:kern w:val="0"/>
                <w:szCs w:val="21"/>
              </w:rPr>
              <w:t>码头装卸起尘</w:t>
            </w:r>
          </w:p>
          <w:p>
            <w:pPr>
              <w:adjustRightInd w:val="0"/>
              <w:snapToGrid w:val="0"/>
              <w:spacing w:line="240" w:lineRule="exact"/>
              <w:jc w:val="center"/>
              <w:rPr>
                <w:kern w:val="0"/>
                <w:szCs w:val="21"/>
              </w:rPr>
            </w:pPr>
            <w:r>
              <w:rPr>
                <w:kern w:val="0"/>
                <w:szCs w:val="21"/>
              </w:rPr>
              <w:t>PM</w:t>
            </w:r>
            <w:r>
              <w:rPr>
                <w:kern w:val="0"/>
                <w:szCs w:val="21"/>
                <w:vertAlign w:val="subscript"/>
              </w:rPr>
              <w:t>0</w:t>
            </w:r>
          </w:p>
        </w:tc>
        <w:tc>
          <w:tcPr>
            <w:tcW w:w="2004" w:type="dxa"/>
            <w:gridSpan w:val="2"/>
            <w:vAlign w:val="center"/>
          </w:tcPr>
          <w:p>
            <w:pPr>
              <w:adjustRightInd w:val="0"/>
              <w:snapToGrid w:val="0"/>
              <w:spacing w:line="240" w:lineRule="exact"/>
              <w:jc w:val="center"/>
              <w:rPr>
                <w:kern w:val="0"/>
                <w:szCs w:val="21"/>
              </w:rPr>
            </w:pPr>
            <w:r>
              <w:rPr>
                <w:kern w:val="0"/>
                <w:szCs w:val="21"/>
              </w:rPr>
              <w:t>堆场起尘</w:t>
            </w:r>
          </w:p>
          <w:p>
            <w:pPr>
              <w:adjustRightInd w:val="0"/>
              <w:snapToGrid w:val="0"/>
              <w:spacing w:line="240" w:lineRule="exact"/>
              <w:jc w:val="center"/>
              <w:rPr>
                <w:kern w:val="0"/>
                <w:szCs w:val="21"/>
              </w:rPr>
            </w:pPr>
            <w:r>
              <w:rPr>
                <w:kern w:val="0"/>
                <w:szCs w:val="21"/>
              </w:rPr>
              <w:t>TSP</w:t>
            </w:r>
          </w:p>
        </w:tc>
        <w:tc>
          <w:tcPr>
            <w:tcW w:w="1999" w:type="dxa"/>
            <w:gridSpan w:val="2"/>
            <w:vAlign w:val="center"/>
          </w:tcPr>
          <w:p>
            <w:pPr>
              <w:adjustRightInd w:val="0"/>
              <w:snapToGrid w:val="0"/>
              <w:spacing w:line="240" w:lineRule="exact"/>
              <w:jc w:val="center"/>
              <w:rPr>
                <w:kern w:val="0"/>
                <w:szCs w:val="21"/>
              </w:rPr>
            </w:pPr>
            <w:r>
              <w:rPr>
                <w:kern w:val="0"/>
                <w:szCs w:val="21"/>
              </w:rPr>
              <w:t>堆场起尘</w:t>
            </w:r>
          </w:p>
          <w:p>
            <w:pPr>
              <w:adjustRightInd w:val="0"/>
              <w:snapToGrid w:val="0"/>
              <w:spacing w:line="240" w:lineRule="exact"/>
              <w:jc w:val="center"/>
              <w:rPr>
                <w:kern w:val="0"/>
                <w:szCs w:val="21"/>
              </w:rPr>
            </w:pPr>
            <w:r>
              <w:rPr>
                <w:kern w:val="0"/>
                <w:szCs w:val="21"/>
              </w:rPr>
              <w:t>PM</w:t>
            </w:r>
            <w:r>
              <w:rPr>
                <w:kern w:val="0"/>
                <w:szCs w:val="21"/>
                <w:vertAlign w:val="subscript"/>
              </w:rPr>
              <w:t>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864" w:hRule="atLeast"/>
          <w:jc w:val="center"/>
        </w:trPr>
        <w:tc>
          <w:tcPr>
            <w:tcW w:w="1123" w:type="dxa"/>
            <w:vMerge w:val="continue"/>
            <w:shd w:val="clear" w:color="auto" w:fill="auto"/>
            <w:vAlign w:val="center"/>
          </w:tcPr>
          <w:p>
            <w:pPr>
              <w:widowControl/>
              <w:adjustRightInd w:val="0"/>
              <w:snapToGrid w:val="0"/>
              <w:spacing w:line="240" w:lineRule="exact"/>
              <w:jc w:val="left"/>
              <w:rPr>
                <w:kern w:val="0"/>
                <w:szCs w:val="21"/>
              </w:rPr>
            </w:pPr>
          </w:p>
        </w:tc>
        <w:tc>
          <w:tcPr>
            <w:tcW w:w="1064" w:type="dxa"/>
            <w:shd w:val="clear" w:color="auto" w:fill="auto"/>
            <w:vAlign w:val="center"/>
          </w:tcPr>
          <w:p>
            <w:pPr>
              <w:widowControl/>
              <w:adjustRightInd w:val="0"/>
              <w:snapToGrid w:val="0"/>
              <w:spacing w:line="240" w:lineRule="exact"/>
              <w:jc w:val="center"/>
              <w:rPr>
                <w:kern w:val="0"/>
                <w:szCs w:val="21"/>
              </w:rPr>
            </w:pPr>
            <w:r>
              <w:rPr>
                <w:kern w:val="0"/>
                <w:szCs w:val="21"/>
              </w:rPr>
              <w:t>预测浓度</w:t>
            </w:r>
          </w:p>
          <w:p>
            <w:pPr>
              <w:widowControl/>
              <w:adjustRightInd w:val="0"/>
              <w:snapToGrid w:val="0"/>
              <w:spacing w:line="240" w:lineRule="exact"/>
              <w:jc w:val="center"/>
              <w:rPr>
                <w:kern w:val="0"/>
                <w:szCs w:val="21"/>
                <w:vertAlign w:val="subscript"/>
              </w:rPr>
            </w:pPr>
            <w:r>
              <w:rPr>
                <w:kern w:val="0"/>
                <w:szCs w:val="21"/>
              </w:rPr>
              <w:t>C</w:t>
            </w:r>
            <w:r>
              <w:rPr>
                <w:kern w:val="0"/>
                <w:szCs w:val="21"/>
                <w:vertAlign w:val="subscript"/>
              </w:rPr>
              <w:t>i1</w:t>
            </w:r>
          </w:p>
          <w:p>
            <w:pPr>
              <w:widowControl/>
              <w:adjustRightInd w:val="0"/>
              <w:snapToGrid w:val="0"/>
              <w:spacing w:line="240" w:lineRule="exact"/>
              <w:jc w:val="center"/>
              <w:rPr>
                <w:kern w:val="0"/>
                <w:szCs w:val="21"/>
              </w:rPr>
            </w:pPr>
            <w:r>
              <w:rPr>
                <w:kern w:val="0"/>
                <w:szCs w:val="21"/>
              </w:rPr>
              <w:t>(mg/m</w:t>
            </w:r>
            <w:r>
              <w:rPr>
                <w:kern w:val="0"/>
                <w:szCs w:val="21"/>
                <w:vertAlign w:val="superscript"/>
              </w:rPr>
              <w:t>3</w:t>
            </w:r>
            <w:r>
              <w:rPr>
                <w:kern w:val="0"/>
                <w:szCs w:val="21"/>
              </w:rPr>
              <w:t>)</w:t>
            </w:r>
          </w:p>
        </w:tc>
        <w:tc>
          <w:tcPr>
            <w:tcW w:w="882" w:type="dxa"/>
            <w:shd w:val="clear" w:color="auto" w:fill="auto"/>
            <w:vAlign w:val="center"/>
          </w:tcPr>
          <w:p>
            <w:pPr>
              <w:widowControl/>
              <w:adjustRightInd w:val="0"/>
              <w:snapToGrid w:val="0"/>
              <w:spacing w:line="240" w:lineRule="exact"/>
              <w:jc w:val="center"/>
              <w:rPr>
                <w:kern w:val="0"/>
                <w:szCs w:val="21"/>
              </w:rPr>
            </w:pPr>
            <w:r>
              <w:rPr>
                <w:kern w:val="0"/>
                <w:szCs w:val="21"/>
              </w:rPr>
              <w:t>占标率</w:t>
            </w:r>
          </w:p>
          <w:p>
            <w:pPr>
              <w:widowControl/>
              <w:adjustRightInd w:val="0"/>
              <w:snapToGrid w:val="0"/>
              <w:spacing w:line="240" w:lineRule="exact"/>
              <w:jc w:val="center"/>
              <w:rPr>
                <w:kern w:val="0"/>
                <w:szCs w:val="21"/>
                <w:vertAlign w:val="subscript"/>
              </w:rPr>
            </w:pPr>
            <w:r>
              <w:rPr>
                <w:kern w:val="0"/>
                <w:szCs w:val="21"/>
              </w:rPr>
              <w:t>P</w:t>
            </w:r>
            <w:r>
              <w:rPr>
                <w:kern w:val="0"/>
                <w:szCs w:val="21"/>
                <w:vertAlign w:val="subscript"/>
              </w:rPr>
              <w:t>i1</w:t>
            </w:r>
          </w:p>
          <w:p>
            <w:pPr>
              <w:widowControl/>
              <w:adjustRightInd w:val="0"/>
              <w:snapToGrid w:val="0"/>
              <w:spacing w:line="240" w:lineRule="exact"/>
              <w:jc w:val="center"/>
              <w:rPr>
                <w:kern w:val="0"/>
                <w:szCs w:val="21"/>
              </w:rPr>
            </w:pPr>
            <w:r>
              <w:rPr>
                <w:kern w:val="0"/>
                <w:szCs w:val="21"/>
              </w:rPr>
              <w:t>(%)</w:t>
            </w:r>
          </w:p>
        </w:tc>
        <w:tc>
          <w:tcPr>
            <w:tcW w:w="1063" w:type="dxa"/>
            <w:vAlign w:val="center"/>
          </w:tcPr>
          <w:p>
            <w:pPr>
              <w:widowControl/>
              <w:adjustRightInd w:val="0"/>
              <w:snapToGrid w:val="0"/>
              <w:spacing w:line="240" w:lineRule="exact"/>
              <w:jc w:val="center"/>
              <w:rPr>
                <w:kern w:val="0"/>
                <w:szCs w:val="21"/>
                <w:vertAlign w:val="subscript"/>
              </w:rPr>
            </w:pPr>
            <w:r>
              <w:rPr>
                <w:kern w:val="0"/>
                <w:szCs w:val="21"/>
              </w:rPr>
              <w:t>预测浓度C</w:t>
            </w:r>
            <w:r>
              <w:rPr>
                <w:kern w:val="0"/>
                <w:szCs w:val="21"/>
                <w:vertAlign w:val="subscript"/>
              </w:rPr>
              <w:t>i1</w:t>
            </w:r>
          </w:p>
          <w:p>
            <w:pPr>
              <w:widowControl/>
              <w:adjustRightInd w:val="0"/>
              <w:snapToGrid w:val="0"/>
              <w:spacing w:line="240" w:lineRule="exact"/>
              <w:jc w:val="center"/>
              <w:rPr>
                <w:kern w:val="0"/>
                <w:szCs w:val="21"/>
              </w:rPr>
            </w:pPr>
            <w:r>
              <w:rPr>
                <w:kern w:val="0"/>
                <w:szCs w:val="21"/>
              </w:rPr>
              <w:t>(mg/m</w:t>
            </w:r>
            <w:r>
              <w:rPr>
                <w:kern w:val="0"/>
                <w:szCs w:val="21"/>
                <w:vertAlign w:val="superscript"/>
              </w:rPr>
              <w:t>3</w:t>
            </w:r>
            <w:r>
              <w:rPr>
                <w:kern w:val="0"/>
                <w:szCs w:val="21"/>
              </w:rPr>
              <w:t>)</w:t>
            </w:r>
          </w:p>
        </w:tc>
        <w:tc>
          <w:tcPr>
            <w:tcW w:w="896" w:type="dxa"/>
            <w:vAlign w:val="center"/>
          </w:tcPr>
          <w:p>
            <w:pPr>
              <w:widowControl/>
              <w:adjustRightInd w:val="0"/>
              <w:snapToGrid w:val="0"/>
              <w:spacing w:line="240" w:lineRule="exact"/>
              <w:jc w:val="center"/>
              <w:rPr>
                <w:kern w:val="0"/>
                <w:szCs w:val="21"/>
              </w:rPr>
            </w:pPr>
            <w:r>
              <w:rPr>
                <w:kern w:val="0"/>
                <w:szCs w:val="21"/>
              </w:rPr>
              <w:t>占标率</w:t>
            </w:r>
          </w:p>
          <w:p>
            <w:pPr>
              <w:widowControl/>
              <w:adjustRightInd w:val="0"/>
              <w:snapToGrid w:val="0"/>
              <w:spacing w:line="240" w:lineRule="exact"/>
              <w:jc w:val="center"/>
              <w:rPr>
                <w:kern w:val="0"/>
                <w:szCs w:val="21"/>
                <w:vertAlign w:val="subscript"/>
              </w:rPr>
            </w:pPr>
            <w:r>
              <w:rPr>
                <w:kern w:val="0"/>
                <w:szCs w:val="21"/>
              </w:rPr>
              <w:t>P</w:t>
            </w:r>
            <w:r>
              <w:rPr>
                <w:kern w:val="0"/>
                <w:szCs w:val="21"/>
                <w:vertAlign w:val="subscript"/>
              </w:rPr>
              <w:t>i1</w:t>
            </w:r>
          </w:p>
          <w:p>
            <w:pPr>
              <w:widowControl/>
              <w:adjustRightInd w:val="0"/>
              <w:snapToGrid w:val="0"/>
              <w:spacing w:line="240" w:lineRule="exact"/>
              <w:jc w:val="center"/>
              <w:rPr>
                <w:kern w:val="0"/>
                <w:szCs w:val="21"/>
              </w:rPr>
            </w:pPr>
            <w:r>
              <w:rPr>
                <w:kern w:val="0"/>
                <w:szCs w:val="21"/>
              </w:rPr>
              <w:t>(%)</w:t>
            </w:r>
          </w:p>
        </w:tc>
        <w:tc>
          <w:tcPr>
            <w:tcW w:w="1077" w:type="dxa"/>
            <w:vAlign w:val="center"/>
          </w:tcPr>
          <w:p>
            <w:pPr>
              <w:widowControl/>
              <w:adjustRightInd w:val="0"/>
              <w:snapToGrid w:val="0"/>
              <w:spacing w:line="240" w:lineRule="exact"/>
              <w:jc w:val="center"/>
              <w:rPr>
                <w:kern w:val="0"/>
                <w:szCs w:val="21"/>
              </w:rPr>
            </w:pPr>
            <w:r>
              <w:rPr>
                <w:kern w:val="0"/>
                <w:szCs w:val="21"/>
              </w:rPr>
              <w:t>预测浓度</w:t>
            </w:r>
          </w:p>
          <w:p>
            <w:pPr>
              <w:widowControl/>
              <w:adjustRightInd w:val="0"/>
              <w:snapToGrid w:val="0"/>
              <w:spacing w:line="240" w:lineRule="exact"/>
              <w:jc w:val="center"/>
              <w:rPr>
                <w:kern w:val="0"/>
                <w:szCs w:val="21"/>
                <w:vertAlign w:val="subscript"/>
              </w:rPr>
            </w:pPr>
            <w:r>
              <w:rPr>
                <w:kern w:val="0"/>
                <w:szCs w:val="21"/>
              </w:rPr>
              <w:t>C</w:t>
            </w:r>
            <w:r>
              <w:rPr>
                <w:kern w:val="0"/>
                <w:szCs w:val="21"/>
                <w:vertAlign w:val="subscript"/>
              </w:rPr>
              <w:t>i1</w:t>
            </w:r>
          </w:p>
          <w:p>
            <w:pPr>
              <w:widowControl/>
              <w:adjustRightInd w:val="0"/>
              <w:snapToGrid w:val="0"/>
              <w:spacing w:line="240" w:lineRule="exact"/>
              <w:jc w:val="center"/>
              <w:rPr>
                <w:kern w:val="0"/>
                <w:szCs w:val="21"/>
              </w:rPr>
            </w:pPr>
            <w:r>
              <w:rPr>
                <w:kern w:val="0"/>
                <w:szCs w:val="21"/>
              </w:rPr>
              <w:t>(mg/m</w:t>
            </w:r>
            <w:r>
              <w:rPr>
                <w:kern w:val="0"/>
                <w:szCs w:val="21"/>
                <w:vertAlign w:val="superscript"/>
              </w:rPr>
              <w:t>3</w:t>
            </w:r>
            <w:r>
              <w:rPr>
                <w:kern w:val="0"/>
                <w:szCs w:val="21"/>
              </w:rPr>
              <w:t>)</w:t>
            </w:r>
          </w:p>
        </w:tc>
        <w:tc>
          <w:tcPr>
            <w:tcW w:w="927" w:type="dxa"/>
            <w:vAlign w:val="center"/>
          </w:tcPr>
          <w:p>
            <w:pPr>
              <w:widowControl/>
              <w:adjustRightInd w:val="0"/>
              <w:snapToGrid w:val="0"/>
              <w:spacing w:line="240" w:lineRule="exact"/>
              <w:jc w:val="center"/>
              <w:rPr>
                <w:kern w:val="0"/>
                <w:szCs w:val="21"/>
              </w:rPr>
            </w:pPr>
            <w:r>
              <w:rPr>
                <w:kern w:val="0"/>
                <w:szCs w:val="21"/>
              </w:rPr>
              <w:t>占标率</w:t>
            </w:r>
          </w:p>
          <w:p>
            <w:pPr>
              <w:widowControl/>
              <w:adjustRightInd w:val="0"/>
              <w:snapToGrid w:val="0"/>
              <w:spacing w:line="240" w:lineRule="exact"/>
              <w:jc w:val="center"/>
              <w:rPr>
                <w:kern w:val="0"/>
                <w:szCs w:val="21"/>
                <w:vertAlign w:val="subscript"/>
              </w:rPr>
            </w:pPr>
            <w:r>
              <w:rPr>
                <w:kern w:val="0"/>
                <w:szCs w:val="21"/>
              </w:rPr>
              <w:t>P</w:t>
            </w:r>
            <w:r>
              <w:rPr>
                <w:kern w:val="0"/>
                <w:szCs w:val="21"/>
                <w:vertAlign w:val="subscript"/>
              </w:rPr>
              <w:t>i1</w:t>
            </w:r>
          </w:p>
          <w:p>
            <w:pPr>
              <w:widowControl/>
              <w:adjustRightInd w:val="0"/>
              <w:snapToGrid w:val="0"/>
              <w:spacing w:line="240" w:lineRule="exact"/>
              <w:jc w:val="center"/>
              <w:rPr>
                <w:kern w:val="0"/>
                <w:szCs w:val="21"/>
              </w:rPr>
            </w:pPr>
            <w:r>
              <w:rPr>
                <w:kern w:val="0"/>
                <w:szCs w:val="21"/>
              </w:rPr>
              <w:t>(%)</w:t>
            </w:r>
          </w:p>
        </w:tc>
        <w:tc>
          <w:tcPr>
            <w:tcW w:w="1134" w:type="dxa"/>
            <w:vAlign w:val="center"/>
          </w:tcPr>
          <w:p>
            <w:pPr>
              <w:widowControl/>
              <w:adjustRightInd w:val="0"/>
              <w:snapToGrid w:val="0"/>
              <w:spacing w:line="240" w:lineRule="exact"/>
              <w:jc w:val="center"/>
              <w:rPr>
                <w:kern w:val="0"/>
                <w:szCs w:val="21"/>
                <w:vertAlign w:val="subscript"/>
              </w:rPr>
            </w:pPr>
            <w:r>
              <w:rPr>
                <w:kern w:val="0"/>
                <w:szCs w:val="21"/>
              </w:rPr>
              <w:t>预测浓度C</w:t>
            </w:r>
            <w:r>
              <w:rPr>
                <w:kern w:val="0"/>
                <w:szCs w:val="21"/>
                <w:vertAlign w:val="subscript"/>
              </w:rPr>
              <w:t>i1</w:t>
            </w:r>
          </w:p>
          <w:p>
            <w:pPr>
              <w:widowControl/>
              <w:adjustRightInd w:val="0"/>
              <w:snapToGrid w:val="0"/>
              <w:spacing w:line="240" w:lineRule="exact"/>
              <w:jc w:val="center"/>
              <w:rPr>
                <w:kern w:val="0"/>
                <w:szCs w:val="21"/>
              </w:rPr>
            </w:pPr>
            <w:r>
              <w:rPr>
                <w:kern w:val="0"/>
                <w:szCs w:val="21"/>
              </w:rPr>
              <w:t>(mg/m</w:t>
            </w:r>
            <w:r>
              <w:rPr>
                <w:kern w:val="0"/>
                <w:szCs w:val="21"/>
                <w:vertAlign w:val="superscript"/>
              </w:rPr>
              <w:t>3</w:t>
            </w:r>
            <w:r>
              <w:rPr>
                <w:kern w:val="0"/>
                <w:szCs w:val="21"/>
              </w:rPr>
              <w:t>)</w:t>
            </w:r>
          </w:p>
        </w:tc>
        <w:tc>
          <w:tcPr>
            <w:tcW w:w="865" w:type="dxa"/>
            <w:vAlign w:val="center"/>
          </w:tcPr>
          <w:p>
            <w:pPr>
              <w:widowControl/>
              <w:adjustRightInd w:val="0"/>
              <w:snapToGrid w:val="0"/>
              <w:spacing w:line="240" w:lineRule="exact"/>
              <w:jc w:val="center"/>
              <w:rPr>
                <w:kern w:val="0"/>
                <w:szCs w:val="21"/>
              </w:rPr>
            </w:pPr>
            <w:r>
              <w:rPr>
                <w:kern w:val="0"/>
                <w:szCs w:val="21"/>
              </w:rPr>
              <w:t>占标率</w:t>
            </w:r>
          </w:p>
          <w:p>
            <w:pPr>
              <w:widowControl/>
              <w:adjustRightInd w:val="0"/>
              <w:snapToGrid w:val="0"/>
              <w:spacing w:line="240" w:lineRule="exact"/>
              <w:jc w:val="center"/>
              <w:rPr>
                <w:kern w:val="0"/>
                <w:szCs w:val="21"/>
                <w:vertAlign w:val="subscript"/>
              </w:rPr>
            </w:pPr>
            <w:r>
              <w:rPr>
                <w:kern w:val="0"/>
                <w:szCs w:val="21"/>
              </w:rPr>
              <w:t>P</w:t>
            </w:r>
            <w:r>
              <w:rPr>
                <w:kern w:val="0"/>
                <w:szCs w:val="21"/>
                <w:vertAlign w:val="subscript"/>
              </w:rPr>
              <w:t>i1</w:t>
            </w:r>
          </w:p>
          <w:p>
            <w:pPr>
              <w:widowControl/>
              <w:adjustRightInd w:val="0"/>
              <w:snapToGrid w:val="0"/>
              <w:spacing w:line="240" w:lineRule="exact"/>
              <w:jc w:val="center"/>
              <w:rPr>
                <w:kern w:val="0"/>
                <w:szCs w:val="21"/>
              </w:rPr>
            </w:pPr>
            <w:r>
              <w:rPr>
                <w:kern w:val="0"/>
                <w:szCs w:val="21"/>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10</w:t>
            </w:r>
          </w:p>
        </w:tc>
        <w:tc>
          <w:tcPr>
            <w:tcW w:w="1064" w:type="dxa"/>
            <w:shd w:val="clear" w:color="auto" w:fill="auto"/>
            <w:vAlign w:val="center"/>
          </w:tcPr>
          <w:p>
            <w:pPr>
              <w:jc w:val="center"/>
              <w:rPr>
                <w:szCs w:val="21"/>
              </w:rPr>
            </w:pPr>
            <w:r>
              <w:rPr>
                <w:szCs w:val="21"/>
              </w:rPr>
              <w:t>0.03535</w:t>
            </w:r>
          </w:p>
        </w:tc>
        <w:tc>
          <w:tcPr>
            <w:tcW w:w="882" w:type="dxa"/>
            <w:shd w:val="clear" w:color="auto" w:fill="auto"/>
            <w:vAlign w:val="center"/>
          </w:tcPr>
          <w:p>
            <w:pPr>
              <w:jc w:val="center"/>
              <w:rPr>
                <w:szCs w:val="21"/>
              </w:rPr>
            </w:pPr>
            <w:r>
              <w:rPr>
                <w:szCs w:val="21"/>
              </w:rPr>
              <w:t>3.93</w:t>
            </w:r>
          </w:p>
        </w:tc>
        <w:tc>
          <w:tcPr>
            <w:tcW w:w="1063" w:type="dxa"/>
            <w:vAlign w:val="center"/>
          </w:tcPr>
          <w:p>
            <w:pPr>
              <w:jc w:val="center"/>
              <w:rPr>
                <w:szCs w:val="21"/>
              </w:rPr>
            </w:pPr>
            <w:r>
              <w:rPr>
                <w:szCs w:val="21"/>
              </w:rPr>
              <w:t>0.00742</w:t>
            </w:r>
          </w:p>
        </w:tc>
        <w:tc>
          <w:tcPr>
            <w:tcW w:w="896" w:type="dxa"/>
            <w:vAlign w:val="center"/>
          </w:tcPr>
          <w:p>
            <w:pPr>
              <w:jc w:val="center"/>
              <w:rPr>
                <w:szCs w:val="21"/>
              </w:rPr>
            </w:pPr>
            <w:r>
              <w:rPr>
                <w:szCs w:val="21"/>
              </w:rPr>
              <w:t>1.65</w:t>
            </w:r>
          </w:p>
        </w:tc>
        <w:tc>
          <w:tcPr>
            <w:tcW w:w="1077" w:type="dxa"/>
            <w:vAlign w:val="center"/>
          </w:tcPr>
          <w:p>
            <w:pPr>
              <w:jc w:val="center"/>
              <w:rPr>
                <w:szCs w:val="21"/>
              </w:rPr>
            </w:pPr>
            <w:r>
              <w:rPr>
                <w:szCs w:val="21"/>
              </w:rPr>
              <w:t>0.02957</w:t>
            </w:r>
          </w:p>
        </w:tc>
        <w:tc>
          <w:tcPr>
            <w:tcW w:w="927" w:type="dxa"/>
            <w:vAlign w:val="center"/>
          </w:tcPr>
          <w:p>
            <w:pPr>
              <w:jc w:val="center"/>
              <w:rPr>
                <w:szCs w:val="21"/>
              </w:rPr>
            </w:pPr>
            <w:r>
              <w:rPr>
                <w:szCs w:val="21"/>
              </w:rPr>
              <w:t>3.29</w:t>
            </w:r>
          </w:p>
        </w:tc>
        <w:tc>
          <w:tcPr>
            <w:tcW w:w="1134" w:type="dxa"/>
            <w:vAlign w:val="center"/>
          </w:tcPr>
          <w:p>
            <w:pPr>
              <w:jc w:val="center"/>
              <w:rPr>
                <w:szCs w:val="21"/>
              </w:rPr>
            </w:pPr>
            <w:r>
              <w:rPr>
                <w:szCs w:val="21"/>
              </w:rPr>
              <w:t>0.00621</w:t>
            </w:r>
          </w:p>
        </w:tc>
        <w:tc>
          <w:tcPr>
            <w:tcW w:w="865" w:type="dxa"/>
            <w:vAlign w:val="center"/>
          </w:tcPr>
          <w:p>
            <w:pPr>
              <w:jc w:val="center"/>
              <w:rPr>
                <w:szCs w:val="21"/>
              </w:rPr>
            </w:pPr>
            <w:r>
              <w:rPr>
                <w:szCs w:val="21"/>
              </w:rPr>
              <w:t>1.38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100</w:t>
            </w:r>
          </w:p>
        </w:tc>
        <w:tc>
          <w:tcPr>
            <w:tcW w:w="1064" w:type="dxa"/>
            <w:shd w:val="clear" w:color="auto" w:fill="auto"/>
            <w:vAlign w:val="center"/>
          </w:tcPr>
          <w:p>
            <w:pPr>
              <w:jc w:val="center"/>
              <w:rPr>
                <w:szCs w:val="21"/>
              </w:rPr>
            </w:pPr>
            <w:r>
              <w:rPr>
                <w:szCs w:val="21"/>
              </w:rPr>
              <w:t>0.08040</w:t>
            </w:r>
          </w:p>
        </w:tc>
        <w:tc>
          <w:tcPr>
            <w:tcW w:w="882" w:type="dxa"/>
            <w:shd w:val="clear" w:color="auto" w:fill="auto"/>
            <w:vAlign w:val="center"/>
          </w:tcPr>
          <w:p>
            <w:pPr>
              <w:jc w:val="center"/>
              <w:rPr>
                <w:szCs w:val="21"/>
              </w:rPr>
            </w:pPr>
            <w:r>
              <w:rPr>
                <w:szCs w:val="21"/>
              </w:rPr>
              <w:t>8.93</w:t>
            </w:r>
          </w:p>
        </w:tc>
        <w:tc>
          <w:tcPr>
            <w:tcW w:w="1063" w:type="dxa"/>
            <w:vAlign w:val="center"/>
          </w:tcPr>
          <w:p>
            <w:pPr>
              <w:jc w:val="center"/>
              <w:rPr>
                <w:szCs w:val="21"/>
              </w:rPr>
            </w:pPr>
            <w:r>
              <w:rPr>
                <w:szCs w:val="21"/>
              </w:rPr>
              <w:t>0.01687</w:t>
            </w:r>
          </w:p>
        </w:tc>
        <w:tc>
          <w:tcPr>
            <w:tcW w:w="896" w:type="dxa"/>
            <w:vAlign w:val="center"/>
          </w:tcPr>
          <w:p>
            <w:pPr>
              <w:jc w:val="center"/>
              <w:rPr>
                <w:szCs w:val="21"/>
              </w:rPr>
            </w:pPr>
            <w:r>
              <w:rPr>
                <w:szCs w:val="21"/>
              </w:rPr>
              <w:t>3.75</w:t>
            </w:r>
          </w:p>
        </w:tc>
        <w:tc>
          <w:tcPr>
            <w:tcW w:w="1077" w:type="dxa"/>
            <w:vAlign w:val="center"/>
          </w:tcPr>
          <w:p>
            <w:pPr>
              <w:jc w:val="center"/>
              <w:rPr>
                <w:szCs w:val="21"/>
              </w:rPr>
            </w:pPr>
            <w:r>
              <w:rPr>
                <w:szCs w:val="21"/>
              </w:rPr>
              <w:t>0.05192</w:t>
            </w:r>
          </w:p>
        </w:tc>
        <w:tc>
          <w:tcPr>
            <w:tcW w:w="927" w:type="dxa"/>
            <w:vAlign w:val="center"/>
          </w:tcPr>
          <w:p>
            <w:pPr>
              <w:jc w:val="center"/>
              <w:rPr>
                <w:szCs w:val="21"/>
              </w:rPr>
            </w:pPr>
            <w:r>
              <w:rPr>
                <w:szCs w:val="21"/>
              </w:rPr>
              <w:t>5.77</w:t>
            </w:r>
          </w:p>
        </w:tc>
        <w:tc>
          <w:tcPr>
            <w:tcW w:w="1134" w:type="dxa"/>
            <w:vAlign w:val="center"/>
          </w:tcPr>
          <w:p>
            <w:pPr>
              <w:jc w:val="center"/>
              <w:rPr>
                <w:szCs w:val="21"/>
              </w:rPr>
            </w:pPr>
            <w:r>
              <w:rPr>
                <w:szCs w:val="21"/>
              </w:rPr>
              <w:t>0.01091</w:t>
            </w:r>
          </w:p>
        </w:tc>
        <w:tc>
          <w:tcPr>
            <w:tcW w:w="865" w:type="dxa"/>
            <w:vAlign w:val="center"/>
          </w:tcPr>
          <w:p>
            <w:pPr>
              <w:jc w:val="center"/>
              <w:rPr>
                <w:szCs w:val="21"/>
              </w:rPr>
            </w:pPr>
            <w:r>
              <w:rPr>
                <w:szCs w:val="21"/>
              </w:rPr>
              <w:t>2.42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200</w:t>
            </w:r>
          </w:p>
        </w:tc>
        <w:tc>
          <w:tcPr>
            <w:tcW w:w="1064" w:type="dxa"/>
            <w:shd w:val="clear" w:color="auto" w:fill="auto"/>
            <w:vAlign w:val="center"/>
          </w:tcPr>
          <w:p>
            <w:pPr>
              <w:jc w:val="center"/>
              <w:rPr>
                <w:szCs w:val="21"/>
              </w:rPr>
            </w:pPr>
            <w:r>
              <w:rPr>
                <w:szCs w:val="21"/>
              </w:rPr>
              <w:t>0.06116</w:t>
            </w:r>
          </w:p>
        </w:tc>
        <w:tc>
          <w:tcPr>
            <w:tcW w:w="882" w:type="dxa"/>
            <w:shd w:val="clear" w:color="auto" w:fill="auto"/>
            <w:vAlign w:val="center"/>
          </w:tcPr>
          <w:p>
            <w:pPr>
              <w:jc w:val="center"/>
              <w:rPr>
                <w:szCs w:val="21"/>
              </w:rPr>
            </w:pPr>
            <w:r>
              <w:rPr>
                <w:szCs w:val="21"/>
              </w:rPr>
              <w:t>6.8</w:t>
            </w:r>
          </w:p>
        </w:tc>
        <w:tc>
          <w:tcPr>
            <w:tcW w:w="1063" w:type="dxa"/>
            <w:vAlign w:val="center"/>
          </w:tcPr>
          <w:p>
            <w:pPr>
              <w:jc w:val="center"/>
              <w:rPr>
                <w:szCs w:val="21"/>
              </w:rPr>
            </w:pPr>
            <w:r>
              <w:rPr>
                <w:szCs w:val="21"/>
              </w:rPr>
              <w:t>0.01283</w:t>
            </w:r>
          </w:p>
        </w:tc>
        <w:tc>
          <w:tcPr>
            <w:tcW w:w="896" w:type="dxa"/>
            <w:vAlign w:val="center"/>
          </w:tcPr>
          <w:p>
            <w:pPr>
              <w:jc w:val="center"/>
              <w:rPr>
                <w:szCs w:val="21"/>
              </w:rPr>
            </w:pPr>
            <w:r>
              <w:rPr>
                <w:szCs w:val="21"/>
              </w:rPr>
              <w:t>2.85</w:t>
            </w:r>
          </w:p>
        </w:tc>
        <w:tc>
          <w:tcPr>
            <w:tcW w:w="1077" w:type="dxa"/>
            <w:vAlign w:val="center"/>
          </w:tcPr>
          <w:p>
            <w:pPr>
              <w:jc w:val="center"/>
              <w:rPr>
                <w:szCs w:val="21"/>
              </w:rPr>
            </w:pPr>
            <w:r>
              <w:rPr>
                <w:szCs w:val="21"/>
              </w:rPr>
              <w:t>0.06358</w:t>
            </w:r>
          </w:p>
        </w:tc>
        <w:tc>
          <w:tcPr>
            <w:tcW w:w="927" w:type="dxa"/>
            <w:vAlign w:val="center"/>
          </w:tcPr>
          <w:p>
            <w:pPr>
              <w:jc w:val="center"/>
              <w:rPr>
                <w:szCs w:val="21"/>
              </w:rPr>
            </w:pPr>
            <w:r>
              <w:rPr>
                <w:szCs w:val="21"/>
              </w:rPr>
              <w:t>7.06</w:t>
            </w:r>
          </w:p>
        </w:tc>
        <w:tc>
          <w:tcPr>
            <w:tcW w:w="1134" w:type="dxa"/>
            <w:vAlign w:val="center"/>
          </w:tcPr>
          <w:p>
            <w:pPr>
              <w:jc w:val="center"/>
              <w:rPr>
                <w:szCs w:val="21"/>
              </w:rPr>
            </w:pPr>
            <w:r>
              <w:rPr>
                <w:szCs w:val="21"/>
              </w:rPr>
              <w:t>0.01335</w:t>
            </w:r>
          </w:p>
        </w:tc>
        <w:tc>
          <w:tcPr>
            <w:tcW w:w="865" w:type="dxa"/>
            <w:vAlign w:val="center"/>
          </w:tcPr>
          <w:p>
            <w:pPr>
              <w:jc w:val="center"/>
              <w:rPr>
                <w:szCs w:val="21"/>
              </w:rPr>
            </w:pPr>
            <w:r>
              <w:rPr>
                <w:szCs w:val="21"/>
              </w:rPr>
              <w:t>2.97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300</w:t>
            </w:r>
          </w:p>
        </w:tc>
        <w:tc>
          <w:tcPr>
            <w:tcW w:w="1064" w:type="dxa"/>
            <w:shd w:val="clear" w:color="auto" w:fill="auto"/>
            <w:vAlign w:val="center"/>
          </w:tcPr>
          <w:p>
            <w:pPr>
              <w:jc w:val="center"/>
              <w:rPr>
                <w:szCs w:val="21"/>
              </w:rPr>
            </w:pPr>
            <w:r>
              <w:rPr>
                <w:szCs w:val="21"/>
              </w:rPr>
              <w:t>0.03485</w:t>
            </w:r>
          </w:p>
        </w:tc>
        <w:tc>
          <w:tcPr>
            <w:tcW w:w="882" w:type="dxa"/>
            <w:shd w:val="clear" w:color="auto" w:fill="auto"/>
            <w:vAlign w:val="center"/>
          </w:tcPr>
          <w:p>
            <w:pPr>
              <w:jc w:val="center"/>
              <w:rPr>
                <w:szCs w:val="21"/>
              </w:rPr>
            </w:pPr>
            <w:r>
              <w:rPr>
                <w:szCs w:val="21"/>
              </w:rPr>
              <w:t>3.87</w:t>
            </w:r>
          </w:p>
        </w:tc>
        <w:tc>
          <w:tcPr>
            <w:tcW w:w="1063" w:type="dxa"/>
            <w:vAlign w:val="center"/>
          </w:tcPr>
          <w:p>
            <w:pPr>
              <w:jc w:val="center"/>
              <w:rPr>
                <w:szCs w:val="21"/>
              </w:rPr>
            </w:pPr>
            <w:r>
              <w:rPr>
                <w:szCs w:val="21"/>
              </w:rPr>
              <w:t>0.00731</w:t>
            </w:r>
          </w:p>
        </w:tc>
        <w:tc>
          <w:tcPr>
            <w:tcW w:w="896" w:type="dxa"/>
            <w:vAlign w:val="center"/>
          </w:tcPr>
          <w:p>
            <w:pPr>
              <w:jc w:val="center"/>
              <w:rPr>
                <w:szCs w:val="21"/>
              </w:rPr>
            </w:pPr>
            <w:r>
              <w:rPr>
                <w:szCs w:val="21"/>
              </w:rPr>
              <w:t>1.62</w:t>
            </w:r>
          </w:p>
        </w:tc>
        <w:tc>
          <w:tcPr>
            <w:tcW w:w="1077" w:type="dxa"/>
            <w:vAlign w:val="center"/>
          </w:tcPr>
          <w:p>
            <w:pPr>
              <w:jc w:val="center"/>
              <w:rPr>
                <w:szCs w:val="21"/>
              </w:rPr>
            </w:pPr>
            <w:r>
              <w:rPr>
                <w:szCs w:val="21"/>
              </w:rPr>
              <w:t>0.04172</w:t>
            </w:r>
          </w:p>
        </w:tc>
        <w:tc>
          <w:tcPr>
            <w:tcW w:w="927" w:type="dxa"/>
            <w:vAlign w:val="center"/>
          </w:tcPr>
          <w:p>
            <w:pPr>
              <w:jc w:val="center"/>
              <w:rPr>
                <w:szCs w:val="21"/>
              </w:rPr>
            </w:pPr>
            <w:r>
              <w:rPr>
                <w:szCs w:val="21"/>
              </w:rPr>
              <w:t>4.64</w:t>
            </w:r>
          </w:p>
        </w:tc>
        <w:tc>
          <w:tcPr>
            <w:tcW w:w="1134" w:type="dxa"/>
            <w:vAlign w:val="center"/>
          </w:tcPr>
          <w:p>
            <w:pPr>
              <w:jc w:val="center"/>
              <w:rPr>
                <w:szCs w:val="21"/>
              </w:rPr>
            </w:pPr>
            <w:r>
              <w:rPr>
                <w:szCs w:val="21"/>
              </w:rPr>
              <w:t>0.00876</w:t>
            </w:r>
          </w:p>
        </w:tc>
        <w:tc>
          <w:tcPr>
            <w:tcW w:w="865" w:type="dxa"/>
            <w:vAlign w:val="center"/>
          </w:tcPr>
          <w:p>
            <w:pPr>
              <w:jc w:val="center"/>
              <w:rPr>
                <w:szCs w:val="21"/>
              </w:rPr>
            </w:pPr>
            <w:r>
              <w:rPr>
                <w:szCs w:val="21"/>
              </w:rPr>
              <w:t>1.95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400</w:t>
            </w:r>
          </w:p>
        </w:tc>
        <w:tc>
          <w:tcPr>
            <w:tcW w:w="1064" w:type="dxa"/>
            <w:shd w:val="clear" w:color="auto" w:fill="auto"/>
            <w:vAlign w:val="center"/>
          </w:tcPr>
          <w:p>
            <w:pPr>
              <w:jc w:val="center"/>
              <w:rPr>
                <w:szCs w:val="21"/>
              </w:rPr>
            </w:pPr>
            <w:r>
              <w:rPr>
                <w:szCs w:val="21"/>
              </w:rPr>
              <w:t>0.02228</w:t>
            </w:r>
          </w:p>
        </w:tc>
        <w:tc>
          <w:tcPr>
            <w:tcW w:w="882" w:type="dxa"/>
            <w:shd w:val="clear" w:color="auto" w:fill="auto"/>
            <w:vAlign w:val="center"/>
          </w:tcPr>
          <w:p>
            <w:pPr>
              <w:jc w:val="center"/>
              <w:rPr>
                <w:szCs w:val="21"/>
              </w:rPr>
            </w:pPr>
            <w:r>
              <w:rPr>
                <w:szCs w:val="21"/>
              </w:rPr>
              <w:t>2.48</w:t>
            </w:r>
          </w:p>
        </w:tc>
        <w:tc>
          <w:tcPr>
            <w:tcW w:w="1063" w:type="dxa"/>
            <w:vAlign w:val="center"/>
          </w:tcPr>
          <w:p>
            <w:pPr>
              <w:jc w:val="center"/>
              <w:rPr>
                <w:szCs w:val="21"/>
              </w:rPr>
            </w:pPr>
            <w:r>
              <w:rPr>
                <w:szCs w:val="21"/>
              </w:rPr>
              <w:t>0.00468</w:t>
            </w:r>
          </w:p>
        </w:tc>
        <w:tc>
          <w:tcPr>
            <w:tcW w:w="896" w:type="dxa"/>
            <w:vAlign w:val="center"/>
          </w:tcPr>
          <w:p>
            <w:pPr>
              <w:jc w:val="center"/>
              <w:rPr>
                <w:szCs w:val="21"/>
              </w:rPr>
            </w:pPr>
            <w:r>
              <w:rPr>
                <w:szCs w:val="21"/>
              </w:rPr>
              <w:t>1.04</w:t>
            </w:r>
          </w:p>
        </w:tc>
        <w:tc>
          <w:tcPr>
            <w:tcW w:w="1077" w:type="dxa"/>
            <w:vAlign w:val="center"/>
          </w:tcPr>
          <w:p>
            <w:pPr>
              <w:jc w:val="center"/>
              <w:rPr>
                <w:szCs w:val="21"/>
              </w:rPr>
            </w:pPr>
            <w:r>
              <w:rPr>
                <w:szCs w:val="21"/>
              </w:rPr>
              <w:t>0.02770</w:t>
            </w:r>
          </w:p>
        </w:tc>
        <w:tc>
          <w:tcPr>
            <w:tcW w:w="927" w:type="dxa"/>
            <w:vAlign w:val="center"/>
          </w:tcPr>
          <w:p>
            <w:pPr>
              <w:jc w:val="center"/>
              <w:rPr>
                <w:szCs w:val="21"/>
              </w:rPr>
            </w:pPr>
            <w:r>
              <w:rPr>
                <w:szCs w:val="21"/>
              </w:rPr>
              <w:t>3.08</w:t>
            </w:r>
          </w:p>
        </w:tc>
        <w:tc>
          <w:tcPr>
            <w:tcW w:w="1134" w:type="dxa"/>
            <w:vAlign w:val="center"/>
          </w:tcPr>
          <w:p>
            <w:pPr>
              <w:jc w:val="center"/>
              <w:rPr>
                <w:szCs w:val="21"/>
              </w:rPr>
            </w:pPr>
            <w:r>
              <w:rPr>
                <w:szCs w:val="21"/>
              </w:rPr>
              <w:t>0.00582</w:t>
            </w:r>
          </w:p>
        </w:tc>
        <w:tc>
          <w:tcPr>
            <w:tcW w:w="865" w:type="dxa"/>
            <w:vAlign w:val="center"/>
          </w:tcPr>
          <w:p>
            <w:pPr>
              <w:jc w:val="center"/>
              <w:rPr>
                <w:szCs w:val="21"/>
              </w:rPr>
            </w:pPr>
            <w:r>
              <w:rPr>
                <w:szCs w:val="21"/>
              </w:rPr>
              <w:t>1.29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500</w:t>
            </w:r>
          </w:p>
        </w:tc>
        <w:tc>
          <w:tcPr>
            <w:tcW w:w="1064" w:type="dxa"/>
            <w:shd w:val="clear" w:color="auto" w:fill="auto"/>
            <w:vAlign w:val="center"/>
          </w:tcPr>
          <w:p>
            <w:pPr>
              <w:jc w:val="center"/>
              <w:rPr>
                <w:szCs w:val="21"/>
              </w:rPr>
            </w:pPr>
            <w:r>
              <w:rPr>
                <w:szCs w:val="21"/>
              </w:rPr>
              <w:t>0.01561</w:t>
            </w:r>
          </w:p>
        </w:tc>
        <w:tc>
          <w:tcPr>
            <w:tcW w:w="882" w:type="dxa"/>
            <w:shd w:val="clear" w:color="auto" w:fill="auto"/>
            <w:vAlign w:val="center"/>
          </w:tcPr>
          <w:p>
            <w:pPr>
              <w:jc w:val="center"/>
              <w:rPr>
                <w:szCs w:val="21"/>
              </w:rPr>
            </w:pPr>
            <w:r>
              <w:rPr>
                <w:szCs w:val="21"/>
              </w:rPr>
              <w:t>1.73</w:t>
            </w:r>
          </w:p>
        </w:tc>
        <w:tc>
          <w:tcPr>
            <w:tcW w:w="1063" w:type="dxa"/>
            <w:vAlign w:val="center"/>
          </w:tcPr>
          <w:p>
            <w:pPr>
              <w:jc w:val="center"/>
              <w:rPr>
                <w:szCs w:val="21"/>
              </w:rPr>
            </w:pPr>
            <w:r>
              <w:rPr>
                <w:szCs w:val="21"/>
              </w:rPr>
              <w:t>0.00328</w:t>
            </w:r>
          </w:p>
        </w:tc>
        <w:tc>
          <w:tcPr>
            <w:tcW w:w="896" w:type="dxa"/>
            <w:vAlign w:val="center"/>
          </w:tcPr>
          <w:p>
            <w:pPr>
              <w:jc w:val="center"/>
              <w:rPr>
                <w:szCs w:val="21"/>
              </w:rPr>
            </w:pPr>
            <w:r>
              <w:rPr>
                <w:szCs w:val="21"/>
              </w:rPr>
              <w:t>0.73</w:t>
            </w:r>
          </w:p>
        </w:tc>
        <w:tc>
          <w:tcPr>
            <w:tcW w:w="1077" w:type="dxa"/>
            <w:vAlign w:val="center"/>
          </w:tcPr>
          <w:p>
            <w:pPr>
              <w:jc w:val="center"/>
              <w:rPr>
                <w:szCs w:val="21"/>
              </w:rPr>
            </w:pPr>
            <w:r>
              <w:rPr>
                <w:szCs w:val="21"/>
              </w:rPr>
              <w:t>0.01971</w:t>
            </w:r>
          </w:p>
        </w:tc>
        <w:tc>
          <w:tcPr>
            <w:tcW w:w="927" w:type="dxa"/>
            <w:vAlign w:val="center"/>
          </w:tcPr>
          <w:p>
            <w:pPr>
              <w:jc w:val="center"/>
              <w:rPr>
                <w:szCs w:val="21"/>
              </w:rPr>
            </w:pPr>
            <w:r>
              <w:rPr>
                <w:szCs w:val="21"/>
              </w:rPr>
              <w:t>2.19</w:t>
            </w:r>
          </w:p>
        </w:tc>
        <w:tc>
          <w:tcPr>
            <w:tcW w:w="1134" w:type="dxa"/>
            <w:vAlign w:val="center"/>
          </w:tcPr>
          <w:p>
            <w:pPr>
              <w:jc w:val="center"/>
              <w:rPr>
                <w:szCs w:val="21"/>
              </w:rPr>
            </w:pPr>
            <w:r>
              <w:rPr>
                <w:szCs w:val="21"/>
              </w:rPr>
              <w:t>0.00414</w:t>
            </w:r>
          </w:p>
        </w:tc>
        <w:tc>
          <w:tcPr>
            <w:tcW w:w="865" w:type="dxa"/>
            <w:vAlign w:val="center"/>
          </w:tcPr>
          <w:p>
            <w:pPr>
              <w:jc w:val="center"/>
              <w:rPr>
                <w:szCs w:val="21"/>
              </w:rPr>
            </w:pPr>
            <w:r>
              <w:rPr>
                <w:szCs w:val="21"/>
              </w:rPr>
              <w:t>0.92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600</w:t>
            </w:r>
          </w:p>
        </w:tc>
        <w:tc>
          <w:tcPr>
            <w:tcW w:w="1064" w:type="dxa"/>
            <w:shd w:val="clear" w:color="auto" w:fill="auto"/>
            <w:vAlign w:val="center"/>
          </w:tcPr>
          <w:p>
            <w:pPr>
              <w:jc w:val="center"/>
              <w:rPr>
                <w:szCs w:val="21"/>
              </w:rPr>
            </w:pPr>
            <w:r>
              <w:rPr>
                <w:szCs w:val="21"/>
              </w:rPr>
              <w:t>0.01167</w:t>
            </w:r>
          </w:p>
        </w:tc>
        <w:tc>
          <w:tcPr>
            <w:tcW w:w="882" w:type="dxa"/>
            <w:shd w:val="clear" w:color="auto" w:fill="auto"/>
            <w:vAlign w:val="center"/>
          </w:tcPr>
          <w:p>
            <w:pPr>
              <w:jc w:val="center"/>
              <w:rPr>
                <w:szCs w:val="21"/>
              </w:rPr>
            </w:pPr>
            <w:r>
              <w:rPr>
                <w:szCs w:val="21"/>
              </w:rPr>
              <w:t>1.3</w:t>
            </w:r>
          </w:p>
        </w:tc>
        <w:tc>
          <w:tcPr>
            <w:tcW w:w="1063" w:type="dxa"/>
            <w:vAlign w:val="center"/>
          </w:tcPr>
          <w:p>
            <w:pPr>
              <w:jc w:val="center"/>
              <w:rPr>
                <w:szCs w:val="21"/>
              </w:rPr>
            </w:pPr>
            <w:r>
              <w:rPr>
                <w:szCs w:val="21"/>
              </w:rPr>
              <w:t>0.00245</w:t>
            </w:r>
          </w:p>
        </w:tc>
        <w:tc>
          <w:tcPr>
            <w:tcW w:w="896" w:type="dxa"/>
            <w:vAlign w:val="center"/>
          </w:tcPr>
          <w:p>
            <w:pPr>
              <w:jc w:val="center"/>
              <w:rPr>
                <w:szCs w:val="21"/>
              </w:rPr>
            </w:pPr>
            <w:r>
              <w:rPr>
                <w:szCs w:val="21"/>
              </w:rPr>
              <w:t>0.54</w:t>
            </w:r>
          </w:p>
        </w:tc>
        <w:tc>
          <w:tcPr>
            <w:tcW w:w="1077" w:type="dxa"/>
            <w:vAlign w:val="center"/>
          </w:tcPr>
          <w:p>
            <w:pPr>
              <w:jc w:val="center"/>
              <w:rPr>
                <w:szCs w:val="21"/>
              </w:rPr>
            </w:pPr>
            <w:r>
              <w:rPr>
                <w:szCs w:val="21"/>
              </w:rPr>
              <w:t>0.01485</w:t>
            </w:r>
          </w:p>
        </w:tc>
        <w:tc>
          <w:tcPr>
            <w:tcW w:w="927" w:type="dxa"/>
            <w:vAlign w:val="center"/>
          </w:tcPr>
          <w:p>
            <w:pPr>
              <w:jc w:val="center"/>
              <w:rPr>
                <w:szCs w:val="21"/>
              </w:rPr>
            </w:pPr>
            <w:r>
              <w:rPr>
                <w:szCs w:val="21"/>
              </w:rPr>
              <w:t>1.65</w:t>
            </w:r>
          </w:p>
        </w:tc>
        <w:tc>
          <w:tcPr>
            <w:tcW w:w="1134" w:type="dxa"/>
            <w:vAlign w:val="center"/>
          </w:tcPr>
          <w:p>
            <w:pPr>
              <w:jc w:val="center"/>
              <w:rPr>
                <w:szCs w:val="21"/>
              </w:rPr>
            </w:pPr>
            <w:r>
              <w:rPr>
                <w:szCs w:val="21"/>
              </w:rPr>
              <w:t>0.00312</w:t>
            </w:r>
          </w:p>
        </w:tc>
        <w:tc>
          <w:tcPr>
            <w:tcW w:w="865" w:type="dxa"/>
            <w:vAlign w:val="center"/>
          </w:tcPr>
          <w:p>
            <w:pPr>
              <w:jc w:val="center"/>
              <w:rPr>
                <w:szCs w:val="21"/>
              </w:rPr>
            </w:pPr>
            <w:r>
              <w:rPr>
                <w:szCs w:val="21"/>
              </w:rPr>
              <w:t>0.69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700</w:t>
            </w:r>
          </w:p>
        </w:tc>
        <w:tc>
          <w:tcPr>
            <w:tcW w:w="1064" w:type="dxa"/>
            <w:shd w:val="clear" w:color="auto" w:fill="auto"/>
            <w:vAlign w:val="center"/>
          </w:tcPr>
          <w:p>
            <w:pPr>
              <w:jc w:val="center"/>
              <w:rPr>
                <w:szCs w:val="21"/>
              </w:rPr>
            </w:pPr>
            <w:r>
              <w:rPr>
                <w:szCs w:val="21"/>
              </w:rPr>
              <w:t>0.00915</w:t>
            </w:r>
          </w:p>
        </w:tc>
        <w:tc>
          <w:tcPr>
            <w:tcW w:w="882" w:type="dxa"/>
            <w:shd w:val="clear" w:color="auto" w:fill="auto"/>
            <w:vAlign w:val="center"/>
          </w:tcPr>
          <w:p>
            <w:pPr>
              <w:jc w:val="center"/>
              <w:rPr>
                <w:szCs w:val="21"/>
              </w:rPr>
            </w:pPr>
            <w:r>
              <w:rPr>
                <w:szCs w:val="21"/>
              </w:rPr>
              <w:t>1.02</w:t>
            </w:r>
          </w:p>
        </w:tc>
        <w:tc>
          <w:tcPr>
            <w:tcW w:w="1063" w:type="dxa"/>
            <w:vAlign w:val="center"/>
          </w:tcPr>
          <w:p>
            <w:pPr>
              <w:jc w:val="center"/>
              <w:rPr>
                <w:szCs w:val="21"/>
              </w:rPr>
            </w:pPr>
            <w:r>
              <w:rPr>
                <w:szCs w:val="21"/>
              </w:rPr>
              <w:t>0.00192</w:t>
            </w:r>
          </w:p>
        </w:tc>
        <w:tc>
          <w:tcPr>
            <w:tcW w:w="896" w:type="dxa"/>
            <w:vAlign w:val="center"/>
          </w:tcPr>
          <w:p>
            <w:pPr>
              <w:jc w:val="center"/>
              <w:rPr>
                <w:szCs w:val="21"/>
              </w:rPr>
            </w:pPr>
            <w:r>
              <w:rPr>
                <w:szCs w:val="21"/>
              </w:rPr>
              <w:t>0.43</w:t>
            </w:r>
          </w:p>
        </w:tc>
        <w:tc>
          <w:tcPr>
            <w:tcW w:w="1077" w:type="dxa"/>
            <w:vAlign w:val="center"/>
          </w:tcPr>
          <w:p>
            <w:pPr>
              <w:jc w:val="center"/>
              <w:rPr>
                <w:szCs w:val="21"/>
              </w:rPr>
            </w:pPr>
            <w:r>
              <w:rPr>
                <w:szCs w:val="21"/>
              </w:rPr>
              <w:t>0.01169</w:t>
            </w:r>
          </w:p>
        </w:tc>
        <w:tc>
          <w:tcPr>
            <w:tcW w:w="927" w:type="dxa"/>
            <w:vAlign w:val="center"/>
          </w:tcPr>
          <w:p>
            <w:pPr>
              <w:jc w:val="center"/>
              <w:rPr>
                <w:szCs w:val="21"/>
              </w:rPr>
            </w:pPr>
            <w:r>
              <w:rPr>
                <w:szCs w:val="21"/>
              </w:rPr>
              <w:t>1.3</w:t>
            </w:r>
          </w:p>
        </w:tc>
        <w:tc>
          <w:tcPr>
            <w:tcW w:w="1134" w:type="dxa"/>
            <w:vAlign w:val="center"/>
          </w:tcPr>
          <w:p>
            <w:pPr>
              <w:jc w:val="center"/>
              <w:rPr>
                <w:szCs w:val="21"/>
              </w:rPr>
            </w:pPr>
            <w:r>
              <w:rPr>
                <w:szCs w:val="21"/>
              </w:rPr>
              <w:t>0.00246</w:t>
            </w:r>
          </w:p>
        </w:tc>
        <w:tc>
          <w:tcPr>
            <w:tcW w:w="865" w:type="dxa"/>
            <w:vAlign w:val="center"/>
          </w:tcPr>
          <w:p>
            <w:pPr>
              <w:jc w:val="center"/>
              <w:rPr>
                <w:szCs w:val="21"/>
              </w:rPr>
            </w:pPr>
            <w:r>
              <w:rPr>
                <w:szCs w:val="21"/>
              </w:rPr>
              <w:t>0.55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800</w:t>
            </w:r>
          </w:p>
        </w:tc>
        <w:tc>
          <w:tcPr>
            <w:tcW w:w="1064" w:type="dxa"/>
            <w:shd w:val="clear" w:color="auto" w:fill="auto"/>
            <w:vAlign w:val="center"/>
          </w:tcPr>
          <w:p>
            <w:pPr>
              <w:jc w:val="center"/>
              <w:rPr>
                <w:szCs w:val="21"/>
              </w:rPr>
            </w:pPr>
            <w:r>
              <w:rPr>
                <w:szCs w:val="21"/>
              </w:rPr>
              <w:t>0.00743</w:t>
            </w:r>
          </w:p>
        </w:tc>
        <w:tc>
          <w:tcPr>
            <w:tcW w:w="882" w:type="dxa"/>
            <w:shd w:val="clear" w:color="auto" w:fill="auto"/>
            <w:vAlign w:val="center"/>
          </w:tcPr>
          <w:p>
            <w:pPr>
              <w:jc w:val="center"/>
              <w:rPr>
                <w:szCs w:val="21"/>
              </w:rPr>
            </w:pPr>
            <w:r>
              <w:rPr>
                <w:szCs w:val="21"/>
              </w:rPr>
              <w:t>0.82</w:t>
            </w:r>
          </w:p>
        </w:tc>
        <w:tc>
          <w:tcPr>
            <w:tcW w:w="1063" w:type="dxa"/>
            <w:vAlign w:val="center"/>
          </w:tcPr>
          <w:p>
            <w:pPr>
              <w:jc w:val="center"/>
              <w:rPr>
                <w:szCs w:val="21"/>
              </w:rPr>
            </w:pPr>
            <w:r>
              <w:rPr>
                <w:szCs w:val="21"/>
              </w:rPr>
              <w:t>0.00156</w:t>
            </w:r>
          </w:p>
        </w:tc>
        <w:tc>
          <w:tcPr>
            <w:tcW w:w="896" w:type="dxa"/>
            <w:vAlign w:val="center"/>
          </w:tcPr>
          <w:p>
            <w:pPr>
              <w:jc w:val="center"/>
              <w:rPr>
                <w:szCs w:val="21"/>
              </w:rPr>
            </w:pPr>
            <w:r>
              <w:rPr>
                <w:szCs w:val="21"/>
              </w:rPr>
              <w:t>0.35</w:t>
            </w:r>
          </w:p>
        </w:tc>
        <w:tc>
          <w:tcPr>
            <w:tcW w:w="1077" w:type="dxa"/>
            <w:vAlign w:val="center"/>
          </w:tcPr>
          <w:p>
            <w:pPr>
              <w:jc w:val="center"/>
              <w:rPr>
                <w:szCs w:val="21"/>
              </w:rPr>
            </w:pPr>
            <w:r>
              <w:rPr>
                <w:szCs w:val="21"/>
              </w:rPr>
              <w:t>0.00951</w:t>
            </w:r>
          </w:p>
        </w:tc>
        <w:tc>
          <w:tcPr>
            <w:tcW w:w="927" w:type="dxa"/>
            <w:vAlign w:val="center"/>
          </w:tcPr>
          <w:p>
            <w:pPr>
              <w:jc w:val="center"/>
              <w:rPr>
                <w:szCs w:val="21"/>
              </w:rPr>
            </w:pPr>
            <w:r>
              <w:rPr>
                <w:szCs w:val="21"/>
              </w:rPr>
              <w:t>1.06</w:t>
            </w:r>
          </w:p>
        </w:tc>
        <w:tc>
          <w:tcPr>
            <w:tcW w:w="1134" w:type="dxa"/>
            <w:vAlign w:val="center"/>
          </w:tcPr>
          <w:p>
            <w:pPr>
              <w:jc w:val="center"/>
              <w:rPr>
                <w:szCs w:val="21"/>
              </w:rPr>
            </w:pPr>
            <w:r>
              <w:rPr>
                <w:szCs w:val="21"/>
              </w:rPr>
              <w:t>0.00200</w:t>
            </w:r>
          </w:p>
        </w:tc>
        <w:tc>
          <w:tcPr>
            <w:tcW w:w="865" w:type="dxa"/>
            <w:vAlign w:val="center"/>
          </w:tcPr>
          <w:p>
            <w:pPr>
              <w:jc w:val="center"/>
              <w:rPr>
                <w:szCs w:val="21"/>
              </w:rPr>
            </w:pPr>
            <w:r>
              <w:rPr>
                <w:szCs w:val="21"/>
              </w:rPr>
              <w:t>0.44</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900</w:t>
            </w:r>
          </w:p>
        </w:tc>
        <w:tc>
          <w:tcPr>
            <w:tcW w:w="1064" w:type="dxa"/>
            <w:shd w:val="clear" w:color="auto" w:fill="auto"/>
            <w:vAlign w:val="center"/>
          </w:tcPr>
          <w:p>
            <w:pPr>
              <w:jc w:val="center"/>
              <w:rPr>
                <w:szCs w:val="21"/>
              </w:rPr>
            </w:pPr>
            <w:r>
              <w:rPr>
                <w:szCs w:val="21"/>
              </w:rPr>
              <w:t>0.00619</w:t>
            </w:r>
          </w:p>
        </w:tc>
        <w:tc>
          <w:tcPr>
            <w:tcW w:w="882" w:type="dxa"/>
            <w:shd w:val="clear" w:color="auto" w:fill="auto"/>
            <w:vAlign w:val="center"/>
          </w:tcPr>
          <w:p>
            <w:pPr>
              <w:jc w:val="center"/>
              <w:rPr>
                <w:szCs w:val="21"/>
              </w:rPr>
            </w:pPr>
            <w:r>
              <w:rPr>
                <w:szCs w:val="21"/>
              </w:rPr>
              <w:t>0.69</w:t>
            </w:r>
          </w:p>
        </w:tc>
        <w:tc>
          <w:tcPr>
            <w:tcW w:w="1063" w:type="dxa"/>
            <w:vAlign w:val="center"/>
          </w:tcPr>
          <w:p>
            <w:pPr>
              <w:jc w:val="center"/>
              <w:rPr>
                <w:szCs w:val="21"/>
              </w:rPr>
            </w:pPr>
            <w:r>
              <w:rPr>
                <w:szCs w:val="21"/>
              </w:rPr>
              <w:t>0.00130</w:t>
            </w:r>
          </w:p>
        </w:tc>
        <w:tc>
          <w:tcPr>
            <w:tcW w:w="896" w:type="dxa"/>
            <w:vAlign w:val="center"/>
          </w:tcPr>
          <w:p>
            <w:pPr>
              <w:jc w:val="center"/>
              <w:rPr>
                <w:szCs w:val="21"/>
              </w:rPr>
            </w:pPr>
            <w:r>
              <w:rPr>
                <w:szCs w:val="21"/>
              </w:rPr>
              <w:t>0.29</w:t>
            </w:r>
          </w:p>
        </w:tc>
        <w:tc>
          <w:tcPr>
            <w:tcW w:w="1077" w:type="dxa"/>
            <w:vAlign w:val="center"/>
          </w:tcPr>
          <w:p>
            <w:pPr>
              <w:jc w:val="center"/>
              <w:rPr>
                <w:szCs w:val="21"/>
              </w:rPr>
            </w:pPr>
            <w:r>
              <w:rPr>
                <w:szCs w:val="21"/>
              </w:rPr>
              <w:t>0.00794</w:t>
            </w:r>
          </w:p>
        </w:tc>
        <w:tc>
          <w:tcPr>
            <w:tcW w:w="927" w:type="dxa"/>
            <w:vAlign w:val="center"/>
          </w:tcPr>
          <w:p>
            <w:pPr>
              <w:jc w:val="center"/>
              <w:rPr>
                <w:szCs w:val="21"/>
              </w:rPr>
            </w:pPr>
            <w:r>
              <w:rPr>
                <w:szCs w:val="21"/>
              </w:rPr>
              <w:t>0.88</w:t>
            </w:r>
          </w:p>
        </w:tc>
        <w:tc>
          <w:tcPr>
            <w:tcW w:w="1134" w:type="dxa"/>
            <w:vAlign w:val="center"/>
          </w:tcPr>
          <w:p>
            <w:pPr>
              <w:jc w:val="center"/>
              <w:rPr>
                <w:szCs w:val="21"/>
              </w:rPr>
            </w:pPr>
            <w:r>
              <w:rPr>
                <w:szCs w:val="21"/>
              </w:rPr>
              <w:t>0.00167</w:t>
            </w:r>
          </w:p>
        </w:tc>
        <w:tc>
          <w:tcPr>
            <w:tcW w:w="865" w:type="dxa"/>
            <w:vAlign w:val="center"/>
          </w:tcPr>
          <w:p>
            <w:pPr>
              <w:jc w:val="center"/>
              <w:rPr>
                <w:szCs w:val="21"/>
              </w:rPr>
            </w:pPr>
            <w:r>
              <w:rPr>
                <w:szCs w:val="21"/>
              </w:rPr>
              <w:t>0.37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1000</w:t>
            </w:r>
          </w:p>
        </w:tc>
        <w:tc>
          <w:tcPr>
            <w:tcW w:w="1064" w:type="dxa"/>
            <w:shd w:val="clear" w:color="auto" w:fill="auto"/>
            <w:vAlign w:val="center"/>
          </w:tcPr>
          <w:p>
            <w:pPr>
              <w:jc w:val="center"/>
              <w:rPr>
                <w:szCs w:val="21"/>
              </w:rPr>
            </w:pPr>
            <w:r>
              <w:rPr>
                <w:szCs w:val="21"/>
              </w:rPr>
              <w:t>0.00526</w:t>
            </w:r>
          </w:p>
        </w:tc>
        <w:tc>
          <w:tcPr>
            <w:tcW w:w="882" w:type="dxa"/>
            <w:shd w:val="clear" w:color="auto" w:fill="auto"/>
            <w:vAlign w:val="center"/>
          </w:tcPr>
          <w:p>
            <w:pPr>
              <w:jc w:val="center"/>
              <w:rPr>
                <w:szCs w:val="21"/>
              </w:rPr>
            </w:pPr>
            <w:r>
              <w:rPr>
                <w:szCs w:val="21"/>
              </w:rPr>
              <w:t>0.58</w:t>
            </w:r>
          </w:p>
        </w:tc>
        <w:tc>
          <w:tcPr>
            <w:tcW w:w="1063" w:type="dxa"/>
            <w:vAlign w:val="center"/>
          </w:tcPr>
          <w:p>
            <w:pPr>
              <w:jc w:val="center"/>
              <w:rPr>
                <w:szCs w:val="21"/>
              </w:rPr>
            </w:pPr>
            <w:r>
              <w:rPr>
                <w:szCs w:val="21"/>
              </w:rPr>
              <w:t>0.00110</w:t>
            </w:r>
          </w:p>
        </w:tc>
        <w:tc>
          <w:tcPr>
            <w:tcW w:w="896" w:type="dxa"/>
            <w:vAlign w:val="center"/>
          </w:tcPr>
          <w:p>
            <w:pPr>
              <w:jc w:val="center"/>
              <w:rPr>
                <w:szCs w:val="21"/>
              </w:rPr>
            </w:pPr>
            <w:r>
              <w:rPr>
                <w:szCs w:val="21"/>
              </w:rPr>
              <w:t>0.25</w:t>
            </w:r>
          </w:p>
        </w:tc>
        <w:tc>
          <w:tcPr>
            <w:tcW w:w="1077" w:type="dxa"/>
            <w:vAlign w:val="center"/>
          </w:tcPr>
          <w:p>
            <w:pPr>
              <w:jc w:val="center"/>
              <w:rPr>
                <w:szCs w:val="21"/>
              </w:rPr>
            </w:pPr>
            <w:r>
              <w:rPr>
                <w:szCs w:val="21"/>
              </w:rPr>
              <w:t>0.00676</w:t>
            </w:r>
          </w:p>
        </w:tc>
        <w:tc>
          <w:tcPr>
            <w:tcW w:w="927" w:type="dxa"/>
            <w:vAlign w:val="center"/>
          </w:tcPr>
          <w:p>
            <w:pPr>
              <w:jc w:val="center"/>
              <w:rPr>
                <w:szCs w:val="21"/>
              </w:rPr>
            </w:pPr>
            <w:r>
              <w:rPr>
                <w:szCs w:val="21"/>
              </w:rPr>
              <w:t>0.75</w:t>
            </w:r>
          </w:p>
        </w:tc>
        <w:tc>
          <w:tcPr>
            <w:tcW w:w="1134" w:type="dxa"/>
            <w:vAlign w:val="center"/>
          </w:tcPr>
          <w:p>
            <w:pPr>
              <w:jc w:val="center"/>
              <w:rPr>
                <w:szCs w:val="21"/>
              </w:rPr>
            </w:pPr>
            <w:r>
              <w:rPr>
                <w:szCs w:val="21"/>
              </w:rPr>
              <w:t>0.00142</w:t>
            </w:r>
          </w:p>
        </w:tc>
        <w:tc>
          <w:tcPr>
            <w:tcW w:w="865" w:type="dxa"/>
            <w:vAlign w:val="center"/>
          </w:tcPr>
          <w:p>
            <w:pPr>
              <w:jc w:val="center"/>
              <w:rPr>
                <w:szCs w:val="21"/>
              </w:rPr>
            </w:pPr>
            <w:r>
              <w:rPr>
                <w:szCs w:val="21"/>
              </w:rPr>
              <w:t>0.32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1500</w:t>
            </w:r>
          </w:p>
        </w:tc>
        <w:tc>
          <w:tcPr>
            <w:tcW w:w="1064" w:type="dxa"/>
            <w:shd w:val="clear" w:color="auto" w:fill="auto"/>
            <w:vAlign w:val="center"/>
          </w:tcPr>
          <w:p>
            <w:pPr>
              <w:jc w:val="center"/>
              <w:rPr>
                <w:szCs w:val="21"/>
              </w:rPr>
            </w:pPr>
            <w:r>
              <w:rPr>
                <w:szCs w:val="21"/>
              </w:rPr>
              <w:t>0.00288</w:t>
            </w:r>
          </w:p>
        </w:tc>
        <w:tc>
          <w:tcPr>
            <w:tcW w:w="882" w:type="dxa"/>
            <w:shd w:val="clear" w:color="auto" w:fill="auto"/>
            <w:vAlign w:val="center"/>
          </w:tcPr>
          <w:p>
            <w:pPr>
              <w:jc w:val="center"/>
              <w:rPr>
                <w:szCs w:val="21"/>
              </w:rPr>
            </w:pPr>
            <w:r>
              <w:rPr>
                <w:szCs w:val="21"/>
              </w:rPr>
              <w:t>0.32</w:t>
            </w:r>
          </w:p>
        </w:tc>
        <w:tc>
          <w:tcPr>
            <w:tcW w:w="1063" w:type="dxa"/>
            <w:vAlign w:val="center"/>
          </w:tcPr>
          <w:p>
            <w:pPr>
              <w:jc w:val="center"/>
              <w:rPr>
                <w:szCs w:val="21"/>
              </w:rPr>
            </w:pPr>
            <w:r>
              <w:rPr>
                <w:szCs w:val="21"/>
              </w:rPr>
              <w:t>0.00060</w:t>
            </w:r>
          </w:p>
        </w:tc>
        <w:tc>
          <w:tcPr>
            <w:tcW w:w="896" w:type="dxa"/>
            <w:vAlign w:val="center"/>
          </w:tcPr>
          <w:p>
            <w:pPr>
              <w:jc w:val="center"/>
              <w:rPr>
                <w:szCs w:val="21"/>
              </w:rPr>
            </w:pPr>
            <w:r>
              <w:rPr>
                <w:szCs w:val="21"/>
              </w:rPr>
              <w:t>0.13</w:t>
            </w:r>
          </w:p>
        </w:tc>
        <w:tc>
          <w:tcPr>
            <w:tcW w:w="1077" w:type="dxa"/>
            <w:vAlign w:val="center"/>
          </w:tcPr>
          <w:p>
            <w:pPr>
              <w:jc w:val="center"/>
              <w:rPr>
                <w:szCs w:val="21"/>
              </w:rPr>
            </w:pPr>
            <w:r>
              <w:rPr>
                <w:szCs w:val="21"/>
              </w:rPr>
              <w:t>0.00371</w:t>
            </w:r>
          </w:p>
        </w:tc>
        <w:tc>
          <w:tcPr>
            <w:tcW w:w="927" w:type="dxa"/>
            <w:vAlign w:val="center"/>
          </w:tcPr>
          <w:p>
            <w:pPr>
              <w:jc w:val="center"/>
              <w:rPr>
                <w:szCs w:val="21"/>
              </w:rPr>
            </w:pPr>
            <w:r>
              <w:rPr>
                <w:szCs w:val="21"/>
              </w:rPr>
              <w:t>0.41</w:t>
            </w:r>
          </w:p>
        </w:tc>
        <w:tc>
          <w:tcPr>
            <w:tcW w:w="1134" w:type="dxa"/>
            <w:vAlign w:val="center"/>
          </w:tcPr>
          <w:p>
            <w:pPr>
              <w:jc w:val="center"/>
              <w:rPr>
                <w:szCs w:val="21"/>
              </w:rPr>
            </w:pPr>
            <w:r>
              <w:rPr>
                <w:szCs w:val="21"/>
              </w:rPr>
              <w:t>0.00078</w:t>
            </w:r>
          </w:p>
        </w:tc>
        <w:tc>
          <w:tcPr>
            <w:tcW w:w="865" w:type="dxa"/>
            <w:vAlign w:val="center"/>
          </w:tcPr>
          <w:p>
            <w:pPr>
              <w:jc w:val="center"/>
              <w:rPr>
                <w:szCs w:val="21"/>
              </w:rPr>
            </w:pPr>
            <w:r>
              <w:rPr>
                <w:szCs w:val="21"/>
              </w:rPr>
              <w:t>0.17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2000</w:t>
            </w:r>
          </w:p>
        </w:tc>
        <w:tc>
          <w:tcPr>
            <w:tcW w:w="1064" w:type="dxa"/>
            <w:shd w:val="clear" w:color="auto" w:fill="auto"/>
            <w:vAlign w:val="center"/>
          </w:tcPr>
          <w:p>
            <w:pPr>
              <w:jc w:val="center"/>
              <w:rPr>
                <w:szCs w:val="21"/>
              </w:rPr>
            </w:pPr>
            <w:r>
              <w:rPr>
                <w:szCs w:val="21"/>
              </w:rPr>
              <w:t>0.00191</w:t>
            </w:r>
          </w:p>
        </w:tc>
        <w:tc>
          <w:tcPr>
            <w:tcW w:w="882" w:type="dxa"/>
            <w:shd w:val="clear" w:color="auto" w:fill="auto"/>
            <w:vAlign w:val="center"/>
          </w:tcPr>
          <w:p>
            <w:pPr>
              <w:jc w:val="center"/>
              <w:rPr>
                <w:szCs w:val="21"/>
              </w:rPr>
            </w:pPr>
            <w:r>
              <w:rPr>
                <w:szCs w:val="21"/>
              </w:rPr>
              <w:t>0.21</w:t>
            </w:r>
          </w:p>
        </w:tc>
        <w:tc>
          <w:tcPr>
            <w:tcW w:w="1063" w:type="dxa"/>
            <w:vAlign w:val="center"/>
          </w:tcPr>
          <w:p>
            <w:pPr>
              <w:jc w:val="center"/>
              <w:rPr>
                <w:szCs w:val="21"/>
              </w:rPr>
            </w:pPr>
            <w:r>
              <w:rPr>
                <w:szCs w:val="21"/>
              </w:rPr>
              <w:t>0.00040</w:t>
            </w:r>
          </w:p>
        </w:tc>
        <w:tc>
          <w:tcPr>
            <w:tcW w:w="896" w:type="dxa"/>
            <w:vAlign w:val="center"/>
          </w:tcPr>
          <w:p>
            <w:pPr>
              <w:jc w:val="center"/>
              <w:rPr>
                <w:szCs w:val="21"/>
              </w:rPr>
            </w:pPr>
            <w:r>
              <w:rPr>
                <w:szCs w:val="21"/>
              </w:rPr>
              <w:t>0.09</w:t>
            </w:r>
          </w:p>
        </w:tc>
        <w:tc>
          <w:tcPr>
            <w:tcW w:w="1077" w:type="dxa"/>
            <w:vAlign w:val="center"/>
          </w:tcPr>
          <w:p>
            <w:pPr>
              <w:jc w:val="center"/>
              <w:rPr>
                <w:szCs w:val="21"/>
              </w:rPr>
            </w:pPr>
            <w:r>
              <w:rPr>
                <w:szCs w:val="21"/>
              </w:rPr>
              <w:t>0.00247</w:t>
            </w:r>
          </w:p>
        </w:tc>
        <w:tc>
          <w:tcPr>
            <w:tcW w:w="927" w:type="dxa"/>
            <w:vAlign w:val="center"/>
          </w:tcPr>
          <w:p>
            <w:pPr>
              <w:jc w:val="center"/>
              <w:rPr>
                <w:szCs w:val="21"/>
              </w:rPr>
            </w:pPr>
            <w:r>
              <w:rPr>
                <w:szCs w:val="21"/>
              </w:rPr>
              <w:t>0.38</w:t>
            </w:r>
          </w:p>
        </w:tc>
        <w:tc>
          <w:tcPr>
            <w:tcW w:w="1134" w:type="dxa"/>
            <w:vAlign w:val="center"/>
          </w:tcPr>
          <w:p>
            <w:pPr>
              <w:jc w:val="center"/>
              <w:rPr>
                <w:szCs w:val="21"/>
              </w:rPr>
            </w:pPr>
            <w:r>
              <w:rPr>
                <w:szCs w:val="21"/>
              </w:rPr>
              <w:t>0.00052</w:t>
            </w:r>
          </w:p>
        </w:tc>
        <w:tc>
          <w:tcPr>
            <w:tcW w:w="865" w:type="dxa"/>
            <w:vAlign w:val="center"/>
          </w:tcPr>
          <w:p>
            <w:pPr>
              <w:jc w:val="center"/>
              <w:rPr>
                <w:szCs w:val="21"/>
              </w:rPr>
            </w:pPr>
            <w:r>
              <w:rPr>
                <w:szCs w:val="21"/>
              </w:rPr>
              <w:t>0.12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2500</w:t>
            </w:r>
          </w:p>
        </w:tc>
        <w:tc>
          <w:tcPr>
            <w:tcW w:w="1064" w:type="dxa"/>
            <w:shd w:val="clear" w:color="auto" w:fill="auto"/>
            <w:vAlign w:val="center"/>
          </w:tcPr>
          <w:p>
            <w:pPr>
              <w:jc w:val="center"/>
              <w:rPr>
                <w:szCs w:val="21"/>
              </w:rPr>
            </w:pPr>
            <w:r>
              <w:rPr>
                <w:szCs w:val="21"/>
              </w:rPr>
              <w:t>0.00141</w:t>
            </w:r>
          </w:p>
        </w:tc>
        <w:tc>
          <w:tcPr>
            <w:tcW w:w="882" w:type="dxa"/>
            <w:shd w:val="clear" w:color="auto" w:fill="auto"/>
            <w:vAlign w:val="center"/>
          </w:tcPr>
          <w:p>
            <w:pPr>
              <w:jc w:val="center"/>
              <w:rPr>
                <w:szCs w:val="21"/>
              </w:rPr>
            </w:pPr>
            <w:r>
              <w:rPr>
                <w:szCs w:val="21"/>
              </w:rPr>
              <w:t>0.16</w:t>
            </w:r>
          </w:p>
        </w:tc>
        <w:tc>
          <w:tcPr>
            <w:tcW w:w="1063" w:type="dxa"/>
            <w:vAlign w:val="center"/>
          </w:tcPr>
          <w:p>
            <w:pPr>
              <w:jc w:val="center"/>
              <w:rPr>
                <w:szCs w:val="21"/>
              </w:rPr>
            </w:pPr>
            <w:r>
              <w:rPr>
                <w:szCs w:val="21"/>
              </w:rPr>
              <w:t>0.00030</w:t>
            </w:r>
          </w:p>
        </w:tc>
        <w:tc>
          <w:tcPr>
            <w:tcW w:w="896" w:type="dxa"/>
            <w:vAlign w:val="center"/>
          </w:tcPr>
          <w:p>
            <w:pPr>
              <w:jc w:val="center"/>
              <w:rPr>
                <w:szCs w:val="21"/>
              </w:rPr>
            </w:pPr>
            <w:r>
              <w:rPr>
                <w:szCs w:val="21"/>
              </w:rPr>
              <w:t>0.07</w:t>
            </w:r>
          </w:p>
        </w:tc>
        <w:tc>
          <w:tcPr>
            <w:tcW w:w="1077" w:type="dxa"/>
            <w:vAlign w:val="center"/>
          </w:tcPr>
          <w:p>
            <w:pPr>
              <w:jc w:val="center"/>
              <w:rPr>
                <w:szCs w:val="21"/>
              </w:rPr>
            </w:pPr>
            <w:r>
              <w:rPr>
                <w:szCs w:val="21"/>
              </w:rPr>
              <w:t>0.00182</w:t>
            </w:r>
          </w:p>
        </w:tc>
        <w:tc>
          <w:tcPr>
            <w:tcW w:w="927" w:type="dxa"/>
            <w:vAlign w:val="center"/>
          </w:tcPr>
          <w:p>
            <w:pPr>
              <w:jc w:val="center"/>
              <w:rPr>
                <w:szCs w:val="21"/>
              </w:rPr>
            </w:pPr>
            <w:r>
              <w:rPr>
                <w:szCs w:val="21"/>
              </w:rPr>
              <w:t>0.35</w:t>
            </w:r>
          </w:p>
        </w:tc>
        <w:tc>
          <w:tcPr>
            <w:tcW w:w="1134" w:type="dxa"/>
            <w:vAlign w:val="center"/>
          </w:tcPr>
          <w:p>
            <w:pPr>
              <w:jc w:val="center"/>
              <w:rPr>
                <w:szCs w:val="21"/>
              </w:rPr>
            </w:pPr>
            <w:r>
              <w:rPr>
                <w:szCs w:val="21"/>
              </w:rPr>
              <w:t>0.00038</w:t>
            </w:r>
          </w:p>
        </w:tc>
        <w:tc>
          <w:tcPr>
            <w:tcW w:w="865" w:type="dxa"/>
            <w:vAlign w:val="center"/>
          </w:tcPr>
          <w:p>
            <w:pPr>
              <w:jc w:val="center"/>
              <w:rPr>
                <w:szCs w:val="21"/>
              </w:rPr>
            </w:pPr>
            <w:r>
              <w:rPr>
                <w:szCs w:val="21"/>
              </w:rPr>
              <w:t>0.09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3000</w:t>
            </w:r>
          </w:p>
        </w:tc>
        <w:tc>
          <w:tcPr>
            <w:tcW w:w="1064" w:type="dxa"/>
            <w:shd w:val="clear" w:color="auto" w:fill="auto"/>
            <w:vAlign w:val="center"/>
          </w:tcPr>
          <w:p>
            <w:pPr>
              <w:jc w:val="center"/>
              <w:rPr>
                <w:szCs w:val="21"/>
              </w:rPr>
            </w:pPr>
            <w:r>
              <w:rPr>
                <w:szCs w:val="21"/>
              </w:rPr>
              <w:t>0.00111</w:t>
            </w:r>
          </w:p>
        </w:tc>
        <w:tc>
          <w:tcPr>
            <w:tcW w:w="882" w:type="dxa"/>
            <w:shd w:val="clear" w:color="auto" w:fill="auto"/>
            <w:vAlign w:val="center"/>
          </w:tcPr>
          <w:p>
            <w:pPr>
              <w:jc w:val="center"/>
              <w:rPr>
                <w:szCs w:val="21"/>
              </w:rPr>
            </w:pPr>
            <w:r>
              <w:rPr>
                <w:szCs w:val="21"/>
              </w:rPr>
              <w:t>0.12</w:t>
            </w:r>
          </w:p>
        </w:tc>
        <w:tc>
          <w:tcPr>
            <w:tcW w:w="1063" w:type="dxa"/>
            <w:vAlign w:val="center"/>
          </w:tcPr>
          <w:p>
            <w:pPr>
              <w:jc w:val="center"/>
              <w:rPr>
                <w:szCs w:val="21"/>
              </w:rPr>
            </w:pPr>
            <w:r>
              <w:rPr>
                <w:szCs w:val="21"/>
              </w:rPr>
              <w:t>0.00023</w:t>
            </w:r>
          </w:p>
        </w:tc>
        <w:tc>
          <w:tcPr>
            <w:tcW w:w="896" w:type="dxa"/>
            <w:vAlign w:val="center"/>
          </w:tcPr>
          <w:p>
            <w:pPr>
              <w:jc w:val="center"/>
              <w:rPr>
                <w:szCs w:val="21"/>
              </w:rPr>
            </w:pPr>
            <w:r>
              <w:rPr>
                <w:szCs w:val="21"/>
              </w:rPr>
              <w:t>0.05</w:t>
            </w:r>
          </w:p>
        </w:tc>
        <w:tc>
          <w:tcPr>
            <w:tcW w:w="1077" w:type="dxa"/>
            <w:vAlign w:val="center"/>
          </w:tcPr>
          <w:p>
            <w:pPr>
              <w:jc w:val="center"/>
              <w:rPr>
                <w:szCs w:val="21"/>
              </w:rPr>
            </w:pPr>
            <w:r>
              <w:rPr>
                <w:szCs w:val="21"/>
              </w:rPr>
              <w:t>0.00143</w:t>
            </w:r>
          </w:p>
        </w:tc>
        <w:tc>
          <w:tcPr>
            <w:tcW w:w="927" w:type="dxa"/>
            <w:vAlign w:val="center"/>
          </w:tcPr>
          <w:p>
            <w:pPr>
              <w:jc w:val="center"/>
              <w:rPr>
                <w:szCs w:val="21"/>
              </w:rPr>
            </w:pPr>
            <w:r>
              <w:rPr>
                <w:szCs w:val="21"/>
              </w:rPr>
              <w:t>0.32</w:t>
            </w:r>
          </w:p>
        </w:tc>
        <w:tc>
          <w:tcPr>
            <w:tcW w:w="1134" w:type="dxa"/>
            <w:vAlign w:val="center"/>
          </w:tcPr>
          <w:p>
            <w:pPr>
              <w:jc w:val="center"/>
              <w:rPr>
                <w:szCs w:val="21"/>
              </w:rPr>
            </w:pPr>
            <w:r>
              <w:rPr>
                <w:szCs w:val="21"/>
              </w:rPr>
              <w:t>0.00030</w:t>
            </w:r>
          </w:p>
        </w:tc>
        <w:tc>
          <w:tcPr>
            <w:tcW w:w="865" w:type="dxa"/>
            <w:vAlign w:val="center"/>
          </w:tcPr>
          <w:p>
            <w:pPr>
              <w:jc w:val="center"/>
              <w:rPr>
                <w:szCs w:val="21"/>
              </w:rPr>
            </w:pPr>
            <w:r>
              <w:rPr>
                <w:szCs w:val="21"/>
              </w:rPr>
              <w:t>0.07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3500</w:t>
            </w:r>
          </w:p>
        </w:tc>
        <w:tc>
          <w:tcPr>
            <w:tcW w:w="1064" w:type="dxa"/>
            <w:shd w:val="clear" w:color="auto" w:fill="auto"/>
            <w:vAlign w:val="center"/>
          </w:tcPr>
          <w:p>
            <w:pPr>
              <w:jc w:val="center"/>
              <w:rPr>
                <w:szCs w:val="21"/>
              </w:rPr>
            </w:pPr>
            <w:r>
              <w:rPr>
                <w:szCs w:val="21"/>
              </w:rPr>
              <w:t>0.00090</w:t>
            </w:r>
          </w:p>
        </w:tc>
        <w:tc>
          <w:tcPr>
            <w:tcW w:w="882" w:type="dxa"/>
            <w:shd w:val="clear" w:color="auto" w:fill="auto"/>
            <w:vAlign w:val="center"/>
          </w:tcPr>
          <w:p>
            <w:pPr>
              <w:jc w:val="center"/>
              <w:rPr>
                <w:szCs w:val="21"/>
              </w:rPr>
            </w:pPr>
            <w:r>
              <w:rPr>
                <w:szCs w:val="21"/>
              </w:rPr>
              <w:t>0.1</w:t>
            </w:r>
          </w:p>
        </w:tc>
        <w:tc>
          <w:tcPr>
            <w:tcW w:w="1063" w:type="dxa"/>
            <w:vAlign w:val="center"/>
          </w:tcPr>
          <w:p>
            <w:pPr>
              <w:jc w:val="center"/>
              <w:rPr>
                <w:szCs w:val="21"/>
              </w:rPr>
            </w:pPr>
            <w:r>
              <w:rPr>
                <w:szCs w:val="21"/>
              </w:rPr>
              <w:t>0.00019</w:t>
            </w:r>
          </w:p>
        </w:tc>
        <w:tc>
          <w:tcPr>
            <w:tcW w:w="896" w:type="dxa"/>
            <w:vAlign w:val="center"/>
          </w:tcPr>
          <w:p>
            <w:pPr>
              <w:jc w:val="center"/>
              <w:rPr>
                <w:szCs w:val="21"/>
              </w:rPr>
            </w:pPr>
            <w:r>
              <w:rPr>
                <w:szCs w:val="21"/>
              </w:rPr>
              <w:t>0.04</w:t>
            </w:r>
          </w:p>
        </w:tc>
        <w:tc>
          <w:tcPr>
            <w:tcW w:w="1077" w:type="dxa"/>
            <w:vAlign w:val="center"/>
          </w:tcPr>
          <w:p>
            <w:pPr>
              <w:jc w:val="center"/>
              <w:rPr>
                <w:szCs w:val="21"/>
              </w:rPr>
            </w:pPr>
            <w:r>
              <w:rPr>
                <w:szCs w:val="21"/>
              </w:rPr>
              <w:t>0.00117</w:t>
            </w:r>
          </w:p>
        </w:tc>
        <w:tc>
          <w:tcPr>
            <w:tcW w:w="927" w:type="dxa"/>
            <w:vAlign w:val="center"/>
          </w:tcPr>
          <w:p>
            <w:pPr>
              <w:jc w:val="center"/>
              <w:rPr>
                <w:szCs w:val="21"/>
              </w:rPr>
            </w:pPr>
            <w:r>
              <w:rPr>
                <w:szCs w:val="21"/>
              </w:rPr>
              <w:t>0.3</w:t>
            </w:r>
          </w:p>
        </w:tc>
        <w:tc>
          <w:tcPr>
            <w:tcW w:w="1134" w:type="dxa"/>
            <w:vAlign w:val="center"/>
          </w:tcPr>
          <w:p>
            <w:pPr>
              <w:jc w:val="center"/>
              <w:rPr>
                <w:szCs w:val="21"/>
              </w:rPr>
            </w:pPr>
            <w:r>
              <w:rPr>
                <w:szCs w:val="21"/>
              </w:rPr>
              <w:t>0.00025</w:t>
            </w:r>
          </w:p>
        </w:tc>
        <w:tc>
          <w:tcPr>
            <w:tcW w:w="865" w:type="dxa"/>
            <w:vAlign w:val="center"/>
          </w:tcPr>
          <w:p>
            <w:pPr>
              <w:jc w:val="center"/>
              <w:rPr>
                <w:szCs w:val="21"/>
              </w:rPr>
            </w:pPr>
            <w:r>
              <w:rPr>
                <w:szCs w:val="21"/>
              </w:rPr>
              <w:t>0.05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4000</w:t>
            </w:r>
          </w:p>
        </w:tc>
        <w:tc>
          <w:tcPr>
            <w:tcW w:w="1064" w:type="dxa"/>
            <w:shd w:val="clear" w:color="auto" w:fill="auto"/>
            <w:vAlign w:val="center"/>
          </w:tcPr>
          <w:p>
            <w:pPr>
              <w:jc w:val="center"/>
              <w:rPr>
                <w:szCs w:val="21"/>
              </w:rPr>
            </w:pPr>
            <w:r>
              <w:rPr>
                <w:szCs w:val="21"/>
              </w:rPr>
              <w:t>0.00076</w:t>
            </w:r>
          </w:p>
        </w:tc>
        <w:tc>
          <w:tcPr>
            <w:tcW w:w="882" w:type="dxa"/>
            <w:shd w:val="clear" w:color="auto" w:fill="auto"/>
            <w:vAlign w:val="center"/>
          </w:tcPr>
          <w:p>
            <w:pPr>
              <w:jc w:val="center"/>
              <w:rPr>
                <w:szCs w:val="21"/>
              </w:rPr>
            </w:pPr>
            <w:r>
              <w:rPr>
                <w:szCs w:val="21"/>
              </w:rPr>
              <w:t>0.08</w:t>
            </w:r>
          </w:p>
        </w:tc>
        <w:tc>
          <w:tcPr>
            <w:tcW w:w="1063" w:type="dxa"/>
            <w:vAlign w:val="center"/>
          </w:tcPr>
          <w:p>
            <w:pPr>
              <w:jc w:val="center"/>
              <w:rPr>
                <w:szCs w:val="21"/>
              </w:rPr>
            </w:pPr>
            <w:r>
              <w:rPr>
                <w:szCs w:val="21"/>
              </w:rPr>
              <w:t>0.00016</w:t>
            </w:r>
          </w:p>
        </w:tc>
        <w:tc>
          <w:tcPr>
            <w:tcW w:w="896" w:type="dxa"/>
            <w:vAlign w:val="center"/>
          </w:tcPr>
          <w:p>
            <w:pPr>
              <w:jc w:val="center"/>
              <w:rPr>
                <w:szCs w:val="21"/>
              </w:rPr>
            </w:pPr>
            <w:r>
              <w:rPr>
                <w:szCs w:val="21"/>
              </w:rPr>
              <w:t>0.04</w:t>
            </w:r>
          </w:p>
        </w:tc>
        <w:tc>
          <w:tcPr>
            <w:tcW w:w="1077" w:type="dxa"/>
            <w:vAlign w:val="center"/>
          </w:tcPr>
          <w:p>
            <w:pPr>
              <w:jc w:val="center"/>
              <w:rPr>
                <w:szCs w:val="21"/>
              </w:rPr>
            </w:pPr>
            <w:r>
              <w:rPr>
                <w:szCs w:val="21"/>
              </w:rPr>
              <w:t>0.00099</w:t>
            </w:r>
          </w:p>
        </w:tc>
        <w:tc>
          <w:tcPr>
            <w:tcW w:w="927" w:type="dxa"/>
            <w:vAlign w:val="center"/>
          </w:tcPr>
          <w:p>
            <w:pPr>
              <w:jc w:val="center"/>
              <w:rPr>
                <w:szCs w:val="21"/>
              </w:rPr>
            </w:pPr>
            <w:r>
              <w:rPr>
                <w:szCs w:val="21"/>
              </w:rPr>
              <w:t>0.27</w:t>
            </w:r>
          </w:p>
        </w:tc>
        <w:tc>
          <w:tcPr>
            <w:tcW w:w="1134" w:type="dxa"/>
            <w:vAlign w:val="center"/>
          </w:tcPr>
          <w:p>
            <w:pPr>
              <w:jc w:val="center"/>
              <w:rPr>
                <w:szCs w:val="21"/>
              </w:rPr>
            </w:pPr>
            <w:r>
              <w:rPr>
                <w:szCs w:val="21"/>
              </w:rPr>
              <w:t>0.00021</w:t>
            </w:r>
          </w:p>
        </w:tc>
        <w:tc>
          <w:tcPr>
            <w:tcW w:w="865" w:type="dxa"/>
            <w:vAlign w:val="center"/>
          </w:tcPr>
          <w:p>
            <w:pPr>
              <w:jc w:val="center"/>
              <w:rPr>
                <w:szCs w:val="21"/>
              </w:rPr>
            </w:pPr>
            <w:r>
              <w:rPr>
                <w:szCs w:val="21"/>
              </w:rPr>
              <w:t>0.05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4500</w:t>
            </w:r>
          </w:p>
        </w:tc>
        <w:tc>
          <w:tcPr>
            <w:tcW w:w="1064" w:type="dxa"/>
            <w:shd w:val="clear" w:color="auto" w:fill="auto"/>
            <w:vAlign w:val="center"/>
          </w:tcPr>
          <w:p>
            <w:pPr>
              <w:jc w:val="center"/>
              <w:rPr>
                <w:szCs w:val="21"/>
              </w:rPr>
            </w:pPr>
            <w:r>
              <w:rPr>
                <w:szCs w:val="21"/>
              </w:rPr>
              <w:t>0.00066</w:t>
            </w:r>
          </w:p>
        </w:tc>
        <w:tc>
          <w:tcPr>
            <w:tcW w:w="882" w:type="dxa"/>
            <w:shd w:val="clear" w:color="auto" w:fill="auto"/>
            <w:vAlign w:val="center"/>
          </w:tcPr>
          <w:p>
            <w:pPr>
              <w:jc w:val="center"/>
              <w:rPr>
                <w:szCs w:val="21"/>
              </w:rPr>
            </w:pPr>
            <w:r>
              <w:rPr>
                <w:szCs w:val="21"/>
              </w:rPr>
              <w:t>0.07</w:t>
            </w:r>
          </w:p>
        </w:tc>
        <w:tc>
          <w:tcPr>
            <w:tcW w:w="1063" w:type="dxa"/>
            <w:vAlign w:val="center"/>
          </w:tcPr>
          <w:p>
            <w:pPr>
              <w:jc w:val="center"/>
              <w:rPr>
                <w:szCs w:val="21"/>
              </w:rPr>
            </w:pPr>
            <w:r>
              <w:rPr>
                <w:szCs w:val="21"/>
              </w:rPr>
              <w:t>0.00014</w:t>
            </w:r>
          </w:p>
        </w:tc>
        <w:tc>
          <w:tcPr>
            <w:tcW w:w="896" w:type="dxa"/>
            <w:vAlign w:val="center"/>
          </w:tcPr>
          <w:p>
            <w:pPr>
              <w:jc w:val="center"/>
              <w:rPr>
                <w:szCs w:val="21"/>
              </w:rPr>
            </w:pPr>
            <w:r>
              <w:rPr>
                <w:szCs w:val="21"/>
              </w:rPr>
              <w:t>0.03</w:t>
            </w:r>
          </w:p>
        </w:tc>
        <w:tc>
          <w:tcPr>
            <w:tcW w:w="1077" w:type="dxa"/>
            <w:vAlign w:val="center"/>
          </w:tcPr>
          <w:p>
            <w:pPr>
              <w:jc w:val="center"/>
              <w:rPr>
                <w:szCs w:val="21"/>
              </w:rPr>
            </w:pPr>
            <w:r>
              <w:rPr>
                <w:szCs w:val="21"/>
              </w:rPr>
              <w:t>0.00085</w:t>
            </w:r>
          </w:p>
        </w:tc>
        <w:tc>
          <w:tcPr>
            <w:tcW w:w="927" w:type="dxa"/>
            <w:vAlign w:val="center"/>
          </w:tcPr>
          <w:p>
            <w:pPr>
              <w:jc w:val="center"/>
              <w:rPr>
                <w:szCs w:val="21"/>
              </w:rPr>
            </w:pPr>
            <w:r>
              <w:rPr>
                <w:szCs w:val="21"/>
              </w:rPr>
              <w:t>0.2</w:t>
            </w:r>
          </w:p>
        </w:tc>
        <w:tc>
          <w:tcPr>
            <w:tcW w:w="1134" w:type="dxa"/>
            <w:vAlign w:val="center"/>
          </w:tcPr>
          <w:p>
            <w:pPr>
              <w:jc w:val="center"/>
              <w:rPr>
                <w:szCs w:val="21"/>
              </w:rPr>
            </w:pPr>
            <w:r>
              <w:rPr>
                <w:szCs w:val="21"/>
              </w:rPr>
              <w:t>0.00018</w:t>
            </w:r>
          </w:p>
        </w:tc>
        <w:tc>
          <w:tcPr>
            <w:tcW w:w="865" w:type="dxa"/>
            <w:vAlign w:val="center"/>
          </w:tcPr>
          <w:p>
            <w:pPr>
              <w:jc w:val="center"/>
              <w:rPr>
                <w:szCs w:val="21"/>
              </w:rPr>
            </w:pPr>
            <w:r>
              <w:rPr>
                <w:szCs w:val="21"/>
              </w:rPr>
              <w:t>0.04</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jc w:val="center"/>
              <w:rPr>
                <w:szCs w:val="21"/>
              </w:rPr>
            </w:pPr>
            <w:r>
              <w:rPr>
                <w:szCs w:val="21"/>
              </w:rPr>
              <w:t>5000</w:t>
            </w:r>
          </w:p>
        </w:tc>
        <w:tc>
          <w:tcPr>
            <w:tcW w:w="1064" w:type="dxa"/>
            <w:shd w:val="clear" w:color="auto" w:fill="auto"/>
            <w:vAlign w:val="center"/>
          </w:tcPr>
          <w:p>
            <w:pPr>
              <w:jc w:val="center"/>
              <w:rPr>
                <w:szCs w:val="21"/>
              </w:rPr>
            </w:pPr>
            <w:r>
              <w:rPr>
                <w:szCs w:val="21"/>
              </w:rPr>
              <w:t>0.00058</w:t>
            </w:r>
          </w:p>
        </w:tc>
        <w:tc>
          <w:tcPr>
            <w:tcW w:w="882" w:type="dxa"/>
            <w:shd w:val="clear" w:color="auto" w:fill="auto"/>
            <w:vAlign w:val="center"/>
          </w:tcPr>
          <w:p>
            <w:pPr>
              <w:jc w:val="center"/>
              <w:rPr>
                <w:szCs w:val="21"/>
              </w:rPr>
            </w:pPr>
            <w:r>
              <w:rPr>
                <w:szCs w:val="21"/>
              </w:rPr>
              <w:t>0.06</w:t>
            </w:r>
          </w:p>
        </w:tc>
        <w:tc>
          <w:tcPr>
            <w:tcW w:w="1063" w:type="dxa"/>
            <w:vAlign w:val="center"/>
          </w:tcPr>
          <w:p>
            <w:pPr>
              <w:jc w:val="center"/>
              <w:rPr>
                <w:szCs w:val="21"/>
              </w:rPr>
            </w:pPr>
            <w:r>
              <w:rPr>
                <w:szCs w:val="21"/>
              </w:rPr>
              <w:t>0.00012</w:t>
            </w:r>
          </w:p>
        </w:tc>
        <w:tc>
          <w:tcPr>
            <w:tcW w:w="896" w:type="dxa"/>
            <w:vAlign w:val="center"/>
          </w:tcPr>
          <w:p>
            <w:pPr>
              <w:jc w:val="center"/>
              <w:rPr>
                <w:szCs w:val="21"/>
              </w:rPr>
            </w:pPr>
            <w:r>
              <w:rPr>
                <w:szCs w:val="21"/>
              </w:rPr>
              <w:t>0.03</w:t>
            </w:r>
          </w:p>
        </w:tc>
        <w:tc>
          <w:tcPr>
            <w:tcW w:w="1077" w:type="dxa"/>
            <w:vAlign w:val="center"/>
          </w:tcPr>
          <w:p>
            <w:pPr>
              <w:jc w:val="center"/>
              <w:rPr>
                <w:szCs w:val="21"/>
              </w:rPr>
            </w:pPr>
            <w:r>
              <w:rPr>
                <w:szCs w:val="21"/>
              </w:rPr>
              <w:t>0.00075</w:t>
            </w:r>
          </w:p>
        </w:tc>
        <w:tc>
          <w:tcPr>
            <w:tcW w:w="927" w:type="dxa"/>
            <w:vAlign w:val="center"/>
          </w:tcPr>
          <w:p>
            <w:pPr>
              <w:jc w:val="center"/>
              <w:rPr>
                <w:szCs w:val="21"/>
              </w:rPr>
            </w:pPr>
            <w:r>
              <w:rPr>
                <w:szCs w:val="21"/>
              </w:rPr>
              <w:t>0.16</w:t>
            </w:r>
          </w:p>
        </w:tc>
        <w:tc>
          <w:tcPr>
            <w:tcW w:w="1134" w:type="dxa"/>
            <w:vAlign w:val="center"/>
          </w:tcPr>
          <w:p>
            <w:pPr>
              <w:jc w:val="center"/>
              <w:rPr>
                <w:szCs w:val="21"/>
              </w:rPr>
            </w:pPr>
            <w:r>
              <w:rPr>
                <w:szCs w:val="21"/>
              </w:rPr>
              <w:t>0.00016</w:t>
            </w:r>
          </w:p>
        </w:tc>
        <w:tc>
          <w:tcPr>
            <w:tcW w:w="865" w:type="dxa"/>
            <w:vAlign w:val="center"/>
          </w:tcPr>
          <w:p>
            <w:pPr>
              <w:jc w:val="center"/>
              <w:rPr>
                <w:szCs w:val="21"/>
              </w:rPr>
            </w:pPr>
            <w:r>
              <w:rPr>
                <w:szCs w:val="21"/>
              </w:rPr>
              <w:t>0.04</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widowControl/>
              <w:adjustRightInd w:val="0"/>
              <w:snapToGrid w:val="0"/>
              <w:spacing w:line="240" w:lineRule="exact"/>
              <w:jc w:val="center"/>
              <w:rPr>
                <w:kern w:val="0"/>
                <w:szCs w:val="21"/>
              </w:rPr>
            </w:pPr>
            <w:r>
              <w:rPr>
                <w:kern w:val="0"/>
                <w:szCs w:val="21"/>
              </w:rPr>
              <w:t>最大落地浓度</w:t>
            </w:r>
          </w:p>
        </w:tc>
        <w:tc>
          <w:tcPr>
            <w:tcW w:w="1064" w:type="dxa"/>
            <w:shd w:val="clear" w:color="auto" w:fill="auto"/>
            <w:vAlign w:val="center"/>
          </w:tcPr>
          <w:p>
            <w:pPr>
              <w:jc w:val="center"/>
              <w:rPr>
                <w:szCs w:val="21"/>
              </w:rPr>
            </w:pPr>
            <w:r>
              <w:rPr>
                <w:szCs w:val="21"/>
              </w:rPr>
              <w:t>0.08679</w:t>
            </w:r>
          </w:p>
        </w:tc>
        <w:tc>
          <w:tcPr>
            <w:tcW w:w="882" w:type="dxa"/>
            <w:shd w:val="clear" w:color="auto" w:fill="auto"/>
            <w:vAlign w:val="center"/>
          </w:tcPr>
          <w:p>
            <w:pPr>
              <w:jc w:val="center"/>
              <w:rPr>
                <w:szCs w:val="21"/>
              </w:rPr>
            </w:pPr>
            <w:r>
              <w:rPr>
                <w:szCs w:val="21"/>
              </w:rPr>
              <w:t>9.64</w:t>
            </w:r>
          </w:p>
        </w:tc>
        <w:tc>
          <w:tcPr>
            <w:tcW w:w="1063" w:type="dxa"/>
            <w:vAlign w:val="center"/>
          </w:tcPr>
          <w:p>
            <w:pPr>
              <w:jc w:val="center"/>
              <w:rPr>
                <w:szCs w:val="21"/>
              </w:rPr>
            </w:pPr>
            <w:r>
              <w:rPr>
                <w:szCs w:val="21"/>
              </w:rPr>
              <w:t>0.01821</w:t>
            </w:r>
          </w:p>
        </w:tc>
        <w:tc>
          <w:tcPr>
            <w:tcW w:w="896" w:type="dxa"/>
            <w:vAlign w:val="center"/>
          </w:tcPr>
          <w:p>
            <w:pPr>
              <w:jc w:val="center"/>
              <w:rPr>
                <w:szCs w:val="21"/>
              </w:rPr>
            </w:pPr>
            <w:r>
              <w:rPr>
                <w:szCs w:val="21"/>
              </w:rPr>
              <w:t>4.05</w:t>
            </w:r>
          </w:p>
        </w:tc>
        <w:tc>
          <w:tcPr>
            <w:tcW w:w="1077" w:type="dxa"/>
            <w:vAlign w:val="center"/>
          </w:tcPr>
          <w:p>
            <w:pPr>
              <w:adjustRightInd w:val="0"/>
              <w:snapToGrid w:val="0"/>
              <w:spacing w:line="240" w:lineRule="exact"/>
              <w:jc w:val="center"/>
              <w:rPr>
                <w:szCs w:val="21"/>
              </w:rPr>
            </w:pPr>
            <w:r>
              <w:rPr>
                <w:szCs w:val="21"/>
              </w:rPr>
              <w:t>0.06797</w:t>
            </w:r>
          </w:p>
        </w:tc>
        <w:tc>
          <w:tcPr>
            <w:tcW w:w="927" w:type="dxa"/>
            <w:vAlign w:val="center"/>
          </w:tcPr>
          <w:p>
            <w:pPr>
              <w:adjustRightInd w:val="0"/>
              <w:snapToGrid w:val="0"/>
              <w:spacing w:line="240" w:lineRule="exact"/>
              <w:jc w:val="center"/>
              <w:rPr>
                <w:szCs w:val="21"/>
              </w:rPr>
            </w:pPr>
            <w:r>
              <w:rPr>
                <w:szCs w:val="21"/>
              </w:rPr>
              <w:t>7.55</w:t>
            </w:r>
          </w:p>
        </w:tc>
        <w:tc>
          <w:tcPr>
            <w:tcW w:w="1134" w:type="dxa"/>
            <w:vAlign w:val="center"/>
          </w:tcPr>
          <w:p>
            <w:pPr>
              <w:adjustRightInd w:val="0"/>
              <w:snapToGrid w:val="0"/>
              <w:spacing w:line="240" w:lineRule="exact"/>
              <w:jc w:val="center"/>
              <w:rPr>
                <w:szCs w:val="21"/>
              </w:rPr>
            </w:pPr>
            <w:r>
              <w:rPr>
                <w:szCs w:val="21"/>
              </w:rPr>
              <w:t>0.01428</w:t>
            </w:r>
          </w:p>
        </w:tc>
        <w:tc>
          <w:tcPr>
            <w:tcW w:w="865" w:type="dxa"/>
            <w:vAlign w:val="center"/>
          </w:tcPr>
          <w:p>
            <w:pPr>
              <w:adjustRightInd w:val="0"/>
              <w:snapToGrid w:val="0"/>
              <w:spacing w:line="240" w:lineRule="exact"/>
              <w:jc w:val="center"/>
              <w:rPr>
                <w:szCs w:val="21"/>
              </w:rPr>
            </w:pPr>
            <w:r>
              <w:rPr>
                <w:szCs w:val="21"/>
              </w:rPr>
              <w:t>3.17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320" w:hRule="atLeast"/>
          <w:jc w:val="center"/>
        </w:trPr>
        <w:tc>
          <w:tcPr>
            <w:tcW w:w="1123" w:type="dxa"/>
            <w:shd w:val="clear" w:color="auto" w:fill="auto"/>
            <w:vAlign w:val="center"/>
          </w:tcPr>
          <w:p>
            <w:pPr>
              <w:widowControl/>
              <w:adjustRightInd w:val="0"/>
              <w:snapToGrid w:val="0"/>
              <w:spacing w:line="240" w:lineRule="exact"/>
              <w:jc w:val="center"/>
              <w:rPr>
                <w:kern w:val="0"/>
                <w:szCs w:val="21"/>
              </w:rPr>
            </w:pPr>
            <w:r>
              <w:rPr>
                <w:kern w:val="0"/>
                <w:szCs w:val="21"/>
              </w:rPr>
              <w:t>D</w:t>
            </w:r>
            <w:r>
              <w:rPr>
                <w:kern w:val="0"/>
                <w:szCs w:val="21"/>
                <w:vertAlign w:val="subscript"/>
              </w:rPr>
              <w:t>10%</w:t>
            </w:r>
            <w:r>
              <w:rPr>
                <w:kern w:val="0"/>
                <w:szCs w:val="21"/>
              </w:rPr>
              <w:t>(m)</w:t>
            </w:r>
          </w:p>
        </w:tc>
        <w:tc>
          <w:tcPr>
            <w:tcW w:w="1946" w:type="dxa"/>
            <w:gridSpan w:val="2"/>
            <w:shd w:val="clear" w:color="auto" w:fill="auto"/>
            <w:vAlign w:val="center"/>
          </w:tcPr>
          <w:p>
            <w:pPr>
              <w:adjustRightInd w:val="0"/>
              <w:snapToGrid w:val="0"/>
              <w:spacing w:line="240" w:lineRule="exact"/>
              <w:jc w:val="center"/>
              <w:rPr>
                <w:szCs w:val="21"/>
              </w:rPr>
            </w:pPr>
            <w:r>
              <w:rPr>
                <w:szCs w:val="21"/>
              </w:rPr>
              <w:t>/</w:t>
            </w:r>
          </w:p>
        </w:tc>
        <w:tc>
          <w:tcPr>
            <w:tcW w:w="1959" w:type="dxa"/>
            <w:gridSpan w:val="2"/>
            <w:vAlign w:val="center"/>
          </w:tcPr>
          <w:p>
            <w:pPr>
              <w:adjustRightInd w:val="0"/>
              <w:snapToGrid w:val="0"/>
              <w:spacing w:line="240" w:lineRule="exact"/>
              <w:jc w:val="center"/>
              <w:rPr>
                <w:szCs w:val="21"/>
              </w:rPr>
            </w:pPr>
            <w:r>
              <w:rPr>
                <w:szCs w:val="21"/>
              </w:rPr>
              <w:t>/</w:t>
            </w:r>
          </w:p>
        </w:tc>
        <w:tc>
          <w:tcPr>
            <w:tcW w:w="2004" w:type="dxa"/>
            <w:gridSpan w:val="2"/>
            <w:vAlign w:val="center"/>
          </w:tcPr>
          <w:p>
            <w:pPr>
              <w:adjustRightInd w:val="0"/>
              <w:snapToGrid w:val="0"/>
              <w:spacing w:line="240" w:lineRule="exact"/>
              <w:jc w:val="center"/>
              <w:rPr>
                <w:szCs w:val="21"/>
              </w:rPr>
            </w:pPr>
            <w:r>
              <w:rPr>
                <w:szCs w:val="21"/>
              </w:rPr>
              <w:t>/</w:t>
            </w:r>
          </w:p>
        </w:tc>
        <w:tc>
          <w:tcPr>
            <w:tcW w:w="1999" w:type="dxa"/>
            <w:gridSpan w:val="2"/>
            <w:vAlign w:val="center"/>
          </w:tcPr>
          <w:p>
            <w:pPr>
              <w:adjustRightInd w:val="0"/>
              <w:snapToGrid w:val="0"/>
              <w:spacing w:line="240" w:lineRule="exact"/>
              <w:jc w:val="center"/>
              <w:rPr>
                <w:szCs w:val="21"/>
              </w:rPr>
            </w:pPr>
            <w:r>
              <w:rPr>
                <w:szCs w:val="21"/>
              </w:rPr>
              <w:t>/</w:t>
            </w:r>
          </w:p>
        </w:tc>
      </w:tr>
    </w:tbl>
    <w:p>
      <w:pPr>
        <w:spacing w:line="360" w:lineRule="auto"/>
        <w:ind w:firstLine="480" w:firstLineChars="200"/>
        <w:rPr>
          <w:kern w:val="0"/>
          <w:sz w:val="24"/>
          <w:lang w:val="zh-CN"/>
        </w:rPr>
      </w:pPr>
      <w:r>
        <w:rPr>
          <w:kern w:val="0"/>
          <w:sz w:val="24"/>
          <w:lang w:val="zh-CN"/>
        </w:rPr>
        <w:t>由表</w:t>
      </w:r>
      <w:r>
        <w:rPr>
          <w:rFonts w:hint="eastAsia"/>
          <w:kern w:val="0"/>
          <w:sz w:val="24"/>
        </w:rPr>
        <w:t>6.2-6</w:t>
      </w:r>
      <w:r>
        <w:rPr>
          <w:kern w:val="0"/>
          <w:sz w:val="24"/>
        </w:rPr>
        <w:t xml:space="preserve"> </w:t>
      </w:r>
      <w:r>
        <w:rPr>
          <w:kern w:val="0"/>
          <w:sz w:val="24"/>
          <w:lang w:val="zh-CN"/>
        </w:rPr>
        <w:t>可知</w:t>
      </w:r>
      <w:r>
        <w:rPr>
          <w:kern w:val="0"/>
          <w:sz w:val="24"/>
        </w:rPr>
        <w:t>，Pi</w:t>
      </w:r>
      <w:r>
        <w:rPr>
          <w:kern w:val="0"/>
          <w:sz w:val="24"/>
          <w:vertAlign w:val="subscript"/>
        </w:rPr>
        <w:t>max</w:t>
      </w:r>
      <w:r>
        <w:rPr>
          <w:kern w:val="0"/>
          <w:sz w:val="24"/>
        </w:rPr>
        <w:t>= 9.64%，</w:t>
      </w:r>
      <w:r>
        <w:rPr>
          <w:kern w:val="0"/>
          <w:sz w:val="24"/>
          <w:lang w:val="zh-CN"/>
        </w:rPr>
        <w:t>小于</w:t>
      </w:r>
      <w:r>
        <w:rPr>
          <w:kern w:val="0"/>
          <w:sz w:val="24"/>
        </w:rPr>
        <w:t>10%</w:t>
      </w:r>
      <w:r>
        <w:rPr>
          <w:rFonts w:hint="eastAsia"/>
          <w:kern w:val="0"/>
          <w:sz w:val="24"/>
        </w:rPr>
        <w:t>，确定本项目大气评价等级为三级</w:t>
      </w:r>
      <w:r>
        <w:rPr>
          <w:kern w:val="0"/>
          <w:sz w:val="24"/>
          <w:lang w:val="zh-CN"/>
        </w:rPr>
        <w:t>。砂石料扬尘对大气环境影响较小。</w:t>
      </w:r>
    </w:p>
    <w:p>
      <w:pPr>
        <w:pStyle w:val="1205"/>
        <w:spacing w:line="360" w:lineRule="auto"/>
        <w:ind w:firstLine="482"/>
        <w:jc w:val="both"/>
        <w:rPr>
          <w:b/>
          <w:color w:val="auto"/>
        </w:rPr>
      </w:pPr>
      <w:r>
        <w:rPr>
          <w:rFonts w:hint="eastAsia"/>
          <w:b/>
          <w:color w:val="auto"/>
        </w:rPr>
        <w:t>（2）敏感点预测</w:t>
      </w:r>
    </w:p>
    <w:p>
      <w:pPr>
        <w:spacing w:line="360" w:lineRule="auto"/>
        <w:ind w:firstLine="480" w:firstLineChars="200"/>
        <w:rPr>
          <w:kern w:val="0"/>
          <w:sz w:val="24"/>
        </w:rPr>
      </w:pPr>
      <w:r>
        <w:rPr>
          <w:rFonts w:hint="eastAsia"/>
          <w:kern w:val="0"/>
          <w:sz w:val="24"/>
        </w:rPr>
        <w:t>据预测，项目评价范围内2个敏感点桂溪湖村、垭子山村距离本项目散货堆场最近距离分别为1700m、180m；距离码头前沿作业区最近距离分别为2000m、600m。</w:t>
      </w:r>
    </w:p>
    <w:p>
      <w:pPr>
        <w:spacing w:line="360" w:lineRule="auto"/>
        <w:ind w:firstLine="480" w:firstLineChars="200"/>
        <w:rPr>
          <w:kern w:val="0"/>
          <w:sz w:val="24"/>
          <w:lang w:val="zh-CN"/>
        </w:rPr>
      </w:pPr>
      <w:r>
        <w:rPr>
          <w:rFonts w:hint="eastAsia"/>
          <w:kern w:val="0"/>
          <w:sz w:val="24"/>
          <w:lang w:val="zh-CN"/>
        </w:rPr>
        <w:t>本项目散货装卸、堆存作业TSP、PM10的浓度贡献值较小，TSP最大落地浓度占标率为</w:t>
      </w:r>
      <w:r>
        <w:rPr>
          <w:kern w:val="0"/>
          <w:sz w:val="24"/>
          <w:lang w:val="zh-CN"/>
        </w:rPr>
        <w:t>9.64</w:t>
      </w:r>
      <w:r>
        <w:rPr>
          <w:rFonts w:hint="eastAsia"/>
          <w:kern w:val="0"/>
          <w:sz w:val="24"/>
          <w:lang w:val="zh-CN"/>
        </w:rPr>
        <w:t>%，PM10最大落地浓度占标率为</w:t>
      </w:r>
      <w:r>
        <w:rPr>
          <w:kern w:val="0"/>
          <w:sz w:val="24"/>
          <w:lang w:val="zh-CN"/>
        </w:rPr>
        <w:t>4.05</w:t>
      </w:r>
      <w:r>
        <w:rPr>
          <w:rFonts w:hint="eastAsia"/>
          <w:kern w:val="0"/>
          <w:sz w:val="24"/>
          <w:lang w:val="zh-CN"/>
        </w:rPr>
        <w:t>%，TSP、PM10影响范围主要集中在泊位及堆场附近。项目周边大气敏感点最近敏感点桂溪湖村、垭子山村位于项目侧下风向，根据预测结果，本项目散货装卸及堆存对区域的环境空气影响较小。</w:t>
      </w:r>
    </w:p>
    <w:p>
      <w:pPr>
        <w:pStyle w:val="1205"/>
        <w:spacing w:line="360" w:lineRule="auto"/>
        <w:ind w:firstLine="482"/>
        <w:jc w:val="both"/>
        <w:rPr>
          <w:b/>
          <w:color w:val="auto"/>
        </w:rPr>
      </w:pPr>
      <w:r>
        <w:rPr>
          <w:rFonts w:hint="eastAsia"/>
          <w:b/>
          <w:color w:val="auto"/>
        </w:rPr>
        <w:t>（3）大气环境防护距离的确定</w:t>
      </w:r>
    </w:p>
    <w:p>
      <w:pPr>
        <w:spacing w:line="360" w:lineRule="auto"/>
        <w:ind w:firstLine="480" w:firstLineChars="200"/>
        <w:rPr>
          <w:color w:val="0000FF"/>
          <w:kern w:val="0"/>
          <w:sz w:val="24"/>
          <w:lang w:val="zh-CN"/>
        </w:rPr>
      </w:pPr>
      <w:r>
        <w:rPr>
          <w:kern w:val="0"/>
          <w:sz w:val="24"/>
          <w:lang w:val="zh-CN"/>
        </w:rPr>
        <w:t>根据HJ/T2.2-2008，采用推荐模式中的大气环境防护距离模式计算各无组织源的大气环境防护距离。根据推荐模式，计算结果为无超标，无需设置大气环境防护距离</w:t>
      </w:r>
      <w:r>
        <w:rPr>
          <w:rFonts w:hint="eastAsia"/>
          <w:color w:val="0000FF"/>
          <w:kern w:val="0"/>
          <w:sz w:val="24"/>
          <w:lang w:val="zh-CN"/>
        </w:rPr>
        <w:t>。</w:t>
      </w:r>
    </w:p>
    <w:p>
      <w:pPr>
        <w:pStyle w:val="6"/>
        <w:tabs>
          <w:tab w:val="left" w:pos="1006"/>
        </w:tabs>
        <w:spacing w:beforeLines="0" w:afterLines="0"/>
        <w:ind w:left="0" w:firstLine="0"/>
      </w:pPr>
      <w:r>
        <w:rPr>
          <w:rFonts w:hint="eastAsia"/>
        </w:rPr>
        <w:t>汽车尾气影响分析</w:t>
      </w:r>
    </w:p>
    <w:p>
      <w:pPr>
        <w:spacing w:line="360" w:lineRule="auto"/>
        <w:ind w:firstLine="480" w:firstLineChars="200"/>
        <w:rPr>
          <w:kern w:val="0"/>
          <w:sz w:val="24"/>
          <w:lang w:val="zh-CN"/>
        </w:rPr>
      </w:pPr>
      <w:r>
        <w:rPr>
          <w:kern w:val="0"/>
          <w:sz w:val="24"/>
          <w:lang w:val="zh-CN"/>
        </w:rPr>
        <w:t>工程营运期汽车尾气中的污染主要为</w:t>
      </w:r>
      <w:r>
        <w:rPr>
          <w:kern w:val="0"/>
          <w:sz w:val="24"/>
        </w:rPr>
        <w:t>SO</w:t>
      </w:r>
      <w:r>
        <w:rPr>
          <w:kern w:val="0"/>
          <w:sz w:val="24"/>
          <w:vertAlign w:val="subscript"/>
        </w:rPr>
        <w:t>2</w:t>
      </w:r>
      <w:r>
        <w:rPr>
          <w:kern w:val="0"/>
          <w:sz w:val="24"/>
        </w:rPr>
        <w:t>、CO、NO</w:t>
      </w:r>
      <w:r>
        <w:rPr>
          <w:kern w:val="0"/>
          <w:sz w:val="24"/>
          <w:vertAlign w:val="subscript"/>
        </w:rPr>
        <w:t>x</w:t>
      </w:r>
      <w:r>
        <w:rPr>
          <w:kern w:val="0"/>
          <w:sz w:val="24"/>
        </w:rPr>
        <w:t xml:space="preserve"> 、CnHm 为</w:t>
      </w:r>
      <w:r>
        <w:rPr>
          <w:kern w:val="0"/>
          <w:sz w:val="24"/>
          <w:lang w:val="zh-CN"/>
        </w:rPr>
        <w:t>，采用类比分析方法分析工程营运期对周围空气环境产生的污染影响。</w:t>
      </w:r>
      <w:r>
        <w:rPr>
          <w:kern w:val="0"/>
          <w:sz w:val="24"/>
        </w:rPr>
        <w:t>估算得集疏运车辆在港区内汽车尾气排放量SO</w:t>
      </w:r>
      <w:r>
        <w:rPr>
          <w:kern w:val="0"/>
          <w:sz w:val="24"/>
          <w:vertAlign w:val="subscript"/>
        </w:rPr>
        <w:t>2</w:t>
      </w:r>
      <w:r>
        <w:rPr>
          <w:kern w:val="0"/>
          <w:sz w:val="24"/>
        </w:rPr>
        <w:t>为0.49 kg/d，CO为4.08kg/d，NOx 为6.70kg/d，CnHm 为0.67kg/d</w:t>
      </w:r>
      <w:r>
        <w:rPr>
          <w:kern w:val="0"/>
          <w:sz w:val="24"/>
          <w:lang w:val="zh-CN"/>
        </w:rPr>
        <w:t>。</w:t>
      </w:r>
      <w:r>
        <w:rPr>
          <w:rFonts w:hint="eastAsia"/>
          <w:kern w:val="0"/>
          <w:sz w:val="24"/>
          <w:lang w:val="zh-CN"/>
        </w:rPr>
        <w:t>根据同类港口类比分析可知：</w:t>
      </w:r>
      <w:r>
        <w:rPr>
          <w:kern w:val="0"/>
          <w:sz w:val="24"/>
          <w:lang w:val="zh-CN"/>
        </w:rPr>
        <w:t>CO</w:t>
      </w:r>
      <w:r>
        <w:rPr>
          <w:rFonts w:hint="eastAsia"/>
          <w:kern w:val="0"/>
          <w:sz w:val="24"/>
          <w:lang w:val="zh-CN"/>
        </w:rPr>
        <w:t xml:space="preserve"> 24小时平均值在</w:t>
      </w:r>
      <w:r>
        <w:rPr>
          <w:kern w:val="0"/>
          <w:sz w:val="24"/>
          <w:lang w:val="zh-CN"/>
        </w:rPr>
        <w:t>1.80</w:t>
      </w:r>
      <w:r>
        <w:rPr>
          <w:rFonts w:hint="eastAsia"/>
          <w:kern w:val="0"/>
          <w:sz w:val="24"/>
          <w:lang w:val="zh-CN"/>
        </w:rPr>
        <w:t>～</w:t>
      </w:r>
      <w:r>
        <w:rPr>
          <w:kern w:val="0"/>
          <w:sz w:val="24"/>
          <w:lang w:val="zh-CN"/>
        </w:rPr>
        <w:t>2.7mg/m</w:t>
      </w:r>
      <w:r>
        <w:rPr>
          <w:kern w:val="0"/>
          <w:sz w:val="24"/>
          <w:vertAlign w:val="superscript"/>
          <w:lang w:val="zh-CN"/>
        </w:rPr>
        <w:t>3</w:t>
      </w:r>
      <w:r>
        <w:rPr>
          <w:kern w:val="0"/>
          <w:sz w:val="24"/>
          <w:lang w:val="zh-CN"/>
        </w:rPr>
        <w:t xml:space="preserve"> </w:t>
      </w:r>
      <w:r>
        <w:rPr>
          <w:rFonts w:hint="eastAsia"/>
          <w:kern w:val="0"/>
          <w:sz w:val="24"/>
          <w:lang w:val="zh-CN"/>
        </w:rPr>
        <w:t>之间，</w:t>
      </w:r>
      <w:r>
        <w:rPr>
          <w:kern w:val="0"/>
          <w:sz w:val="24"/>
          <w:lang w:val="zh-CN"/>
        </w:rPr>
        <w:t>NO</w:t>
      </w:r>
      <w:r>
        <w:rPr>
          <w:kern w:val="0"/>
          <w:sz w:val="24"/>
          <w:vertAlign w:val="subscript"/>
          <w:lang w:val="zh-CN"/>
        </w:rPr>
        <w:t>2</w:t>
      </w:r>
      <w:r>
        <w:rPr>
          <w:rFonts w:hint="eastAsia"/>
          <w:kern w:val="0"/>
          <w:sz w:val="24"/>
          <w:lang w:val="zh-CN"/>
        </w:rPr>
        <w:t>24小时平均值在</w:t>
      </w:r>
      <w:r>
        <w:rPr>
          <w:kern w:val="0"/>
          <w:sz w:val="24"/>
          <w:lang w:val="zh-CN"/>
        </w:rPr>
        <w:t>1</w:t>
      </w:r>
      <w:r>
        <w:rPr>
          <w:rFonts w:hint="eastAsia"/>
          <w:kern w:val="0"/>
          <w:sz w:val="24"/>
          <w:lang w:val="zh-CN"/>
        </w:rPr>
        <w:t>～60</w:t>
      </w:r>
      <w:r>
        <w:rPr>
          <w:sz w:val="24"/>
        </w:rPr>
        <w:t>µg/m</w:t>
      </w:r>
      <w:r>
        <w:rPr>
          <w:sz w:val="24"/>
          <w:vertAlign w:val="superscript"/>
        </w:rPr>
        <w:t>3</w:t>
      </w:r>
      <w:r>
        <w:rPr>
          <w:rFonts w:hint="eastAsia"/>
          <w:kern w:val="0"/>
          <w:sz w:val="24"/>
          <w:lang w:val="zh-CN"/>
        </w:rPr>
        <w:t>之间，满足合环境空气质量二级标准要求，而且项目所处区域为乡村，营运期港区内部交通运输汽车排放尾气对沿线区域基本不产生</w:t>
      </w:r>
      <w:r>
        <w:rPr>
          <w:kern w:val="0"/>
          <w:sz w:val="24"/>
          <w:lang w:val="zh-CN"/>
        </w:rPr>
        <w:t>CO</w:t>
      </w:r>
      <w:r>
        <w:rPr>
          <w:rFonts w:hint="eastAsia"/>
          <w:kern w:val="0"/>
          <w:sz w:val="24"/>
          <w:lang w:val="zh-CN"/>
        </w:rPr>
        <w:t>、NO</w:t>
      </w:r>
      <w:r>
        <w:rPr>
          <w:rFonts w:hint="eastAsia"/>
          <w:kern w:val="0"/>
          <w:sz w:val="24"/>
          <w:vertAlign w:val="subscript"/>
          <w:lang w:val="zh-CN"/>
        </w:rPr>
        <w:t>2</w:t>
      </w:r>
      <w:r>
        <w:rPr>
          <w:rFonts w:hint="eastAsia"/>
          <w:kern w:val="0"/>
          <w:sz w:val="24"/>
          <w:lang w:val="zh-CN"/>
        </w:rPr>
        <w:t>超标污染影响。</w:t>
      </w:r>
    </w:p>
    <w:p>
      <w:pPr>
        <w:pStyle w:val="6"/>
        <w:tabs>
          <w:tab w:val="left" w:pos="1006"/>
        </w:tabs>
        <w:spacing w:beforeLines="0" w:afterLines="0"/>
        <w:ind w:left="0" w:firstLine="0"/>
      </w:pPr>
      <w:r>
        <w:rPr>
          <w:rFonts w:hint="eastAsia"/>
        </w:rPr>
        <w:t xml:space="preserve"> 装卸机械及船舶废气影响分析</w:t>
      </w:r>
    </w:p>
    <w:p>
      <w:pPr>
        <w:spacing w:line="360" w:lineRule="auto"/>
        <w:ind w:firstLine="480" w:firstLineChars="200"/>
        <w:rPr>
          <w:kern w:val="0"/>
          <w:sz w:val="24"/>
        </w:rPr>
      </w:pPr>
      <w:r>
        <w:rPr>
          <w:rFonts w:hint="eastAsia"/>
          <w:kern w:val="0"/>
          <w:sz w:val="24"/>
        </w:rPr>
        <w:t>装卸机械及到港船舶废气系地面无组织排放源，具有近距离的污染特点，废气的排放将对大气环境将产生一定污染影响，但这种影响仅局限在排放点50 m 范围内，均发生在港口作业区及后方物流园区范围内，基本不会对本工程的大气环境保护目标产生污染影响。</w:t>
      </w:r>
    </w:p>
    <w:p>
      <w:pPr>
        <w:pStyle w:val="5"/>
        <w:tabs>
          <w:tab w:val="left" w:pos="567"/>
        </w:tabs>
        <w:spacing w:before="62" w:beforeLines="20" w:line="360" w:lineRule="auto"/>
        <w:ind w:left="0" w:firstLine="0"/>
        <w:rPr>
          <w:rFonts w:ascii="宋体" w:hAnsi="宋体" w:eastAsia="宋体"/>
          <w:b/>
          <w:sz w:val="28"/>
          <w:szCs w:val="28"/>
        </w:rPr>
      </w:pPr>
      <w:bookmarkStart w:id="174" w:name="_Toc442195728"/>
      <w:r>
        <w:rPr>
          <w:rFonts w:hint="eastAsia" w:ascii="宋体" w:hAnsi="宋体" w:eastAsia="宋体"/>
          <w:b/>
          <w:sz w:val="28"/>
          <w:szCs w:val="28"/>
        </w:rPr>
        <w:t>固体废物污染评价</w:t>
      </w:r>
      <w:bookmarkEnd w:id="174"/>
    </w:p>
    <w:p>
      <w:pPr>
        <w:pStyle w:val="6"/>
        <w:tabs>
          <w:tab w:val="left" w:pos="1006"/>
        </w:tabs>
        <w:spacing w:beforeLines="0" w:afterLines="0"/>
        <w:ind w:left="0" w:firstLine="0"/>
      </w:pPr>
      <w:r>
        <w:rPr>
          <w:rFonts w:hint="eastAsia"/>
        </w:rPr>
        <w:t>船舶垃圾污染影响分析</w:t>
      </w:r>
    </w:p>
    <w:p>
      <w:pPr>
        <w:pStyle w:val="4"/>
        <w:spacing w:line="360" w:lineRule="auto"/>
        <w:ind w:firstLine="480"/>
        <w:rPr>
          <w:sz w:val="24"/>
        </w:rPr>
      </w:pPr>
      <w:r>
        <w:rPr>
          <w:rFonts w:hint="eastAsia"/>
          <w:sz w:val="24"/>
        </w:rPr>
        <w:t>到港船舶生活垃圾产生量约为75t/a，船舶垃圾主要为船员生活垃圾和维修废弃物。生活垃圾主要是食品残渣、卫生清扫品、废旧包装袋、瓶、罐等。 维修废弃物主要是甲板垃圾、废弃纱布、脱落的漆渣及废弃工具等。禁止向内河水域排放船舶垃圾，到港船舶垃圾须用密封袋或桶盛装，统一接收运至陆域处理；对来自疫区和境外的船舶产生的垃圾，必须进行卫生检疫，发现疫情时必须在船上杀菌、消毒处理。严格执行上述措施，可使船舶固体废弃物对港区水域、生态及社会的不利影响减至最小。</w:t>
      </w:r>
    </w:p>
    <w:p>
      <w:pPr>
        <w:pStyle w:val="6"/>
        <w:tabs>
          <w:tab w:val="left" w:pos="1006"/>
        </w:tabs>
        <w:spacing w:beforeLines="0" w:afterLines="0"/>
        <w:ind w:left="0" w:firstLine="0"/>
      </w:pPr>
      <w:r>
        <w:rPr>
          <w:rFonts w:hint="eastAsia"/>
        </w:rPr>
        <w:t>陆域生活垃圾、生产垃圾影响分析</w:t>
      </w:r>
    </w:p>
    <w:p>
      <w:pPr>
        <w:pStyle w:val="4"/>
        <w:spacing w:line="360" w:lineRule="auto"/>
        <w:ind w:firstLine="480"/>
        <w:rPr>
          <w:sz w:val="24"/>
        </w:rPr>
      </w:pPr>
      <w:r>
        <w:rPr>
          <w:sz w:val="24"/>
        </w:rPr>
        <w:t>港区</w:t>
      </w:r>
      <w:r>
        <w:rPr>
          <w:rFonts w:hint="eastAsia"/>
          <w:sz w:val="24"/>
        </w:rPr>
        <w:t>定员506人，其他人员约1500人</w:t>
      </w:r>
      <w:r>
        <w:rPr>
          <w:sz w:val="24"/>
        </w:rPr>
        <w:t>，生活垃圾年产生量为</w:t>
      </w:r>
      <w:r>
        <w:rPr>
          <w:rFonts w:hint="eastAsia"/>
          <w:sz w:val="24"/>
        </w:rPr>
        <w:t>662</w:t>
      </w:r>
      <w:r>
        <w:rPr>
          <w:sz w:val="24"/>
        </w:rPr>
        <w:t>t/a</w:t>
      </w:r>
      <w:r>
        <w:rPr>
          <w:rFonts w:hint="eastAsia"/>
          <w:sz w:val="24"/>
        </w:rPr>
        <w:t>，生产垃圾产生量200t/a</w:t>
      </w:r>
      <w:r>
        <w:rPr>
          <w:sz w:val="24"/>
        </w:rPr>
        <w:t>。垃圾主要为职工生活垃圾及生产垃圾。生活垃圾主要是港区人员食品残渣、卫生清扫品、废旧包装袋、瓶、罐等。陆域固体废弃物如不及时清理，会腐烂发臭变质，引起细菌、蚊蝇的大量繁殖，导致当地传染病发病率的上升和易于传播，生活垃圾所带来的恶臭气味影响居民的生活。</w:t>
      </w:r>
    </w:p>
    <w:p>
      <w:pPr>
        <w:pStyle w:val="6"/>
        <w:tabs>
          <w:tab w:val="left" w:pos="1006"/>
        </w:tabs>
        <w:spacing w:beforeLines="0" w:afterLines="0"/>
        <w:ind w:left="0" w:firstLine="0"/>
      </w:pPr>
      <w:r>
        <w:rPr>
          <w:rFonts w:hint="eastAsia"/>
        </w:rPr>
        <w:t>危险废物影响分析</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营运期码头和机械设备检修、意外泄漏油品擦洗用棉纱和抹布以及加工的切削油等危险废物约4</w:t>
      </w:r>
      <w:r>
        <w:rPr>
          <w:color w:val="000000" w:themeColor="text1"/>
          <w:sz w:val="24"/>
          <w14:textFill>
            <w14:solidFill>
              <w14:schemeClr w14:val="tx1"/>
            </w14:solidFill>
          </w14:textFill>
        </w:rPr>
        <w:t>t/a</w:t>
      </w:r>
      <w:r>
        <w:rPr>
          <w:rFonts w:hint="eastAsia"/>
          <w:color w:val="000000" w:themeColor="text1"/>
          <w:sz w:val="24"/>
          <w14:textFill>
            <w14:solidFill>
              <w14:schemeClr w14:val="tx1"/>
            </w14:solidFill>
          </w14:textFill>
        </w:rPr>
        <w:t>，应集中收集后交由有资质的单位外运处理。只要采取积极有效的处置措施，固体废弃物不会对港区周围环境造成不利影响。</w:t>
      </w:r>
    </w:p>
    <w:p>
      <w:pPr>
        <w:pStyle w:val="3"/>
        <w:tabs>
          <w:tab w:val="clear" w:pos="3695"/>
        </w:tabs>
        <w:ind w:left="567"/>
      </w:pPr>
      <w:bookmarkStart w:id="175" w:name="_Toc442195729"/>
      <w:bookmarkStart w:id="176" w:name="_Toc317843073"/>
      <w:bookmarkStart w:id="177" w:name="_Toc410895461"/>
      <w:bookmarkStart w:id="178" w:name="_Toc237341001"/>
      <w:bookmarkStart w:id="179" w:name="_Toc350087923"/>
      <w:r>
        <w:rPr>
          <w:rFonts w:hint="eastAsia"/>
        </w:rPr>
        <w:t>环境风险分析</w:t>
      </w:r>
      <w:bookmarkEnd w:id="175"/>
    </w:p>
    <w:p>
      <w:pPr>
        <w:pStyle w:val="5"/>
        <w:tabs>
          <w:tab w:val="left" w:pos="567"/>
        </w:tabs>
        <w:spacing w:before="62" w:beforeLines="20" w:line="360" w:lineRule="auto"/>
        <w:ind w:left="0" w:firstLine="0"/>
        <w:rPr>
          <w:rFonts w:ascii="宋体" w:hAnsi="宋体" w:eastAsia="宋体"/>
          <w:b/>
          <w:sz w:val="28"/>
          <w:szCs w:val="28"/>
        </w:rPr>
      </w:pPr>
      <w:bookmarkStart w:id="180" w:name="_Toc442195730"/>
      <w:r>
        <w:rPr>
          <w:rFonts w:hint="eastAsia" w:ascii="宋体" w:hAnsi="宋体" w:eastAsia="宋体"/>
          <w:b/>
          <w:sz w:val="28"/>
          <w:szCs w:val="28"/>
        </w:rPr>
        <w:t>评价的目的</w:t>
      </w:r>
      <w:bookmarkEnd w:id="176"/>
      <w:bookmarkEnd w:id="177"/>
      <w:bookmarkEnd w:id="178"/>
      <w:bookmarkEnd w:id="179"/>
      <w:bookmarkEnd w:id="180"/>
    </w:p>
    <w:p>
      <w:pPr>
        <w:spacing w:line="440" w:lineRule="exact"/>
        <w:ind w:firstLine="480" w:firstLineChars="200"/>
        <w:rPr>
          <w:sz w:val="24"/>
        </w:rPr>
      </w:pPr>
      <w:r>
        <w:rPr>
          <w:sz w:val="24"/>
        </w:rPr>
        <w:t>事故风险评价，它主要考虑建设项目突发性危害事故，如易燃、易爆、有毒物质、放射性物质在运输、贮存、生产、使用等环节中，由于失控而发生的泄漏、火灾、爆炸等。虽然这种事故发生的概率较小，但其对环境和人身安全造成的影响和产生的危害是巨大的。</w:t>
      </w:r>
    </w:p>
    <w:p>
      <w:pPr>
        <w:spacing w:line="440" w:lineRule="exact"/>
        <w:ind w:firstLine="480" w:firstLineChars="200"/>
        <w:rPr>
          <w:sz w:val="24"/>
        </w:rPr>
      </w:pPr>
      <w:r>
        <w:rPr>
          <w:sz w:val="24"/>
        </w:rPr>
        <w:t>根据国家环保总局（90）环管字057号《关于对重大环境污染事故隐患进行风险评价的通知》和国家环保总局《关于加强环境影响评价管理防范环境风险的通知》（环发[2005]152号）及《建设项目环境风险评价技术导则》（HJ/T169－2004）、《重大危险源辨识》（GB18218-2000）要求，结合本项目工程分析，采用对项目风险识别、源项分析、环境后果计算等方法进行环境风险评价，了解其环境风险的可接受程度，提出减少风险的事故应急措施及社会应急预案，为工程设计和环境管理提供资料和依据，以期达到降低危险，减少公害的目的。</w:t>
      </w:r>
    </w:p>
    <w:p>
      <w:pPr>
        <w:pStyle w:val="5"/>
        <w:tabs>
          <w:tab w:val="left" w:pos="567"/>
        </w:tabs>
        <w:spacing w:before="62" w:beforeLines="20" w:line="360" w:lineRule="auto"/>
        <w:ind w:left="0" w:firstLine="0"/>
        <w:rPr>
          <w:rFonts w:ascii="宋体" w:hAnsi="宋体" w:eastAsia="宋体"/>
          <w:b/>
          <w:sz w:val="28"/>
          <w:szCs w:val="28"/>
        </w:rPr>
      </w:pPr>
      <w:bookmarkStart w:id="181" w:name="_Toc442195731"/>
      <w:r>
        <w:rPr>
          <w:rFonts w:hint="eastAsia" w:ascii="宋体" w:hAnsi="宋体" w:eastAsia="宋体"/>
          <w:b/>
          <w:sz w:val="28"/>
          <w:szCs w:val="28"/>
        </w:rPr>
        <w:t>风险识别</w:t>
      </w:r>
      <w:bookmarkEnd w:id="181"/>
    </w:p>
    <w:p>
      <w:pPr>
        <w:pStyle w:val="6"/>
        <w:ind w:hanging="1290"/>
      </w:pPr>
      <w:r>
        <w:rPr>
          <w:rFonts w:hint="eastAsia"/>
        </w:rPr>
        <w:t>风险物质分析</w:t>
      </w:r>
    </w:p>
    <w:p>
      <w:pPr>
        <w:spacing w:line="440" w:lineRule="exact"/>
        <w:ind w:firstLine="480" w:firstLineChars="200"/>
        <w:rPr>
          <w:rFonts w:ascii="宋体" w:cs="宋体" w:hAnsiTheme="minorHAnsi"/>
          <w:kern w:val="0"/>
          <w:sz w:val="24"/>
        </w:rPr>
      </w:pPr>
      <w:r>
        <w:rPr>
          <w:rFonts w:hint="eastAsia"/>
          <w:sz w:val="24"/>
        </w:rPr>
        <w:t>码头</w:t>
      </w:r>
      <w:r>
        <w:rPr>
          <w:sz w:val="24"/>
        </w:rPr>
        <w:t>设计吞吐量700万吨/年，其中件杂120万吨/年，散货500万吨/年，集装箱8万TEU（折合80万吨）/年。建设3000吨级钢铁重件泊位1个、散货泊位4个、多用途泊位2个</w:t>
      </w:r>
      <w:r>
        <w:rPr>
          <w:rFonts w:hint="eastAsia"/>
          <w:sz w:val="24"/>
        </w:rPr>
        <w:t>，</w:t>
      </w:r>
      <w:r>
        <w:rPr>
          <w:rFonts w:hint="eastAsia" w:ascii="宋体" w:cs="宋体" w:hAnsiTheme="minorHAnsi"/>
          <w:kern w:val="0"/>
          <w:sz w:val="24"/>
        </w:rPr>
        <w:t>件杂货、集装箱码头的事故风险主要来源于船舶碰撞等突发性事故造成的油箱破裂带来的事故溢油和集装箱事故落江，鉴于本工程码头不涉及危险品货种的储运，目前件杂货、集装箱装卸作业方式可确保货物事故落江概率非常小，并且码头和岸间均配备有足够尺寸的安全网兜防货物和人员落水，因此本码头的事故风险主要来源为突发性事故溢油。</w:t>
      </w:r>
    </w:p>
    <w:p>
      <w:pPr>
        <w:spacing w:line="440" w:lineRule="exact"/>
        <w:ind w:firstLine="480" w:firstLineChars="200"/>
        <w:rPr>
          <w:rFonts w:ascii="宋体" w:cs="宋体" w:hAnsiTheme="minorHAnsi"/>
          <w:kern w:val="0"/>
          <w:sz w:val="24"/>
        </w:rPr>
      </w:pPr>
      <w:r>
        <w:rPr>
          <w:rFonts w:hint="eastAsia" w:ascii="宋体" w:cs="宋体" w:hAnsiTheme="minorHAnsi"/>
          <w:kern w:val="0"/>
          <w:sz w:val="24"/>
        </w:rPr>
        <w:t>柴油的危害见表6.3-1</w:t>
      </w:r>
    </w:p>
    <w:p>
      <w:pPr>
        <w:pStyle w:val="514"/>
        <w:rPr>
          <w:sz w:val="21"/>
          <w:szCs w:val="21"/>
        </w:rPr>
      </w:pPr>
      <w:r>
        <w:rPr>
          <w:rFonts w:hint="eastAsia"/>
          <w:sz w:val="21"/>
          <w:szCs w:val="21"/>
        </w:rPr>
        <w:t>6.3-1柴</w:t>
      </w:r>
      <w:r>
        <w:rPr>
          <w:sz w:val="21"/>
          <w:szCs w:val="21"/>
        </w:rPr>
        <w:t>油</w:t>
      </w:r>
      <w:r>
        <w:rPr>
          <w:rFonts w:hint="eastAsia"/>
          <w:sz w:val="21"/>
          <w:szCs w:val="21"/>
        </w:rPr>
        <w:t>危害识别表</w:t>
      </w:r>
    </w:p>
    <w:tbl>
      <w:tblPr>
        <w:tblStyle w:val="104"/>
        <w:tblW w:w="923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
        <w:gridCol w:w="2425"/>
        <w:gridCol w:w="525"/>
        <w:gridCol w:w="418"/>
        <w:gridCol w:w="1245"/>
        <w:gridCol w:w="982"/>
        <w:gridCol w:w="3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15" w:hRule="atLeast"/>
          <w:jc w:val="center"/>
        </w:trPr>
        <w:tc>
          <w:tcPr>
            <w:tcW w:w="427" w:type="dxa"/>
            <w:vMerge w:val="restart"/>
            <w:vAlign w:val="center"/>
          </w:tcPr>
          <w:p>
            <w:pPr>
              <w:spacing w:line="280" w:lineRule="exact"/>
              <w:jc w:val="center"/>
              <w:rPr>
                <w:rFonts w:ascii="宋体" w:hAnsi="宋体"/>
                <w:szCs w:val="21"/>
              </w:rPr>
            </w:pPr>
            <w:r>
              <w:rPr>
                <w:rFonts w:hint="eastAsia" w:ascii="宋体" w:hAnsi="宋体"/>
                <w:szCs w:val="21"/>
              </w:rPr>
              <w:t>标识</w:t>
            </w:r>
          </w:p>
        </w:tc>
        <w:tc>
          <w:tcPr>
            <w:tcW w:w="3368" w:type="dxa"/>
            <w:gridSpan w:val="3"/>
          </w:tcPr>
          <w:p>
            <w:pPr>
              <w:spacing w:line="280" w:lineRule="exact"/>
              <w:rPr>
                <w:rFonts w:ascii="宋体" w:hAnsi="宋体"/>
                <w:szCs w:val="21"/>
              </w:rPr>
            </w:pPr>
            <w:r>
              <w:rPr>
                <w:rFonts w:hint="eastAsia" w:ascii="宋体" w:hAnsi="宋体"/>
                <w:szCs w:val="21"/>
              </w:rPr>
              <w:t>中文名：柴油</w:t>
            </w:r>
          </w:p>
        </w:tc>
        <w:tc>
          <w:tcPr>
            <w:tcW w:w="5441" w:type="dxa"/>
            <w:gridSpan w:val="3"/>
          </w:tcPr>
          <w:p>
            <w:pPr>
              <w:spacing w:line="280" w:lineRule="exact"/>
              <w:rPr>
                <w:rFonts w:ascii="宋体" w:hAnsi="宋体"/>
                <w:szCs w:val="21"/>
              </w:rPr>
            </w:pPr>
            <w:r>
              <w:rPr>
                <w:rFonts w:hint="eastAsia" w:ascii="宋体" w:hAnsi="宋体"/>
                <w:szCs w:val="21"/>
              </w:rPr>
              <w:t>英文名：Diesel oil; Diesel fuel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88" w:hRule="atLeast"/>
          <w:jc w:val="center"/>
        </w:trPr>
        <w:tc>
          <w:tcPr>
            <w:tcW w:w="427" w:type="dxa"/>
            <w:vMerge w:val="continue"/>
            <w:vAlign w:val="center"/>
          </w:tcPr>
          <w:p>
            <w:pPr>
              <w:spacing w:line="280" w:lineRule="exact"/>
              <w:jc w:val="center"/>
              <w:rPr>
                <w:rFonts w:ascii="宋体" w:hAnsi="宋体"/>
                <w:szCs w:val="21"/>
              </w:rPr>
            </w:pPr>
          </w:p>
        </w:tc>
        <w:tc>
          <w:tcPr>
            <w:tcW w:w="3368" w:type="dxa"/>
            <w:gridSpan w:val="3"/>
          </w:tcPr>
          <w:p>
            <w:pPr>
              <w:spacing w:line="280" w:lineRule="exact"/>
              <w:rPr>
                <w:rFonts w:ascii="宋体" w:hAnsi="宋体"/>
                <w:szCs w:val="21"/>
              </w:rPr>
            </w:pPr>
            <w:r>
              <w:rPr>
                <w:rFonts w:hint="eastAsia" w:ascii="宋体" w:hAnsi="宋体"/>
                <w:szCs w:val="21"/>
              </w:rPr>
              <w:t>分子式：</w:t>
            </w:r>
          </w:p>
        </w:tc>
        <w:tc>
          <w:tcPr>
            <w:tcW w:w="2227" w:type="dxa"/>
            <w:gridSpan w:val="2"/>
          </w:tcPr>
          <w:p>
            <w:pPr>
              <w:spacing w:line="280" w:lineRule="exact"/>
              <w:rPr>
                <w:rFonts w:ascii="宋体" w:hAnsi="宋体"/>
                <w:szCs w:val="21"/>
              </w:rPr>
            </w:pPr>
            <w:r>
              <w:rPr>
                <w:rFonts w:hint="eastAsia" w:ascii="宋体" w:hAnsi="宋体"/>
                <w:szCs w:val="21"/>
              </w:rPr>
              <w:t>分子量：</w:t>
            </w:r>
          </w:p>
        </w:tc>
        <w:tc>
          <w:tcPr>
            <w:tcW w:w="3214" w:type="dxa"/>
          </w:tcPr>
          <w:p>
            <w:pPr>
              <w:spacing w:line="280" w:lineRule="exact"/>
              <w:rPr>
                <w:rFonts w:ascii="宋体" w:hAnsi="宋体"/>
                <w:szCs w:val="21"/>
              </w:rPr>
            </w:pPr>
            <w:r>
              <w:rPr>
                <w:rFonts w:hint="eastAsia" w:ascii="宋体" w:hAnsi="宋体"/>
                <w:szCs w:val="21"/>
              </w:rPr>
              <w:t>CAS号：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30" w:hRule="atLeast"/>
          <w:jc w:val="center"/>
        </w:trPr>
        <w:tc>
          <w:tcPr>
            <w:tcW w:w="427" w:type="dxa"/>
            <w:vMerge w:val="continue"/>
            <w:vAlign w:val="center"/>
          </w:tcPr>
          <w:p>
            <w:pPr>
              <w:spacing w:line="280" w:lineRule="exact"/>
              <w:jc w:val="center"/>
              <w:rPr>
                <w:rFonts w:ascii="宋体" w:hAnsi="宋体"/>
                <w:szCs w:val="21"/>
              </w:rPr>
            </w:pPr>
          </w:p>
        </w:tc>
        <w:tc>
          <w:tcPr>
            <w:tcW w:w="8809" w:type="dxa"/>
            <w:gridSpan w:val="6"/>
          </w:tcPr>
          <w:p>
            <w:pPr>
              <w:spacing w:line="280" w:lineRule="exact"/>
              <w:rPr>
                <w:rFonts w:ascii="宋体" w:hAnsi="宋体"/>
                <w:szCs w:val="21"/>
              </w:rPr>
            </w:pPr>
            <w:r>
              <w:rPr>
                <w:rFonts w:hint="eastAsia" w:ascii="宋体" w:hAnsi="宋体"/>
                <w:szCs w:val="21"/>
              </w:rPr>
              <w:t>危规号：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86" w:hRule="atLeast"/>
          <w:jc w:val="center"/>
        </w:trPr>
        <w:tc>
          <w:tcPr>
            <w:tcW w:w="427" w:type="dxa"/>
            <w:vMerge w:val="restart"/>
            <w:vAlign w:val="center"/>
          </w:tcPr>
          <w:p>
            <w:pPr>
              <w:spacing w:line="280" w:lineRule="exact"/>
              <w:jc w:val="center"/>
              <w:rPr>
                <w:rFonts w:ascii="宋体" w:hAnsi="宋体"/>
                <w:szCs w:val="21"/>
              </w:rPr>
            </w:pPr>
            <w:r>
              <w:rPr>
                <w:rFonts w:hint="eastAsia" w:ascii="宋体" w:hAnsi="宋体"/>
                <w:szCs w:val="21"/>
              </w:rPr>
              <w:t>理化性质</w:t>
            </w:r>
          </w:p>
        </w:tc>
        <w:tc>
          <w:tcPr>
            <w:tcW w:w="8809" w:type="dxa"/>
            <w:gridSpan w:val="6"/>
          </w:tcPr>
          <w:p>
            <w:pPr>
              <w:spacing w:line="280" w:lineRule="exact"/>
              <w:rPr>
                <w:rFonts w:ascii="宋体" w:hAnsi="宋体"/>
                <w:szCs w:val="21"/>
              </w:rPr>
            </w:pPr>
            <w:r>
              <w:rPr>
                <w:rFonts w:hint="eastAsia" w:ascii="宋体" w:hAnsi="宋体"/>
                <w:szCs w:val="21"/>
              </w:rPr>
              <w:t>性状：稍有粘性的棕色液体。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00" w:hRule="atLeast"/>
          <w:jc w:val="center"/>
        </w:trPr>
        <w:tc>
          <w:tcPr>
            <w:tcW w:w="427" w:type="dxa"/>
            <w:vMerge w:val="continue"/>
            <w:vAlign w:val="center"/>
          </w:tcPr>
          <w:p>
            <w:pPr>
              <w:spacing w:line="280" w:lineRule="exact"/>
              <w:jc w:val="center"/>
              <w:rPr>
                <w:rFonts w:ascii="宋体" w:hAnsi="宋体"/>
                <w:szCs w:val="21"/>
              </w:rPr>
            </w:pPr>
          </w:p>
        </w:tc>
        <w:tc>
          <w:tcPr>
            <w:tcW w:w="8809" w:type="dxa"/>
            <w:gridSpan w:val="6"/>
          </w:tcPr>
          <w:p>
            <w:pPr>
              <w:spacing w:line="280" w:lineRule="exact"/>
              <w:rPr>
                <w:rFonts w:ascii="宋体" w:hAnsi="宋体"/>
                <w:szCs w:val="21"/>
              </w:rPr>
            </w:pPr>
            <w:r>
              <w:rPr>
                <w:rFonts w:hint="eastAsia" w:ascii="宋体" w:hAnsi="宋体"/>
                <w:szCs w:val="21"/>
              </w:rPr>
              <w:t>溶解性：与水混溶，可混溶于乙醇。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5" w:hRule="atLeast"/>
          <w:jc w:val="center"/>
        </w:trPr>
        <w:tc>
          <w:tcPr>
            <w:tcW w:w="427" w:type="dxa"/>
            <w:vMerge w:val="continue"/>
            <w:vAlign w:val="center"/>
          </w:tcPr>
          <w:p>
            <w:pPr>
              <w:spacing w:line="280" w:lineRule="exact"/>
              <w:jc w:val="center"/>
              <w:rPr>
                <w:rFonts w:ascii="宋体" w:hAnsi="宋体"/>
                <w:szCs w:val="21"/>
              </w:rPr>
            </w:pPr>
          </w:p>
        </w:tc>
        <w:tc>
          <w:tcPr>
            <w:tcW w:w="2425" w:type="dxa"/>
          </w:tcPr>
          <w:p>
            <w:pPr>
              <w:spacing w:line="280" w:lineRule="exact"/>
              <w:rPr>
                <w:rFonts w:ascii="宋体" w:hAnsi="宋体"/>
                <w:szCs w:val="21"/>
              </w:rPr>
            </w:pPr>
            <w:r>
              <w:rPr>
                <w:rFonts w:hint="eastAsia" w:ascii="宋体" w:hAnsi="宋体"/>
                <w:szCs w:val="21"/>
              </w:rPr>
              <w:t>熔点（℃）：－18</w:t>
            </w:r>
          </w:p>
        </w:tc>
        <w:tc>
          <w:tcPr>
            <w:tcW w:w="2188" w:type="dxa"/>
            <w:gridSpan w:val="3"/>
          </w:tcPr>
          <w:p>
            <w:pPr>
              <w:spacing w:line="280" w:lineRule="exact"/>
              <w:rPr>
                <w:rFonts w:ascii="宋体" w:hAnsi="宋体"/>
                <w:szCs w:val="21"/>
              </w:rPr>
            </w:pPr>
            <w:r>
              <w:rPr>
                <w:rFonts w:hint="eastAsia" w:ascii="宋体" w:hAnsi="宋体"/>
                <w:szCs w:val="21"/>
              </w:rPr>
              <w:t>沸点（℃）：282－338</w:t>
            </w:r>
          </w:p>
        </w:tc>
        <w:tc>
          <w:tcPr>
            <w:tcW w:w="4196" w:type="dxa"/>
            <w:gridSpan w:val="2"/>
          </w:tcPr>
          <w:p>
            <w:pPr>
              <w:spacing w:line="280" w:lineRule="exact"/>
              <w:rPr>
                <w:rFonts w:ascii="宋体" w:hAnsi="宋体"/>
                <w:szCs w:val="21"/>
              </w:rPr>
            </w:pPr>
            <w:r>
              <w:rPr>
                <w:rFonts w:hint="eastAsia" w:ascii="宋体" w:hAnsi="宋体"/>
                <w:szCs w:val="21"/>
              </w:rPr>
              <w:t>相对密度（水＝1）：0.87－0.9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25" w:hRule="atLeast"/>
          <w:jc w:val="center"/>
        </w:trPr>
        <w:tc>
          <w:tcPr>
            <w:tcW w:w="427" w:type="dxa"/>
            <w:vMerge w:val="continue"/>
            <w:vAlign w:val="center"/>
          </w:tcPr>
          <w:p>
            <w:pPr>
              <w:spacing w:line="280" w:lineRule="exact"/>
              <w:jc w:val="center"/>
              <w:rPr>
                <w:rFonts w:ascii="宋体" w:hAnsi="宋体"/>
                <w:szCs w:val="21"/>
              </w:rPr>
            </w:pPr>
          </w:p>
        </w:tc>
        <w:tc>
          <w:tcPr>
            <w:tcW w:w="2425" w:type="dxa"/>
          </w:tcPr>
          <w:p>
            <w:pPr>
              <w:spacing w:line="280" w:lineRule="exact"/>
              <w:rPr>
                <w:rFonts w:ascii="宋体" w:hAnsi="宋体"/>
                <w:szCs w:val="21"/>
              </w:rPr>
            </w:pPr>
            <w:r>
              <w:rPr>
                <w:rFonts w:hint="eastAsia" w:ascii="宋体" w:hAnsi="宋体"/>
                <w:szCs w:val="21"/>
              </w:rPr>
              <w:t>临界温度（℃）：</w:t>
            </w:r>
          </w:p>
        </w:tc>
        <w:tc>
          <w:tcPr>
            <w:tcW w:w="2188" w:type="dxa"/>
            <w:gridSpan w:val="3"/>
          </w:tcPr>
          <w:p>
            <w:pPr>
              <w:spacing w:line="280" w:lineRule="exact"/>
              <w:rPr>
                <w:rFonts w:ascii="宋体" w:hAnsi="宋体"/>
                <w:szCs w:val="21"/>
              </w:rPr>
            </w:pPr>
            <w:r>
              <w:rPr>
                <w:rFonts w:hint="eastAsia" w:ascii="宋体" w:hAnsi="宋体"/>
                <w:szCs w:val="21"/>
              </w:rPr>
              <w:t>临界压力（MPa）：</w:t>
            </w:r>
          </w:p>
        </w:tc>
        <w:tc>
          <w:tcPr>
            <w:tcW w:w="4196" w:type="dxa"/>
            <w:gridSpan w:val="2"/>
          </w:tcPr>
          <w:p>
            <w:pPr>
              <w:spacing w:line="280" w:lineRule="exact"/>
              <w:rPr>
                <w:rFonts w:ascii="宋体" w:hAnsi="宋体"/>
                <w:szCs w:val="21"/>
              </w:rPr>
            </w:pPr>
            <w:r>
              <w:rPr>
                <w:rFonts w:hint="eastAsia" w:ascii="宋体" w:hAnsi="宋体"/>
                <w:szCs w:val="21"/>
              </w:rPr>
              <w:t>相对密度（空气＝1）：3.38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25" w:hRule="atLeast"/>
          <w:jc w:val="center"/>
        </w:trPr>
        <w:tc>
          <w:tcPr>
            <w:tcW w:w="427" w:type="dxa"/>
            <w:vMerge w:val="continue"/>
            <w:vAlign w:val="center"/>
          </w:tcPr>
          <w:p>
            <w:pPr>
              <w:spacing w:line="280" w:lineRule="exact"/>
              <w:jc w:val="center"/>
              <w:rPr>
                <w:rFonts w:ascii="宋体" w:hAnsi="宋体"/>
                <w:szCs w:val="21"/>
              </w:rPr>
            </w:pPr>
          </w:p>
        </w:tc>
        <w:tc>
          <w:tcPr>
            <w:tcW w:w="2425" w:type="dxa"/>
          </w:tcPr>
          <w:p>
            <w:pPr>
              <w:spacing w:line="280" w:lineRule="exact"/>
              <w:rPr>
                <w:rFonts w:ascii="宋体" w:hAnsi="宋体"/>
                <w:szCs w:val="21"/>
              </w:rPr>
            </w:pPr>
            <w:r>
              <w:rPr>
                <w:rFonts w:hint="eastAsia" w:ascii="宋体" w:hAnsi="宋体"/>
                <w:szCs w:val="21"/>
              </w:rPr>
              <w:t>燃烧热（KJ/mol）：</w:t>
            </w:r>
          </w:p>
        </w:tc>
        <w:tc>
          <w:tcPr>
            <w:tcW w:w="2188" w:type="dxa"/>
            <w:gridSpan w:val="3"/>
          </w:tcPr>
          <w:p>
            <w:pPr>
              <w:spacing w:line="280" w:lineRule="exact"/>
              <w:rPr>
                <w:rFonts w:ascii="宋体" w:hAnsi="宋体"/>
                <w:szCs w:val="21"/>
              </w:rPr>
            </w:pPr>
            <w:r>
              <w:rPr>
                <w:rFonts w:hint="eastAsia" w:ascii="宋体" w:hAnsi="宋体"/>
                <w:szCs w:val="21"/>
              </w:rPr>
              <w:t>最小点火能（mJ）：</w:t>
            </w:r>
          </w:p>
        </w:tc>
        <w:tc>
          <w:tcPr>
            <w:tcW w:w="4196" w:type="dxa"/>
            <w:gridSpan w:val="2"/>
          </w:tcPr>
          <w:p>
            <w:pPr>
              <w:spacing w:line="280" w:lineRule="exact"/>
              <w:rPr>
                <w:rFonts w:ascii="宋体" w:hAnsi="宋体"/>
                <w:szCs w:val="21"/>
              </w:rPr>
            </w:pPr>
            <w:r>
              <w:rPr>
                <w:rFonts w:hint="eastAsia" w:ascii="宋体" w:hAnsi="宋体"/>
                <w:szCs w:val="21"/>
              </w:rPr>
              <w:t>饱和蒸汽压（KPa）：0.67（25℃，纯品）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5" w:hRule="atLeast"/>
          <w:jc w:val="center"/>
        </w:trPr>
        <w:tc>
          <w:tcPr>
            <w:tcW w:w="427" w:type="dxa"/>
            <w:vMerge w:val="restart"/>
            <w:vAlign w:val="center"/>
          </w:tcPr>
          <w:p>
            <w:pPr>
              <w:spacing w:line="280" w:lineRule="exact"/>
              <w:jc w:val="center"/>
              <w:rPr>
                <w:rFonts w:ascii="宋体" w:hAnsi="宋体"/>
                <w:szCs w:val="21"/>
              </w:rPr>
            </w:pPr>
            <w:r>
              <w:rPr>
                <w:rFonts w:hint="eastAsia" w:ascii="宋体" w:hAnsi="宋体"/>
                <w:szCs w:val="21"/>
              </w:rPr>
              <w:t>燃烧爆炸危险性</w:t>
            </w:r>
          </w:p>
        </w:tc>
        <w:tc>
          <w:tcPr>
            <w:tcW w:w="2950" w:type="dxa"/>
            <w:gridSpan w:val="2"/>
          </w:tcPr>
          <w:p>
            <w:pPr>
              <w:spacing w:line="280" w:lineRule="exact"/>
              <w:rPr>
                <w:rFonts w:ascii="宋体" w:hAnsi="宋体"/>
                <w:szCs w:val="21"/>
              </w:rPr>
            </w:pPr>
            <w:r>
              <w:rPr>
                <w:rFonts w:hint="eastAsia" w:ascii="宋体" w:hAnsi="宋体"/>
                <w:szCs w:val="21"/>
              </w:rPr>
              <w:t>燃烧性：不燃</w:t>
            </w:r>
          </w:p>
        </w:tc>
        <w:tc>
          <w:tcPr>
            <w:tcW w:w="5859" w:type="dxa"/>
            <w:gridSpan w:val="4"/>
          </w:tcPr>
          <w:p>
            <w:pPr>
              <w:spacing w:line="280" w:lineRule="exact"/>
              <w:rPr>
                <w:rFonts w:ascii="宋体" w:hAnsi="宋体"/>
                <w:szCs w:val="21"/>
              </w:rPr>
            </w:pPr>
            <w:r>
              <w:rPr>
                <w:rFonts w:hint="eastAsia" w:ascii="宋体" w:hAnsi="宋体"/>
                <w:szCs w:val="21"/>
              </w:rPr>
              <w:t xml:space="preserve">燃烧分解产物：一氧化碳、二氧化碳。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427" w:type="dxa"/>
            <w:vMerge w:val="continue"/>
            <w:vAlign w:val="center"/>
          </w:tcPr>
          <w:p>
            <w:pPr>
              <w:spacing w:line="280" w:lineRule="exact"/>
              <w:jc w:val="center"/>
              <w:rPr>
                <w:rFonts w:ascii="宋体" w:hAnsi="宋体"/>
                <w:szCs w:val="21"/>
              </w:rPr>
            </w:pPr>
          </w:p>
        </w:tc>
        <w:tc>
          <w:tcPr>
            <w:tcW w:w="2950" w:type="dxa"/>
            <w:gridSpan w:val="2"/>
          </w:tcPr>
          <w:p>
            <w:pPr>
              <w:spacing w:line="280" w:lineRule="exact"/>
              <w:rPr>
                <w:rFonts w:ascii="宋体" w:hAnsi="宋体"/>
                <w:szCs w:val="21"/>
              </w:rPr>
            </w:pPr>
            <w:r>
              <w:rPr>
                <w:rFonts w:hint="eastAsia" w:ascii="宋体" w:hAnsi="宋体"/>
                <w:szCs w:val="21"/>
              </w:rPr>
              <w:t>闪点（℃）：55</w:t>
            </w:r>
          </w:p>
        </w:tc>
        <w:tc>
          <w:tcPr>
            <w:tcW w:w="5859" w:type="dxa"/>
            <w:gridSpan w:val="4"/>
          </w:tcPr>
          <w:p>
            <w:pPr>
              <w:spacing w:line="280" w:lineRule="exact"/>
              <w:rPr>
                <w:rFonts w:ascii="宋体" w:hAnsi="宋体"/>
                <w:szCs w:val="21"/>
              </w:rPr>
            </w:pPr>
            <w:r>
              <w:rPr>
                <w:rFonts w:hint="eastAsia" w:ascii="宋体" w:hAnsi="宋体"/>
                <w:szCs w:val="21"/>
              </w:rPr>
              <w:t>聚合危害：不聚合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427" w:type="dxa"/>
            <w:vMerge w:val="continue"/>
            <w:vAlign w:val="center"/>
          </w:tcPr>
          <w:p>
            <w:pPr>
              <w:spacing w:line="280" w:lineRule="exact"/>
              <w:jc w:val="center"/>
              <w:rPr>
                <w:rFonts w:ascii="宋体" w:hAnsi="宋体"/>
                <w:szCs w:val="21"/>
              </w:rPr>
            </w:pPr>
          </w:p>
        </w:tc>
        <w:tc>
          <w:tcPr>
            <w:tcW w:w="2950" w:type="dxa"/>
            <w:gridSpan w:val="2"/>
          </w:tcPr>
          <w:p>
            <w:pPr>
              <w:spacing w:line="280" w:lineRule="exact"/>
              <w:rPr>
                <w:rFonts w:ascii="宋体" w:hAnsi="宋体"/>
                <w:szCs w:val="21"/>
              </w:rPr>
            </w:pPr>
            <w:r>
              <w:rPr>
                <w:rFonts w:hint="eastAsia" w:ascii="宋体" w:hAnsi="宋体"/>
                <w:szCs w:val="21"/>
              </w:rPr>
              <w:t>爆炸下限（％）：</w:t>
            </w:r>
          </w:p>
        </w:tc>
        <w:tc>
          <w:tcPr>
            <w:tcW w:w="5859" w:type="dxa"/>
            <w:gridSpan w:val="4"/>
          </w:tcPr>
          <w:p>
            <w:pPr>
              <w:spacing w:line="280" w:lineRule="exact"/>
              <w:rPr>
                <w:rFonts w:ascii="宋体" w:hAnsi="宋体"/>
                <w:szCs w:val="21"/>
              </w:rPr>
            </w:pPr>
            <w:r>
              <w:rPr>
                <w:rFonts w:hint="eastAsia" w:ascii="宋体" w:hAnsi="宋体"/>
                <w:szCs w:val="21"/>
              </w:rPr>
              <w:t>稳定性：稳定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427" w:type="dxa"/>
            <w:vMerge w:val="continue"/>
            <w:vAlign w:val="center"/>
          </w:tcPr>
          <w:p>
            <w:pPr>
              <w:spacing w:line="280" w:lineRule="exact"/>
              <w:jc w:val="center"/>
              <w:rPr>
                <w:rFonts w:ascii="宋体" w:hAnsi="宋体"/>
                <w:szCs w:val="21"/>
              </w:rPr>
            </w:pPr>
          </w:p>
        </w:tc>
        <w:tc>
          <w:tcPr>
            <w:tcW w:w="2950" w:type="dxa"/>
            <w:gridSpan w:val="2"/>
          </w:tcPr>
          <w:p>
            <w:pPr>
              <w:spacing w:line="280" w:lineRule="exact"/>
              <w:rPr>
                <w:rFonts w:ascii="宋体" w:hAnsi="宋体"/>
                <w:szCs w:val="21"/>
              </w:rPr>
            </w:pPr>
            <w:r>
              <w:rPr>
                <w:rFonts w:hint="eastAsia" w:ascii="宋体" w:hAnsi="宋体"/>
                <w:szCs w:val="21"/>
              </w:rPr>
              <w:t>爆炸上限（％）：</w:t>
            </w:r>
          </w:p>
        </w:tc>
        <w:tc>
          <w:tcPr>
            <w:tcW w:w="5859" w:type="dxa"/>
            <w:gridSpan w:val="4"/>
          </w:tcPr>
          <w:p>
            <w:pPr>
              <w:spacing w:line="280" w:lineRule="exact"/>
              <w:rPr>
                <w:rFonts w:ascii="宋体" w:hAnsi="宋体"/>
                <w:szCs w:val="21"/>
              </w:rPr>
            </w:pPr>
            <w:r>
              <w:rPr>
                <w:rFonts w:hint="eastAsia" w:ascii="宋体" w:hAnsi="宋体"/>
                <w:szCs w:val="21"/>
              </w:rPr>
              <w:t>最大爆炸压力（MPa）：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40" w:hRule="atLeast"/>
          <w:jc w:val="center"/>
        </w:trPr>
        <w:tc>
          <w:tcPr>
            <w:tcW w:w="427" w:type="dxa"/>
            <w:vMerge w:val="continue"/>
            <w:vAlign w:val="center"/>
          </w:tcPr>
          <w:p>
            <w:pPr>
              <w:spacing w:line="280" w:lineRule="exact"/>
              <w:jc w:val="center"/>
              <w:rPr>
                <w:rFonts w:ascii="宋体" w:hAnsi="宋体"/>
                <w:szCs w:val="21"/>
              </w:rPr>
            </w:pPr>
          </w:p>
        </w:tc>
        <w:tc>
          <w:tcPr>
            <w:tcW w:w="2950" w:type="dxa"/>
            <w:gridSpan w:val="2"/>
          </w:tcPr>
          <w:p>
            <w:pPr>
              <w:spacing w:line="280" w:lineRule="exact"/>
              <w:rPr>
                <w:rFonts w:ascii="宋体" w:hAnsi="宋体"/>
                <w:szCs w:val="21"/>
              </w:rPr>
            </w:pPr>
            <w:r>
              <w:rPr>
                <w:rFonts w:hint="eastAsia" w:ascii="宋体" w:hAnsi="宋体"/>
                <w:szCs w:val="21"/>
              </w:rPr>
              <w:t>引燃温度（℃）：257</w:t>
            </w:r>
          </w:p>
        </w:tc>
        <w:tc>
          <w:tcPr>
            <w:tcW w:w="5859" w:type="dxa"/>
            <w:gridSpan w:val="4"/>
          </w:tcPr>
          <w:p>
            <w:pPr>
              <w:spacing w:line="280" w:lineRule="exact"/>
              <w:rPr>
                <w:rFonts w:ascii="宋体" w:hAnsi="宋体"/>
                <w:szCs w:val="21"/>
              </w:rPr>
            </w:pPr>
            <w:r>
              <w:rPr>
                <w:rFonts w:hint="eastAsia" w:ascii="宋体" w:hAnsi="宋体"/>
                <w:szCs w:val="21"/>
              </w:rPr>
              <w:t>禁忌物： 强氧化剂、卤素。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47" w:hRule="atLeast"/>
          <w:jc w:val="center"/>
        </w:trPr>
        <w:tc>
          <w:tcPr>
            <w:tcW w:w="427" w:type="dxa"/>
            <w:vMerge w:val="continue"/>
            <w:vAlign w:val="center"/>
          </w:tcPr>
          <w:p>
            <w:pPr>
              <w:spacing w:line="280" w:lineRule="exact"/>
              <w:jc w:val="center"/>
              <w:rPr>
                <w:rFonts w:ascii="宋体" w:hAnsi="宋体"/>
                <w:szCs w:val="21"/>
              </w:rPr>
            </w:pPr>
          </w:p>
        </w:tc>
        <w:tc>
          <w:tcPr>
            <w:tcW w:w="8809" w:type="dxa"/>
            <w:gridSpan w:val="6"/>
          </w:tcPr>
          <w:p>
            <w:pPr>
              <w:spacing w:line="280" w:lineRule="exact"/>
              <w:rPr>
                <w:rFonts w:ascii="宋体" w:hAnsi="宋体"/>
                <w:szCs w:val="21"/>
              </w:rPr>
            </w:pPr>
            <w:r>
              <w:rPr>
                <w:rFonts w:hint="eastAsia" w:ascii="宋体" w:hAnsi="宋体"/>
                <w:szCs w:val="21"/>
              </w:rPr>
              <w:t>危险特性：遇明火、高热或与氧化剂接触，有引起燃烧爆炸的危险。若遇高热，容器内压增大，有开裂和爆炸的危险。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92" w:hRule="atLeast"/>
          <w:jc w:val="center"/>
        </w:trPr>
        <w:tc>
          <w:tcPr>
            <w:tcW w:w="427" w:type="dxa"/>
            <w:vMerge w:val="continue"/>
            <w:vAlign w:val="center"/>
          </w:tcPr>
          <w:p>
            <w:pPr>
              <w:spacing w:line="280" w:lineRule="exact"/>
              <w:jc w:val="center"/>
              <w:rPr>
                <w:rFonts w:ascii="宋体" w:hAnsi="宋体"/>
                <w:szCs w:val="21"/>
              </w:rPr>
            </w:pPr>
          </w:p>
        </w:tc>
        <w:tc>
          <w:tcPr>
            <w:tcW w:w="8809" w:type="dxa"/>
            <w:gridSpan w:val="6"/>
          </w:tcPr>
          <w:p>
            <w:pPr>
              <w:spacing w:line="280" w:lineRule="exact"/>
              <w:rPr>
                <w:rFonts w:ascii="宋体" w:hAnsi="宋体"/>
                <w:szCs w:val="21"/>
              </w:rPr>
            </w:pPr>
            <w:r>
              <w:rPr>
                <w:rFonts w:hint="eastAsia" w:ascii="宋体" w:hAnsi="宋体"/>
                <w:szCs w:val="21"/>
              </w:rPr>
              <w:t>灭火方法：消防人员必须佩戴防毒面具、穿全身消防服，在上风向灭火。尽可能将容器从火场移至空旷处。喷水保持火场容器冷却，直至灭火结束。自在火场中的容器若已变色或从安全泄压装置中产生声音，必须马上撤离。灭火剂：雾状水、泡沫、干粉、二氧化碳、砂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0" w:hRule="atLeast"/>
          <w:jc w:val="center"/>
        </w:trPr>
        <w:tc>
          <w:tcPr>
            <w:tcW w:w="427" w:type="dxa"/>
            <w:vAlign w:val="center"/>
          </w:tcPr>
          <w:p>
            <w:pPr>
              <w:spacing w:line="280" w:lineRule="exact"/>
              <w:jc w:val="center"/>
              <w:rPr>
                <w:rFonts w:ascii="宋体" w:hAnsi="宋体"/>
                <w:szCs w:val="21"/>
              </w:rPr>
            </w:pPr>
            <w:r>
              <w:rPr>
                <w:rFonts w:hint="eastAsia" w:ascii="宋体" w:hAnsi="宋体"/>
                <w:szCs w:val="21"/>
              </w:rPr>
              <w:t>对人体危害</w:t>
            </w:r>
          </w:p>
        </w:tc>
        <w:tc>
          <w:tcPr>
            <w:tcW w:w="8809" w:type="dxa"/>
            <w:gridSpan w:val="6"/>
          </w:tcPr>
          <w:p>
            <w:pPr>
              <w:spacing w:line="280" w:lineRule="exact"/>
              <w:rPr>
                <w:rFonts w:ascii="宋体" w:hAnsi="宋体"/>
                <w:szCs w:val="21"/>
              </w:rPr>
            </w:pPr>
            <w:r>
              <w:rPr>
                <w:rFonts w:hint="eastAsia" w:ascii="宋体" w:hAnsi="宋体"/>
                <w:szCs w:val="21"/>
              </w:rPr>
              <w:t>侵入途径：吸入、食入、经皮肤吸收。</w:t>
            </w:r>
          </w:p>
          <w:p>
            <w:pPr>
              <w:spacing w:line="280" w:lineRule="exact"/>
              <w:rPr>
                <w:rFonts w:ascii="宋体" w:hAnsi="宋体"/>
                <w:szCs w:val="21"/>
              </w:rPr>
            </w:pPr>
            <w:r>
              <w:rPr>
                <w:rFonts w:hint="eastAsia" w:ascii="宋体" w:hAnsi="宋体"/>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0" w:hRule="atLeast"/>
          <w:jc w:val="center"/>
        </w:trPr>
        <w:tc>
          <w:tcPr>
            <w:tcW w:w="427" w:type="dxa"/>
            <w:vAlign w:val="center"/>
          </w:tcPr>
          <w:p>
            <w:pPr>
              <w:spacing w:line="280" w:lineRule="exact"/>
              <w:jc w:val="center"/>
              <w:rPr>
                <w:rFonts w:ascii="宋体" w:hAnsi="宋体"/>
                <w:szCs w:val="21"/>
              </w:rPr>
            </w:pPr>
            <w:r>
              <w:rPr>
                <w:rFonts w:hint="eastAsia" w:ascii="宋体" w:hAnsi="宋体"/>
                <w:szCs w:val="21"/>
              </w:rPr>
              <w:t>对环境的危害</w:t>
            </w:r>
          </w:p>
        </w:tc>
        <w:tc>
          <w:tcPr>
            <w:tcW w:w="8809" w:type="dxa"/>
            <w:gridSpan w:val="6"/>
          </w:tcPr>
          <w:p>
            <w:pPr>
              <w:spacing w:line="280" w:lineRule="exact"/>
              <w:rPr>
                <w:rFonts w:ascii="宋体" w:hAnsi="宋体"/>
                <w:szCs w:val="21"/>
              </w:rPr>
            </w:pPr>
            <w:r>
              <w:rPr>
                <w:rFonts w:hint="eastAsia" w:ascii="宋体" w:hAnsi="宋体"/>
                <w:szCs w:val="21"/>
              </w:rPr>
              <w:t>主要是污染水体，恶化水生生态环境，影响水生生物的生存，同时对地表水造成污染，影响使用。</w:t>
            </w:r>
          </w:p>
        </w:tc>
      </w:tr>
    </w:tbl>
    <w:p>
      <w:pPr>
        <w:pStyle w:val="6"/>
        <w:ind w:hanging="1290"/>
      </w:pPr>
      <w:r>
        <w:rPr>
          <w:rFonts w:hint="eastAsia"/>
        </w:rPr>
        <w:t>风险环节分析</w:t>
      </w:r>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项目在施工和营运中的风险来自来自船舶的溢油，施工船舶在工程位置作业或行进时，由于管理疏忽、操作违反规程或失误等原因引起油类跑、冒、滴、漏事故的可能性是比较大的，这类溢油事故相对较小，但也会对水域造成油污染；另一方面，工程营运期后，船舶停靠期间有可能使油类溢出造成污染，工程的营运，将增加主航道船流密度，也就增加了船舶发生事故的可能性；尽管实际发生的机率很小，但有必要对码头前沿发生溢油事故进行计算分析。</w:t>
      </w:r>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国内外发生较大事故的统计数据表明，突发性事故溢油有一定的风险概率。对某一工程的风险概率分析，由于受客观条件和不定因素的影响，目前尚无成熟的计算方法，而多采用统计数据资料进行分析。</w:t>
      </w:r>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据统计，</w:t>
      </w:r>
      <w:r>
        <w:rPr>
          <w:rFonts w:ascii="宋体" w:cs="宋体"/>
          <w:kern w:val="0"/>
          <w:sz w:val="24"/>
        </w:rPr>
        <w:t>1973</w:t>
      </w:r>
      <w:r>
        <w:rPr>
          <w:rFonts w:hint="eastAsia" w:ascii="宋体" w:cs="宋体"/>
          <w:kern w:val="0"/>
          <w:sz w:val="24"/>
        </w:rPr>
        <w:t>～</w:t>
      </w:r>
      <w:r>
        <w:rPr>
          <w:rFonts w:ascii="宋体" w:cs="宋体"/>
          <w:kern w:val="0"/>
          <w:sz w:val="24"/>
        </w:rPr>
        <w:t xml:space="preserve">2003 </w:t>
      </w:r>
      <w:r>
        <w:rPr>
          <w:rFonts w:hint="eastAsia" w:ascii="宋体" w:cs="宋体"/>
          <w:kern w:val="0"/>
          <w:sz w:val="24"/>
        </w:rPr>
        <w:t>年，中国沿海、长江平均每年发生</w:t>
      </w:r>
      <w:r>
        <w:rPr>
          <w:rFonts w:ascii="宋体" w:cs="宋体"/>
          <w:kern w:val="0"/>
          <w:sz w:val="24"/>
        </w:rPr>
        <w:t xml:space="preserve">500 </w:t>
      </w:r>
      <w:r>
        <w:rPr>
          <w:rFonts w:hint="eastAsia" w:ascii="宋体" w:cs="宋体"/>
          <w:kern w:val="0"/>
          <w:sz w:val="24"/>
        </w:rPr>
        <w:t>多起溢油事故，发生溢油量在</w:t>
      </w:r>
      <w:r>
        <w:rPr>
          <w:rFonts w:ascii="宋体" w:cs="宋体"/>
          <w:kern w:val="0"/>
          <w:sz w:val="24"/>
        </w:rPr>
        <w:t xml:space="preserve">50t </w:t>
      </w:r>
      <w:r>
        <w:rPr>
          <w:rFonts w:hint="eastAsia" w:ascii="宋体" w:cs="宋体"/>
          <w:kern w:val="0"/>
          <w:sz w:val="24"/>
        </w:rPr>
        <w:t>以上的重大船舶污染事故</w:t>
      </w:r>
      <w:r>
        <w:rPr>
          <w:rFonts w:ascii="宋体" w:cs="宋体"/>
          <w:kern w:val="0"/>
          <w:sz w:val="24"/>
        </w:rPr>
        <w:t xml:space="preserve">71 </w:t>
      </w:r>
      <w:r>
        <w:rPr>
          <w:rFonts w:hint="eastAsia" w:ascii="宋体" w:cs="宋体"/>
          <w:kern w:val="0"/>
          <w:sz w:val="24"/>
        </w:rPr>
        <w:t>起（平均每年发生</w:t>
      </w:r>
      <w:r>
        <w:rPr>
          <w:rFonts w:ascii="宋体" w:cs="宋体"/>
          <w:kern w:val="0"/>
          <w:sz w:val="24"/>
        </w:rPr>
        <w:t xml:space="preserve">2 </w:t>
      </w:r>
      <w:r>
        <w:rPr>
          <w:rFonts w:hint="eastAsia" w:ascii="宋体" w:cs="宋体"/>
          <w:kern w:val="0"/>
          <w:sz w:val="24"/>
        </w:rPr>
        <w:t>起），其中，长江平均每年发生船舶污染事故</w:t>
      </w:r>
      <w:r>
        <w:rPr>
          <w:rFonts w:ascii="宋体" w:cs="宋体"/>
          <w:kern w:val="0"/>
          <w:sz w:val="24"/>
        </w:rPr>
        <w:t xml:space="preserve">17 </w:t>
      </w:r>
      <w:r>
        <w:rPr>
          <w:rFonts w:hint="eastAsia" w:ascii="宋体" w:cs="宋体"/>
          <w:kern w:val="0"/>
          <w:sz w:val="24"/>
        </w:rPr>
        <w:t>起。</w:t>
      </w:r>
      <w:r>
        <w:rPr>
          <w:rFonts w:ascii="宋体" w:cs="宋体"/>
          <w:kern w:val="0"/>
          <w:sz w:val="24"/>
        </w:rPr>
        <w:t xml:space="preserve">2004 </w:t>
      </w:r>
      <w:r>
        <w:rPr>
          <w:rFonts w:hint="eastAsia" w:ascii="宋体" w:cs="宋体"/>
          <w:kern w:val="0"/>
          <w:sz w:val="24"/>
        </w:rPr>
        <w:t>年全国各内河省份（直辖市）船舶进出港艘次和各类船舶事故数统计资料见表6.3-2，从中可以看出，各地区发生船舶事故的次数与进出港船舶数量的规模呈比较显著的正比关系。</w:t>
      </w:r>
    </w:p>
    <w:p>
      <w:pPr>
        <w:autoSpaceDE w:val="0"/>
        <w:autoSpaceDN w:val="0"/>
        <w:adjustRightInd w:val="0"/>
        <w:jc w:val="center"/>
        <w:rPr>
          <w:b/>
          <w:szCs w:val="21"/>
        </w:rPr>
      </w:pPr>
      <w:r>
        <w:rPr>
          <w:rFonts w:hint="eastAsia" w:ascii="宋体" w:cs="宋体"/>
          <w:b/>
          <w:kern w:val="0"/>
          <w:szCs w:val="21"/>
        </w:rPr>
        <w:t>表6.3-2内河省份（直辖市）船舶进出港艘次和各类船舶事故数统计表</w:t>
      </w:r>
    </w:p>
    <w:tbl>
      <w:tblPr>
        <w:tblStyle w:val="104"/>
        <w:tblW w:w="9356" w:type="dxa"/>
        <w:jc w:val="center"/>
        <w:tblInd w:w="12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113"/>
        <w:gridCol w:w="1231"/>
        <w:gridCol w:w="1080"/>
        <w:gridCol w:w="1080"/>
        <w:gridCol w:w="741"/>
        <w:gridCol w:w="992"/>
        <w:gridCol w:w="567"/>
        <w:gridCol w:w="851"/>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vMerge w:val="restart"/>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序号</w:t>
            </w:r>
          </w:p>
        </w:tc>
        <w:tc>
          <w:tcPr>
            <w:tcW w:w="1113" w:type="dxa"/>
            <w:vMerge w:val="restart"/>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地区</w:t>
            </w:r>
          </w:p>
        </w:tc>
        <w:tc>
          <w:tcPr>
            <w:tcW w:w="1231" w:type="dxa"/>
            <w:vMerge w:val="restart"/>
            <w:shd w:val="clear" w:color="auto" w:fill="auto"/>
            <w:vAlign w:val="center"/>
          </w:tcPr>
          <w:p>
            <w:pPr>
              <w:widowControl/>
              <w:ind w:left="-115" w:leftChars="-55" w:right="-151" w:rightChars="-72"/>
              <w:jc w:val="center"/>
              <w:rPr>
                <w:rFonts w:ascii="宋体" w:hAnsi="宋体" w:cs="宋体"/>
                <w:color w:val="000000"/>
                <w:kern w:val="0"/>
                <w:sz w:val="22"/>
              </w:rPr>
            </w:pPr>
            <w:r>
              <w:rPr>
                <w:rFonts w:hint="eastAsia" w:ascii="宋体" w:hAnsi="宋体" w:cs="宋体"/>
                <w:color w:val="000000"/>
                <w:kern w:val="0"/>
                <w:sz w:val="22"/>
              </w:rPr>
              <w:t>内河船舶</w:t>
            </w:r>
          </w:p>
          <w:p>
            <w:pPr>
              <w:widowControl/>
              <w:ind w:left="-115" w:leftChars="-55" w:right="-151" w:rightChars="-72"/>
              <w:jc w:val="center"/>
              <w:rPr>
                <w:rFonts w:ascii="宋体" w:hAnsi="宋体" w:cs="宋体"/>
                <w:color w:val="000000"/>
                <w:kern w:val="0"/>
                <w:sz w:val="22"/>
              </w:rPr>
            </w:pPr>
            <w:r>
              <w:rPr>
                <w:rFonts w:hint="eastAsia" w:ascii="宋体" w:hAnsi="宋体" w:cs="宋体"/>
                <w:color w:val="000000"/>
                <w:kern w:val="0"/>
                <w:sz w:val="22"/>
              </w:rPr>
              <w:t>进出港艘次</w:t>
            </w:r>
          </w:p>
        </w:tc>
        <w:tc>
          <w:tcPr>
            <w:tcW w:w="5311" w:type="dxa"/>
            <w:gridSpan w:val="6"/>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统计事故数</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经济损失 (万元)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vMerge w:val="continue"/>
            <w:shd w:val="clear" w:color="auto" w:fill="auto"/>
            <w:vAlign w:val="center"/>
          </w:tcPr>
          <w:p>
            <w:pPr>
              <w:widowControl/>
              <w:jc w:val="center"/>
              <w:rPr>
                <w:rFonts w:ascii="宋体" w:hAnsi="宋体" w:cs="宋体"/>
                <w:color w:val="000000"/>
                <w:kern w:val="0"/>
                <w:sz w:val="22"/>
              </w:rPr>
            </w:pPr>
          </w:p>
        </w:tc>
        <w:tc>
          <w:tcPr>
            <w:tcW w:w="1113" w:type="dxa"/>
            <w:vMerge w:val="continue"/>
            <w:shd w:val="clear" w:color="auto" w:fill="auto"/>
            <w:vAlign w:val="center"/>
          </w:tcPr>
          <w:p>
            <w:pPr>
              <w:widowControl/>
              <w:jc w:val="center"/>
              <w:rPr>
                <w:rFonts w:ascii="宋体" w:hAnsi="宋体" w:cs="宋体"/>
                <w:color w:val="000000"/>
                <w:kern w:val="0"/>
                <w:sz w:val="22"/>
              </w:rPr>
            </w:pPr>
          </w:p>
        </w:tc>
        <w:tc>
          <w:tcPr>
            <w:tcW w:w="1231" w:type="dxa"/>
            <w:vMerge w:val="continue"/>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jc w:val="center"/>
            </w:pPr>
            <w:r>
              <w:rPr>
                <w:rFonts w:hint="eastAsia"/>
              </w:rPr>
              <w:t>事故总数</w:t>
            </w:r>
          </w:p>
        </w:tc>
        <w:tc>
          <w:tcPr>
            <w:tcW w:w="1080" w:type="dxa"/>
            <w:shd w:val="clear" w:color="auto" w:fill="auto"/>
            <w:vAlign w:val="center"/>
          </w:tcPr>
          <w:p>
            <w:pPr>
              <w:jc w:val="center"/>
            </w:pPr>
            <w:r>
              <w:rPr>
                <w:rFonts w:hint="eastAsia"/>
              </w:rPr>
              <w:t>重大事故</w:t>
            </w:r>
          </w:p>
        </w:tc>
        <w:tc>
          <w:tcPr>
            <w:tcW w:w="741" w:type="dxa"/>
            <w:shd w:val="clear" w:color="auto" w:fill="auto"/>
            <w:vAlign w:val="center"/>
          </w:tcPr>
          <w:p>
            <w:pPr>
              <w:ind w:right="-107" w:rightChars="-51"/>
              <w:jc w:val="center"/>
            </w:pPr>
            <w:r>
              <w:rPr>
                <w:rFonts w:hint="eastAsia"/>
              </w:rPr>
              <w:t>大事故</w:t>
            </w:r>
          </w:p>
        </w:tc>
        <w:tc>
          <w:tcPr>
            <w:tcW w:w="992" w:type="dxa"/>
            <w:shd w:val="clear" w:color="auto" w:fill="auto"/>
            <w:vAlign w:val="center"/>
          </w:tcPr>
          <w:p>
            <w:pPr>
              <w:ind w:right="-107" w:rightChars="-51"/>
              <w:jc w:val="center"/>
            </w:pPr>
            <w:r>
              <w:rPr>
                <w:rFonts w:hint="eastAsia"/>
              </w:rPr>
              <w:t>一般事故</w:t>
            </w:r>
          </w:p>
        </w:tc>
        <w:tc>
          <w:tcPr>
            <w:tcW w:w="567" w:type="dxa"/>
            <w:shd w:val="clear" w:color="auto" w:fill="auto"/>
            <w:vAlign w:val="center"/>
          </w:tcPr>
          <w:p>
            <w:pPr>
              <w:ind w:right="-107" w:rightChars="-51"/>
              <w:jc w:val="center"/>
            </w:pPr>
            <w:r>
              <w:rPr>
                <w:rFonts w:hint="eastAsia"/>
              </w:rPr>
              <w:t>沉船</w:t>
            </w:r>
          </w:p>
        </w:tc>
        <w:tc>
          <w:tcPr>
            <w:tcW w:w="851" w:type="dxa"/>
            <w:shd w:val="clear" w:color="auto" w:fill="auto"/>
            <w:vAlign w:val="center"/>
          </w:tcPr>
          <w:p>
            <w:pPr>
              <w:ind w:left="-107" w:leftChars="-51" w:right="-107" w:rightChars="-51"/>
              <w:jc w:val="center"/>
            </w:pPr>
            <w:r>
              <w:rPr>
                <w:rFonts w:hint="eastAsia"/>
              </w:rPr>
              <w:t>死亡人数</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广东</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2422153</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65</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24</w:t>
            </w:r>
          </w:p>
        </w:tc>
        <w:tc>
          <w:tcPr>
            <w:tcW w:w="74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26</w:t>
            </w:r>
          </w:p>
        </w:tc>
        <w:tc>
          <w:tcPr>
            <w:tcW w:w="992"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15</w:t>
            </w:r>
          </w:p>
        </w:tc>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36</w:t>
            </w: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105</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7455.88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长江 (湖北、重庆)</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200043</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72</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8</w:t>
            </w:r>
          </w:p>
        </w:tc>
        <w:tc>
          <w:tcPr>
            <w:tcW w:w="74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41</w:t>
            </w:r>
          </w:p>
        </w:tc>
        <w:tc>
          <w:tcPr>
            <w:tcW w:w="992"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23</w:t>
            </w:r>
          </w:p>
        </w:tc>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49</w:t>
            </w: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69</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2534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3</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浙江</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1724247</w:t>
            </w:r>
          </w:p>
        </w:tc>
        <w:tc>
          <w:tcPr>
            <w:tcW w:w="1080" w:type="dxa"/>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widowControl/>
              <w:jc w:val="center"/>
              <w:rPr>
                <w:rFonts w:ascii="宋体" w:hAnsi="宋体" w:cs="宋体"/>
                <w:color w:val="000000"/>
                <w:kern w:val="0"/>
                <w:sz w:val="22"/>
              </w:rPr>
            </w:pPr>
          </w:p>
        </w:tc>
        <w:tc>
          <w:tcPr>
            <w:tcW w:w="741" w:type="dxa"/>
            <w:shd w:val="clear" w:color="auto" w:fill="auto"/>
            <w:vAlign w:val="center"/>
          </w:tcPr>
          <w:p>
            <w:pPr>
              <w:widowControl/>
              <w:jc w:val="center"/>
              <w:rPr>
                <w:rFonts w:ascii="宋体" w:hAnsi="宋体" w:cs="宋体"/>
                <w:color w:val="000000"/>
                <w:kern w:val="0"/>
                <w:sz w:val="22"/>
              </w:rPr>
            </w:pPr>
          </w:p>
        </w:tc>
        <w:tc>
          <w:tcPr>
            <w:tcW w:w="992" w:type="dxa"/>
            <w:shd w:val="clear" w:color="auto" w:fill="auto"/>
            <w:vAlign w:val="center"/>
          </w:tcPr>
          <w:p>
            <w:pPr>
              <w:widowControl/>
              <w:jc w:val="center"/>
              <w:rPr>
                <w:rFonts w:ascii="宋体" w:hAnsi="宋体" w:cs="宋体"/>
                <w:color w:val="000000"/>
                <w:kern w:val="0"/>
                <w:sz w:val="22"/>
              </w:rPr>
            </w:pPr>
          </w:p>
        </w:tc>
        <w:tc>
          <w:tcPr>
            <w:tcW w:w="567" w:type="dxa"/>
            <w:shd w:val="clear" w:color="auto" w:fill="auto"/>
            <w:vAlign w:val="center"/>
          </w:tcPr>
          <w:p>
            <w:pPr>
              <w:widowControl/>
              <w:jc w:val="center"/>
              <w:rPr>
                <w:rFonts w:ascii="宋体" w:hAnsi="宋体" w:cs="宋体"/>
                <w:color w:val="000000"/>
                <w:kern w:val="0"/>
                <w:sz w:val="22"/>
              </w:rPr>
            </w:pP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136</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江苏</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551601</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58</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w:t>
            </w:r>
          </w:p>
        </w:tc>
        <w:tc>
          <w:tcPr>
            <w:tcW w:w="74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40</w:t>
            </w:r>
          </w:p>
        </w:tc>
        <w:tc>
          <w:tcPr>
            <w:tcW w:w="992"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12</w:t>
            </w:r>
          </w:p>
        </w:tc>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49</w:t>
            </w: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51</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4785.35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上海</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503733</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67</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14</w:t>
            </w:r>
          </w:p>
        </w:tc>
        <w:tc>
          <w:tcPr>
            <w:tcW w:w="74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32</w:t>
            </w:r>
          </w:p>
        </w:tc>
        <w:tc>
          <w:tcPr>
            <w:tcW w:w="992"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21</w:t>
            </w:r>
          </w:p>
        </w:tc>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66</w:t>
            </w: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64</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10586.9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6</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广西</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327075</w:t>
            </w:r>
          </w:p>
        </w:tc>
        <w:tc>
          <w:tcPr>
            <w:tcW w:w="1080" w:type="dxa"/>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widowControl/>
              <w:jc w:val="center"/>
              <w:rPr>
                <w:rFonts w:ascii="宋体" w:hAnsi="宋体" w:cs="宋体"/>
                <w:color w:val="000000"/>
                <w:kern w:val="0"/>
                <w:sz w:val="22"/>
              </w:rPr>
            </w:pPr>
          </w:p>
        </w:tc>
        <w:tc>
          <w:tcPr>
            <w:tcW w:w="741" w:type="dxa"/>
            <w:shd w:val="clear" w:color="auto" w:fill="auto"/>
            <w:vAlign w:val="center"/>
          </w:tcPr>
          <w:p>
            <w:pPr>
              <w:widowControl/>
              <w:jc w:val="center"/>
              <w:rPr>
                <w:rFonts w:ascii="宋体" w:hAnsi="宋体" w:cs="宋体"/>
                <w:color w:val="000000"/>
                <w:kern w:val="0"/>
                <w:sz w:val="22"/>
              </w:rPr>
            </w:pPr>
          </w:p>
        </w:tc>
        <w:tc>
          <w:tcPr>
            <w:tcW w:w="992" w:type="dxa"/>
            <w:shd w:val="clear" w:color="auto" w:fill="auto"/>
            <w:vAlign w:val="center"/>
          </w:tcPr>
          <w:p>
            <w:pPr>
              <w:widowControl/>
              <w:jc w:val="center"/>
              <w:rPr>
                <w:rFonts w:ascii="宋体" w:hAnsi="宋体" w:cs="宋体"/>
                <w:color w:val="000000"/>
                <w:kern w:val="0"/>
                <w:sz w:val="22"/>
              </w:rPr>
            </w:pPr>
          </w:p>
        </w:tc>
        <w:tc>
          <w:tcPr>
            <w:tcW w:w="567" w:type="dxa"/>
            <w:shd w:val="clear" w:color="auto" w:fill="auto"/>
            <w:vAlign w:val="center"/>
          </w:tcPr>
          <w:p>
            <w:pPr>
              <w:widowControl/>
              <w:jc w:val="center"/>
              <w:rPr>
                <w:rFonts w:ascii="宋体" w:hAnsi="宋体" w:cs="宋体"/>
                <w:color w:val="000000"/>
                <w:kern w:val="0"/>
                <w:sz w:val="22"/>
              </w:rPr>
            </w:pP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96</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辽宁</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104030</w:t>
            </w:r>
          </w:p>
        </w:tc>
        <w:tc>
          <w:tcPr>
            <w:tcW w:w="1080" w:type="dxa"/>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widowControl/>
              <w:jc w:val="center"/>
              <w:rPr>
                <w:rFonts w:ascii="宋体" w:hAnsi="宋体" w:cs="宋体"/>
                <w:color w:val="000000"/>
                <w:kern w:val="0"/>
                <w:sz w:val="22"/>
              </w:rPr>
            </w:pPr>
          </w:p>
        </w:tc>
        <w:tc>
          <w:tcPr>
            <w:tcW w:w="741" w:type="dxa"/>
            <w:shd w:val="clear" w:color="auto" w:fill="auto"/>
            <w:vAlign w:val="center"/>
          </w:tcPr>
          <w:p>
            <w:pPr>
              <w:widowControl/>
              <w:jc w:val="center"/>
              <w:rPr>
                <w:rFonts w:ascii="宋体" w:hAnsi="宋体" w:cs="宋体"/>
                <w:color w:val="000000"/>
                <w:kern w:val="0"/>
                <w:sz w:val="22"/>
              </w:rPr>
            </w:pPr>
          </w:p>
        </w:tc>
        <w:tc>
          <w:tcPr>
            <w:tcW w:w="992" w:type="dxa"/>
            <w:shd w:val="clear" w:color="auto" w:fill="auto"/>
            <w:vAlign w:val="center"/>
          </w:tcPr>
          <w:p>
            <w:pPr>
              <w:widowControl/>
              <w:jc w:val="center"/>
              <w:rPr>
                <w:rFonts w:ascii="宋体" w:hAnsi="宋体" w:cs="宋体"/>
                <w:color w:val="000000"/>
                <w:kern w:val="0"/>
                <w:sz w:val="22"/>
              </w:rPr>
            </w:pPr>
          </w:p>
        </w:tc>
        <w:tc>
          <w:tcPr>
            <w:tcW w:w="567" w:type="dxa"/>
            <w:shd w:val="clear" w:color="auto" w:fill="auto"/>
            <w:vAlign w:val="center"/>
          </w:tcPr>
          <w:p>
            <w:pPr>
              <w:widowControl/>
              <w:jc w:val="center"/>
              <w:rPr>
                <w:rFonts w:ascii="宋体" w:hAnsi="宋体" w:cs="宋体"/>
                <w:color w:val="000000"/>
                <w:kern w:val="0"/>
                <w:sz w:val="22"/>
              </w:rPr>
            </w:pP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43</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8</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黑龙江</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84908</w:t>
            </w:r>
          </w:p>
        </w:tc>
        <w:tc>
          <w:tcPr>
            <w:tcW w:w="1080" w:type="dxa"/>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widowControl/>
              <w:jc w:val="center"/>
              <w:rPr>
                <w:rFonts w:ascii="宋体" w:hAnsi="宋体" w:cs="宋体"/>
                <w:color w:val="000000"/>
                <w:kern w:val="0"/>
                <w:sz w:val="22"/>
              </w:rPr>
            </w:pPr>
          </w:p>
        </w:tc>
        <w:tc>
          <w:tcPr>
            <w:tcW w:w="741" w:type="dxa"/>
            <w:shd w:val="clear" w:color="auto" w:fill="auto"/>
            <w:vAlign w:val="center"/>
          </w:tcPr>
          <w:p>
            <w:pPr>
              <w:widowControl/>
              <w:jc w:val="center"/>
              <w:rPr>
                <w:rFonts w:ascii="宋体" w:hAnsi="宋体" w:cs="宋体"/>
                <w:color w:val="000000"/>
                <w:kern w:val="0"/>
                <w:sz w:val="22"/>
              </w:rPr>
            </w:pPr>
          </w:p>
        </w:tc>
        <w:tc>
          <w:tcPr>
            <w:tcW w:w="992" w:type="dxa"/>
            <w:shd w:val="clear" w:color="auto" w:fill="auto"/>
            <w:vAlign w:val="center"/>
          </w:tcPr>
          <w:p>
            <w:pPr>
              <w:widowControl/>
              <w:jc w:val="center"/>
              <w:rPr>
                <w:rFonts w:ascii="宋体" w:hAnsi="宋体" w:cs="宋体"/>
                <w:color w:val="000000"/>
                <w:kern w:val="0"/>
                <w:sz w:val="22"/>
              </w:rPr>
            </w:pPr>
          </w:p>
        </w:tc>
        <w:tc>
          <w:tcPr>
            <w:tcW w:w="567" w:type="dxa"/>
            <w:shd w:val="clear" w:color="auto" w:fill="auto"/>
            <w:vAlign w:val="center"/>
          </w:tcPr>
          <w:p>
            <w:pPr>
              <w:widowControl/>
              <w:jc w:val="center"/>
              <w:rPr>
                <w:rFonts w:ascii="宋体" w:hAnsi="宋体" w:cs="宋体"/>
                <w:color w:val="000000"/>
                <w:kern w:val="0"/>
                <w:sz w:val="22"/>
              </w:rPr>
            </w:pP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89</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9</w:t>
            </w:r>
          </w:p>
        </w:tc>
        <w:tc>
          <w:tcPr>
            <w:tcW w:w="1113"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深圳</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77771</w:t>
            </w:r>
          </w:p>
        </w:tc>
        <w:tc>
          <w:tcPr>
            <w:tcW w:w="1080" w:type="dxa"/>
            <w:shd w:val="clear" w:color="auto" w:fill="auto"/>
            <w:vAlign w:val="center"/>
          </w:tcPr>
          <w:p>
            <w:pPr>
              <w:widowControl/>
              <w:jc w:val="center"/>
              <w:rPr>
                <w:rFonts w:ascii="宋体" w:hAnsi="宋体" w:cs="宋体"/>
                <w:color w:val="000000"/>
                <w:kern w:val="0"/>
                <w:sz w:val="22"/>
              </w:rPr>
            </w:pPr>
          </w:p>
        </w:tc>
        <w:tc>
          <w:tcPr>
            <w:tcW w:w="1080" w:type="dxa"/>
            <w:shd w:val="clear" w:color="auto" w:fill="auto"/>
            <w:vAlign w:val="center"/>
          </w:tcPr>
          <w:p>
            <w:pPr>
              <w:widowControl/>
              <w:jc w:val="center"/>
              <w:rPr>
                <w:rFonts w:ascii="宋体" w:hAnsi="宋体" w:cs="宋体"/>
                <w:color w:val="000000"/>
                <w:kern w:val="0"/>
                <w:sz w:val="22"/>
              </w:rPr>
            </w:pPr>
          </w:p>
        </w:tc>
        <w:tc>
          <w:tcPr>
            <w:tcW w:w="741" w:type="dxa"/>
            <w:shd w:val="clear" w:color="auto" w:fill="auto"/>
            <w:vAlign w:val="center"/>
          </w:tcPr>
          <w:p>
            <w:pPr>
              <w:widowControl/>
              <w:jc w:val="center"/>
              <w:rPr>
                <w:rFonts w:ascii="宋体" w:hAnsi="宋体" w:cs="宋体"/>
                <w:color w:val="000000"/>
                <w:kern w:val="0"/>
                <w:sz w:val="22"/>
              </w:rPr>
            </w:pPr>
          </w:p>
        </w:tc>
        <w:tc>
          <w:tcPr>
            <w:tcW w:w="992" w:type="dxa"/>
            <w:shd w:val="clear" w:color="auto" w:fill="auto"/>
            <w:vAlign w:val="center"/>
          </w:tcPr>
          <w:p>
            <w:pPr>
              <w:widowControl/>
              <w:jc w:val="center"/>
              <w:rPr>
                <w:rFonts w:ascii="宋体" w:hAnsi="宋体" w:cs="宋体"/>
                <w:color w:val="000000"/>
                <w:kern w:val="0"/>
                <w:sz w:val="22"/>
              </w:rPr>
            </w:pPr>
          </w:p>
        </w:tc>
        <w:tc>
          <w:tcPr>
            <w:tcW w:w="567" w:type="dxa"/>
            <w:shd w:val="clear" w:color="auto" w:fill="auto"/>
            <w:vAlign w:val="center"/>
          </w:tcPr>
          <w:p>
            <w:pPr>
              <w:widowControl/>
              <w:jc w:val="center"/>
              <w:rPr>
                <w:rFonts w:ascii="宋体" w:hAnsi="宋体" w:cs="宋体"/>
                <w:color w:val="000000"/>
                <w:kern w:val="0"/>
                <w:sz w:val="22"/>
              </w:rPr>
            </w:pP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88</w:t>
            </w:r>
          </w:p>
        </w:tc>
        <w:tc>
          <w:tcPr>
            <w:tcW w:w="1134" w:type="dxa"/>
            <w:shd w:val="clear" w:color="auto" w:fill="auto"/>
            <w:vAlign w:val="center"/>
          </w:tcPr>
          <w:p>
            <w:pPr>
              <w:widowControl/>
              <w:jc w:val="center"/>
              <w:rPr>
                <w:rFonts w:ascii="宋体" w:hAnsi="宋体" w:cs="宋体"/>
                <w:color w:val="000000"/>
                <w:kern w:val="0"/>
                <w:sz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1680" w:type="dxa"/>
            <w:gridSpan w:val="2"/>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合计</w:t>
            </w:r>
          </w:p>
        </w:tc>
        <w:tc>
          <w:tcPr>
            <w:tcW w:w="123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5995561</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262</w:t>
            </w:r>
          </w:p>
        </w:tc>
        <w:tc>
          <w:tcPr>
            <w:tcW w:w="1080"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52</w:t>
            </w:r>
          </w:p>
        </w:tc>
        <w:tc>
          <w:tcPr>
            <w:tcW w:w="74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139</w:t>
            </w:r>
          </w:p>
        </w:tc>
        <w:tc>
          <w:tcPr>
            <w:tcW w:w="992"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71</w:t>
            </w:r>
          </w:p>
        </w:tc>
        <w:tc>
          <w:tcPr>
            <w:tcW w:w="567"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200</w:t>
            </w:r>
          </w:p>
        </w:tc>
        <w:tc>
          <w:tcPr>
            <w:tcW w:w="851"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741</w:t>
            </w:r>
          </w:p>
        </w:tc>
        <w:tc>
          <w:tcPr>
            <w:tcW w:w="1134" w:type="dxa"/>
            <w:shd w:val="clear" w:color="auto" w:fill="auto"/>
            <w:vAlign w:val="center"/>
          </w:tcPr>
          <w:p>
            <w:pPr>
              <w:widowControl/>
              <w:jc w:val="center"/>
              <w:rPr>
                <w:rFonts w:ascii="宋体" w:hAnsi="宋体" w:cs="宋体"/>
                <w:color w:val="000000"/>
                <w:kern w:val="0"/>
                <w:sz w:val="22"/>
              </w:rPr>
            </w:pPr>
            <w:r>
              <w:rPr>
                <w:rFonts w:hint="eastAsia" w:ascii="宋体" w:hAnsi="宋体" w:cs="宋体"/>
                <w:color w:val="000000"/>
                <w:kern w:val="0"/>
                <w:sz w:val="22"/>
              </w:rPr>
              <w:t>25362.13</w:t>
            </w:r>
          </w:p>
        </w:tc>
      </w:tr>
    </w:tbl>
    <w:p>
      <w:pPr>
        <w:pStyle w:val="4"/>
      </w:pPr>
    </w:p>
    <w:p>
      <w:pPr>
        <w:pStyle w:val="6"/>
        <w:ind w:hanging="1290"/>
      </w:pPr>
      <w:r>
        <w:rPr>
          <w:rFonts w:hint="eastAsia"/>
        </w:rPr>
        <w:t>溢油事故的概率及源强分析</w:t>
      </w:r>
    </w:p>
    <w:p>
      <w:pPr>
        <w:spacing w:line="360" w:lineRule="auto"/>
        <w:ind w:firstLine="480" w:firstLineChars="200"/>
        <w:rPr>
          <w:rFonts w:ascii="宋体" w:hAnsi="宋体"/>
          <w:sz w:val="24"/>
        </w:rPr>
      </w:pPr>
      <w:r>
        <w:rPr>
          <w:rFonts w:hint="eastAsia" w:ascii="宋体" w:hAnsi="宋体"/>
          <w:sz w:val="24"/>
        </w:rPr>
        <w:t>在受恶劣天气如雾等影响情况下，若人为操作不当或配合不好及机械事故失灵时，容易发生船只碰撞，造成事故。容易导致船只出现跑、冒、滴、漏现象，且船上的运输化学品有可能发生泄漏，以及发生溢油事故，对水体环境造成不良的影响。据类比调查，广东省船舶年发生事故600多起，其中重大事故100多起。类比其它港口的事故发生比率与统计分析，惠州港口事故发生机率为万分之二左右；珠海港水域1996年～2000年总海事事故发生率为万分之一；广州港水域事故发生率为万分之零点五。</w:t>
      </w:r>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长江湖北、重庆段船舶事故统计表明，进出港事故概率为</w:t>
      </w:r>
      <w:r>
        <w:rPr>
          <w:rFonts w:ascii="宋体" w:cs="宋体"/>
          <w:kern w:val="0"/>
          <w:sz w:val="24"/>
        </w:rPr>
        <w:t xml:space="preserve"> </w:t>
      </w:r>
      <w:r>
        <w:rPr>
          <w:rFonts w:ascii="TimesNewRomanPSMT" w:hAnsi="TimesNewRomanPSMT" w:cs="TimesNewRomanPSMT" w:eastAsiaTheme="minorEastAsia"/>
          <w:kern w:val="0"/>
          <w:sz w:val="24"/>
        </w:rPr>
        <w:t>3.6</w:t>
      </w:r>
      <w:r>
        <w:rPr>
          <w:rFonts w:hint="eastAsia" w:ascii="宋体" w:cs="宋体"/>
          <w:kern w:val="0"/>
          <w:sz w:val="24"/>
        </w:rPr>
        <w:t>×</w:t>
      </w:r>
      <w:r>
        <w:rPr>
          <w:rFonts w:ascii="TimesNewRomanPSMT" w:hAnsi="TimesNewRomanPSMT" w:cs="TimesNewRomanPSMT" w:eastAsiaTheme="minorEastAsia"/>
          <w:kern w:val="0"/>
          <w:sz w:val="24"/>
        </w:rPr>
        <w:t>10</w:t>
      </w:r>
      <w:r>
        <w:rPr>
          <w:rFonts w:ascii="TimesNewRomanPSMT" w:hAnsi="TimesNewRomanPSMT" w:cs="TimesNewRomanPSMT" w:eastAsiaTheme="minorEastAsia"/>
          <w:kern w:val="0"/>
          <w:sz w:val="24"/>
          <w:vertAlign w:val="superscript"/>
        </w:rPr>
        <w:t>-4</w:t>
      </w:r>
      <w:r>
        <w:rPr>
          <w:rFonts w:hint="eastAsia" w:ascii="宋体" w:cs="宋体"/>
          <w:kern w:val="0"/>
          <w:sz w:val="24"/>
        </w:rPr>
        <w:t>，本工程年进出港船舶次数约为</w:t>
      </w:r>
      <w:r>
        <w:rPr>
          <w:rFonts w:hint="eastAsia" w:ascii="TimesNewRomanPSMT" w:hAnsi="TimesNewRomanPSMT" w:cs="TimesNewRomanPSMT" w:eastAsiaTheme="minorEastAsia"/>
          <w:kern w:val="0"/>
          <w:sz w:val="24"/>
        </w:rPr>
        <w:t>2500</w:t>
      </w:r>
      <w:r>
        <w:rPr>
          <w:rFonts w:ascii="TimesNewRomanPSMT" w:hAnsi="TimesNewRomanPSMT" w:cs="TimesNewRomanPSMT" w:eastAsiaTheme="minorEastAsia"/>
          <w:kern w:val="0"/>
          <w:sz w:val="24"/>
        </w:rPr>
        <w:t xml:space="preserve"> </w:t>
      </w:r>
      <w:r>
        <w:rPr>
          <w:rFonts w:hint="eastAsia" w:ascii="宋体" w:cs="宋体"/>
          <w:kern w:val="0"/>
          <w:sz w:val="24"/>
        </w:rPr>
        <w:t>次，则事故概率</w:t>
      </w:r>
      <w:r>
        <w:rPr>
          <w:rFonts w:hint="eastAsia" w:ascii="TimesNewRomanPSMT" w:hAnsi="TimesNewRomanPSMT" w:cs="TimesNewRomanPSMT" w:eastAsiaTheme="minorEastAsia"/>
          <w:kern w:val="0"/>
          <w:sz w:val="24"/>
        </w:rPr>
        <w:t>0.9</w:t>
      </w:r>
      <w:r>
        <w:rPr>
          <w:rFonts w:ascii="TimesNewRomanPSMT" w:hAnsi="TimesNewRomanPSMT" w:cs="TimesNewRomanPSMT" w:eastAsiaTheme="minorEastAsia"/>
          <w:kern w:val="0"/>
          <w:sz w:val="24"/>
        </w:rPr>
        <w:t xml:space="preserve"> </w:t>
      </w:r>
      <w:r>
        <w:rPr>
          <w:rFonts w:hint="eastAsia" w:ascii="宋体" w:cs="宋体"/>
          <w:kern w:val="0"/>
          <w:sz w:val="24"/>
        </w:rPr>
        <w:t>次</w:t>
      </w:r>
      <w:r>
        <w:rPr>
          <w:rFonts w:ascii="TimesNewRomanPSMT" w:hAnsi="TimesNewRomanPSMT" w:cs="TimesNewRomanPSMT" w:eastAsiaTheme="minorEastAsia"/>
          <w:kern w:val="0"/>
          <w:sz w:val="24"/>
        </w:rPr>
        <w:t>/</w:t>
      </w:r>
      <w:r>
        <w:rPr>
          <w:rFonts w:hint="eastAsia" w:ascii="宋体" w:cs="宋体"/>
          <w:kern w:val="0"/>
          <w:sz w:val="24"/>
        </w:rPr>
        <w:t>年，其中出现溢油事故占</w:t>
      </w:r>
      <w:r>
        <w:rPr>
          <w:rFonts w:ascii="TimesNewRomanPSMT" w:hAnsi="TimesNewRomanPSMT" w:cs="TimesNewRomanPSMT" w:eastAsiaTheme="minorEastAsia"/>
          <w:kern w:val="0"/>
          <w:sz w:val="24"/>
        </w:rPr>
        <w:t>25%</w:t>
      </w:r>
      <w:r>
        <w:rPr>
          <w:rFonts w:hint="eastAsia" w:ascii="宋体" w:cs="宋体"/>
          <w:kern w:val="0"/>
          <w:sz w:val="24"/>
        </w:rPr>
        <w:t>，为</w:t>
      </w:r>
      <w:r>
        <w:rPr>
          <w:rFonts w:ascii="TimesNewRomanPSMT" w:hAnsi="TimesNewRomanPSMT" w:cs="TimesNewRomanPSMT" w:eastAsiaTheme="minorEastAsia"/>
          <w:kern w:val="0"/>
          <w:sz w:val="24"/>
        </w:rPr>
        <w:t>0.</w:t>
      </w:r>
      <w:r>
        <w:rPr>
          <w:rFonts w:hint="eastAsia" w:ascii="TimesNewRomanPSMT" w:hAnsi="TimesNewRomanPSMT" w:cs="TimesNewRomanPSMT" w:eastAsiaTheme="minorEastAsia"/>
          <w:kern w:val="0"/>
          <w:sz w:val="24"/>
        </w:rPr>
        <w:t>23</w:t>
      </w:r>
      <w:r>
        <w:rPr>
          <w:rFonts w:ascii="TimesNewRomanPSMT" w:hAnsi="TimesNewRomanPSMT" w:cs="TimesNewRomanPSMT" w:eastAsiaTheme="minorEastAsia"/>
          <w:kern w:val="0"/>
          <w:sz w:val="24"/>
        </w:rPr>
        <w:t xml:space="preserve"> </w:t>
      </w:r>
      <w:r>
        <w:rPr>
          <w:rFonts w:hint="eastAsia" w:ascii="宋体" w:cs="宋体"/>
          <w:kern w:val="0"/>
          <w:sz w:val="24"/>
        </w:rPr>
        <w:t>次</w:t>
      </w:r>
      <w:r>
        <w:rPr>
          <w:rFonts w:ascii="TimesNewRomanPSMT" w:hAnsi="TimesNewRomanPSMT" w:cs="TimesNewRomanPSMT" w:eastAsiaTheme="minorEastAsia"/>
          <w:kern w:val="0"/>
          <w:sz w:val="24"/>
        </w:rPr>
        <w:t>/</w:t>
      </w:r>
      <w:r>
        <w:rPr>
          <w:rFonts w:hint="eastAsia" w:ascii="宋体" w:cs="宋体"/>
          <w:kern w:val="0"/>
          <w:sz w:val="24"/>
        </w:rPr>
        <w:t>年。</w:t>
      </w:r>
    </w:p>
    <w:p>
      <w:pPr>
        <w:autoSpaceDE w:val="0"/>
        <w:autoSpaceDN w:val="0"/>
        <w:adjustRightInd w:val="0"/>
        <w:spacing w:line="360" w:lineRule="auto"/>
        <w:ind w:firstLine="480" w:firstLineChars="200"/>
        <w:jc w:val="left"/>
        <w:rPr>
          <w:sz w:val="24"/>
        </w:rPr>
      </w:pPr>
      <w:r>
        <w:rPr>
          <w:rFonts w:hint="eastAsia" w:ascii="宋体" w:cs="宋体" w:hAnsiTheme="minorHAnsi"/>
          <w:kern w:val="0"/>
          <w:sz w:val="24"/>
        </w:rPr>
        <w:t>本环评对船舶溢油风险进行事故风险源强分析，根据交通部统计的我国有代表性的货船总吨及燃油舱调查资料，</w:t>
      </w:r>
      <w:r>
        <w:rPr>
          <w:rFonts w:ascii="宋体" w:cs="宋体" w:hAnsiTheme="minorHAnsi"/>
          <w:kern w:val="0"/>
          <w:sz w:val="24"/>
        </w:rPr>
        <w:t>2910</w:t>
      </w:r>
      <w:r>
        <w:rPr>
          <w:rFonts w:hint="eastAsia" w:ascii="宋体" w:cs="宋体" w:hAnsiTheme="minorHAnsi"/>
          <w:kern w:val="0"/>
          <w:sz w:val="24"/>
        </w:rPr>
        <w:t>吨级海洲燃油舱总燃油量为</w:t>
      </w:r>
      <w:r>
        <w:rPr>
          <w:rFonts w:ascii="TimesNewRomanPSMT" w:hAnsi="TimesNewRomanPSMT" w:cs="TimesNewRomanPSMT"/>
          <w:kern w:val="0"/>
          <w:sz w:val="24"/>
        </w:rPr>
        <w:t>210m</w:t>
      </w:r>
      <w:r>
        <w:rPr>
          <w:rFonts w:ascii="TimesNewRomanPSMT" w:hAnsi="TimesNewRomanPSMT" w:cs="TimesNewRomanPSMT"/>
          <w:kern w:val="0"/>
          <w:sz w:val="24"/>
          <w:vertAlign w:val="superscript"/>
        </w:rPr>
        <w:t>3</w:t>
      </w:r>
      <w:r>
        <w:rPr>
          <w:rFonts w:hint="eastAsia" w:ascii="宋体" w:cs="宋体" w:hAnsiTheme="minorHAnsi"/>
          <w:kern w:val="0"/>
          <w:sz w:val="24"/>
        </w:rPr>
        <w:t>，燃油舱数量为</w:t>
      </w:r>
      <w:r>
        <w:rPr>
          <w:rFonts w:ascii="TimesNewRomanPSMT" w:hAnsi="TimesNewRomanPSMT" w:cs="TimesNewRomanPSMT"/>
          <w:kern w:val="0"/>
          <w:sz w:val="24"/>
        </w:rPr>
        <w:t>3</w:t>
      </w:r>
      <w:r>
        <w:rPr>
          <w:rFonts w:hint="eastAsia" w:ascii="宋体" w:cs="宋体" w:hAnsiTheme="minorHAnsi"/>
          <w:kern w:val="0"/>
          <w:sz w:val="24"/>
        </w:rPr>
        <w:t>个，最大燃油舱的燃油量为</w:t>
      </w:r>
      <w:r>
        <w:rPr>
          <w:rFonts w:ascii="TimesNewRomanPSMT" w:hAnsi="TimesNewRomanPSMT" w:cs="TimesNewRomanPSMT"/>
          <w:kern w:val="0"/>
          <w:sz w:val="24"/>
        </w:rPr>
        <w:t>106m</w:t>
      </w:r>
      <w:r>
        <w:rPr>
          <w:rFonts w:ascii="TimesNewRomanPSMT" w:hAnsi="TimesNewRomanPSMT" w:cs="TimesNewRomanPSMT"/>
          <w:kern w:val="0"/>
          <w:sz w:val="24"/>
          <w:vertAlign w:val="superscript"/>
        </w:rPr>
        <w:t>3</w:t>
      </w:r>
      <w:r>
        <w:rPr>
          <w:rFonts w:hint="eastAsia" w:ascii="宋体" w:cs="宋体" w:hAnsiTheme="minorHAnsi"/>
          <w:kern w:val="0"/>
          <w:sz w:val="24"/>
        </w:rPr>
        <w:t>。按上述分析假定码头船舶在进港靠泊或装卸船作业期间发生碰撞，造成一个燃料油舱破损柴油泄漏入江事故，柴油入江量最大约</w:t>
      </w:r>
      <w:r>
        <w:rPr>
          <w:rFonts w:ascii="TimesNewRomanPSMT" w:hAnsi="TimesNewRomanPSMT" w:cs="TimesNewRomanPSMT"/>
          <w:kern w:val="0"/>
          <w:sz w:val="24"/>
        </w:rPr>
        <w:t>90t/</w:t>
      </w:r>
      <w:r>
        <w:rPr>
          <w:rFonts w:hint="eastAsia" w:ascii="宋体" w:cs="宋体" w:hAnsiTheme="minorHAnsi"/>
          <w:kern w:val="0"/>
          <w:sz w:val="24"/>
        </w:rPr>
        <w:t>次。</w:t>
      </w:r>
    </w:p>
    <w:p>
      <w:pPr>
        <w:pStyle w:val="5"/>
        <w:tabs>
          <w:tab w:val="left" w:pos="567"/>
        </w:tabs>
        <w:spacing w:before="62" w:beforeLines="20" w:line="360" w:lineRule="auto"/>
        <w:ind w:left="0" w:firstLine="0"/>
        <w:rPr>
          <w:rFonts w:ascii="宋体" w:hAnsi="宋体" w:eastAsia="宋体"/>
          <w:b/>
          <w:color w:val="0000FF"/>
          <w:sz w:val="28"/>
          <w:szCs w:val="28"/>
        </w:rPr>
      </w:pPr>
      <w:bookmarkStart w:id="182" w:name="_Toc410895464"/>
      <w:bookmarkStart w:id="183" w:name="_Toc317843081"/>
      <w:bookmarkStart w:id="184" w:name="_Toc237341011"/>
      <w:bookmarkStart w:id="185" w:name="_Toc442195732"/>
      <w:bookmarkStart w:id="186" w:name="_Toc350087930"/>
      <w:r>
        <w:rPr>
          <w:rFonts w:hint="eastAsia" w:ascii="宋体" w:hAnsi="宋体" w:eastAsia="宋体"/>
          <w:b/>
          <w:color w:val="0000FF"/>
          <w:sz w:val="28"/>
          <w:szCs w:val="28"/>
        </w:rPr>
        <w:t>码头溢油</w:t>
      </w:r>
      <w:r>
        <w:rPr>
          <w:rFonts w:ascii="宋体" w:hAnsi="宋体" w:eastAsia="宋体"/>
          <w:b/>
          <w:color w:val="0000FF"/>
          <w:sz w:val="28"/>
          <w:szCs w:val="28"/>
        </w:rPr>
        <w:t>后果计算</w:t>
      </w:r>
      <w:bookmarkEnd w:id="182"/>
      <w:bookmarkEnd w:id="183"/>
      <w:bookmarkEnd w:id="184"/>
      <w:bookmarkEnd w:id="185"/>
      <w:bookmarkEnd w:id="186"/>
    </w:p>
    <w:p>
      <w:pPr>
        <w:pStyle w:val="6"/>
      </w:pPr>
      <w:r>
        <w:t>预测模式</w:t>
      </w:r>
    </w:p>
    <w:p>
      <w:pPr>
        <w:pStyle w:val="78"/>
        <w:spacing w:line="360" w:lineRule="auto"/>
        <w:ind w:firstLine="480"/>
      </w:pPr>
      <w:r>
        <w:t>（1）物料的性质</w:t>
      </w:r>
    </w:p>
    <w:p>
      <w:pPr>
        <w:pStyle w:val="78"/>
        <w:spacing w:line="360" w:lineRule="auto"/>
        <w:ind w:firstLine="480"/>
      </w:pPr>
      <w:r>
        <w:t>柴油在常温下为液体，微溶于水，可呈膜状浮于水面。</w:t>
      </w:r>
    </w:p>
    <w:p>
      <w:pPr>
        <w:pStyle w:val="78"/>
        <w:spacing w:line="360" w:lineRule="auto"/>
        <w:ind w:firstLine="480"/>
      </w:pPr>
      <w:r>
        <w:t>（2）事故溢油扩散漂移模式</w:t>
      </w:r>
    </w:p>
    <w:p>
      <w:pPr>
        <w:pStyle w:val="78"/>
        <w:spacing w:line="360" w:lineRule="auto"/>
        <w:ind w:firstLine="480"/>
      </w:pPr>
      <w:r>
        <w:t>本评价采用费伊（</w:t>
      </w:r>
      <w:r>
        <w:rPr>
          <w:i/>
        </w:rPr>
        <w:t>Fay</w:t>
      </w:r>
      <w:r>
        <w:t>）油膜扩延公式对燃油入江事故污染进行风险预测。</w:t>
      </w:r>
    </w:p>
    <w:p>
      <w:pPr>
        <w:pStyle w:val="78"/>
        <w:spacing w:line="360" w:lineRule="auto"/>
        <w:ind w:firstLine="480"/>
      </w:pPr>
      <w:r>
        <w:t>费伊（</w:t>
      </w:r>
      <w:r>
        <w:rPr>
          <w:i/>
        </w:rPr>
        <w:t>Fay</w:t>
      </w:r>
      <w:r>
        <w:t>）油膜扩延公式目前广泛应用，它把过程分为3个阶段：</w:t>
      </w:r>
    </w:p>
    <w:p>
      <w:pPr>
        <w:pStyle w:val="78"/>
        <w:spacing w:line="360" w:lineRule="auto"/>
        <w:ind w:firstLine="480"/>
      </w:pPr>
      <w:r>
        <w:t>① 在惯性扩展阶段，油膜直径为</w:t>
      </w:r>
    </w:p>
    <w:p>
      <w:pPr>
        <w:pStyle w:val="78"/>
        <w:spacing w:line="360" w:lineRule="auto"/>
        <w:ind w:firstLine="480"/>
      </w:pPr>
      <w:r>
        <w:rPr>
          <w:position w:val="-10"/>
        </w:rPr>
        <w:object>
          <v:shape id="_x0000_i1026" o:spt="75" type="#_x0000_t75" style="height:18pt;width:98.25pt;" o:ole="t" filled="f" o:preferrelative="t" stroked="f" coordsize="21600,21600">
            <v:path/>
            <v:fill on="f" focussize="0,0"/>
            <v:stroke on="f" joinstyle="miter"/>
            <v:imagedata r:id="rId72" o:title=""/>
            <o:lock v:ext="edit" aspectratio="t"/>
            <w10:wrap type="none"/>
            <w10:anchorlock/>
          </v:shape>
          <o:OLEObject Type="Embed" ProgID="Equation.3" ShapeID="_x0000_i1026" DrawAspect="Content" ObjectID="_1468075728" r:id="rId71"/>
        </w:object>
      </w:r>
    </w:p>
    <w:p>
      <w:pPr>
        <w:pStyle w:val="78"/>
        <w:spacing w:line="360" w:lineRule="auto"/>
        <w:ind w:firstLine="480"/>
      </w:pPr>
      <w:r>
        <w:t>② 在粘性扩展阶段</w:t>
      </w:r>
    </w:p>
    <w:p>
      <w:pPr>
        <w:pStyle w:val="78"/>
        <w:spacing w:line="360" w:lineRule="auto"/>
        <w:ind w:firstLine="480"/>
      </w:pPr>
      <w:r>
        <w:rPr>
          <w:position w:val="-38"/>
        </w:rPr>
        <w:object>
          <v:shape id="_x0000_i1027" o:spt="75" type="#_x0000_t75" style="height:39.75pt;width:105.75pt;" o:ole="t" filled="f" o:preferrelative="t" stroked="f" coordsize="21600,21600">
            <v:path/>
            <v:fill on="f" focussize="0,0"/>
            <v:stroke on="f" joinstyle="miter"/>
            <v:imagedata r:id="rId74" o:title=""/>
            <o:lock v:ext="edit" aspectratio="t"/>
            <w10:wrap type="none"/>
            <w10:anchorlock/>
          </v:shape>
          <o:OLEObject Type="Embed" ProgID="Equation.3" ShapeID="_x0000_i1027" DrawAspect="Content" ObjectID="_1468075729" r:id="rId73"/>
        </w:object>
      </w:r>
    </w:p>
    <w:p>
      <w:pPr>
        <w:pStyle w:val="78"/>
        <w:spacing w:line="360" w:lineRule="auto"/>
        <w:ind w:firstLine="480"/>
      </w:pPr>
      <w:r>
        <w:t>③ 在表面张力扩展阶段</w:t>
      </w:r>
    </w:p>
    <w:p>
      <w:pPr>
        <w:pStyle w:val="78"/>
        <w:spacing w:line="360" w:lineRule="auto"/>
        <w:ind w:firstLine="480"/>
      </w:pPr>
      <w:r>
        <w:rPr>
          <w:position w:val="-38"/>
        </w:rPr>
        <w:object>
          <v:shape id="_x0000_i1028" o:spt="75" type="#_x0000_t75" style="height:38.25pt;width:108pt;" o:ole="t" filled="f" o:preferrelative="t" stroked="f" coordsize="21600,21600">
            <v:path/>
            <v:fill on="f" focussize="0,0"/>
            <v:stroke on="f" joinstyle="miter"/>
            <v:imagedata r:id="rId76" o:title=""/>
            <o:lock v:ext="edit" aspectratio="t"/>
            <w10:wrap type="none"/>
            <w10:anchorlock/>
          </v:shape>
          <o:OLEObject Type="Embed" ProgID="Equation.3" ShapeID="_x0000_i1028" DrawAspect="Content" ObjectID="_1468075730" r:id="rId75"/>
        </w:object>
      </w:r>
    </w:p>
    <w:p>
      <w:pPr>
        <w:pStyle w:val="78"/>
        <w:spacing w:line="360" w:lineRule="auto"/>
        <w:ind w:firstLine="480"/>
      </w:pPr>
      <w:r>
        <w:t>④ 在扩展结束之后，油膜直径保持不变</w:t>
      </w:r>
    </w:p>
    <w:p>
      <w:pPr>
        <w:pStyle w:val="78"/>
        <w:spacing w:line="360" w:lineRule="auto"/>
        <w:ind w:firstLine="480"/>
      </w:pPr>
      <w:r>
        <w:object>
          <v:shape id="_x0000_i1029" o:spt="75" type="#_x0000_t75" style="height:15.75pt;width:72pt;" o:ole="t" filled="f" o:preferrelative="t" stroked="f" coordsize="21600,21600">
            <v:path/>
            <v:fill on="f" focussize="0,0"/>
            <v:stroke on="f" joinstyle="miter"/>
            <v:imagedata r:id="rId78" o:title=""/>
            <o:lock v:ext="edit" aspectratio="t"/>
            <w10:wrap type="none"/>
            <w10:anchorlock/>
          </v:shape>
          <o:OLEObject Type="Embed" ProgID="Equation.3" ShapeID="_x0000_i1029" DrawAspect="Content" ObjectID="_1468075731" r:id="rId77"/>
        </w:object>
      </w:r>
    </w:p>
    <w:p>
      <w:pPr>
        <w:pStyle w:val="78"/>
        <w:spacing w:line="360" w:lineRule="auto"/>
        <w:ind w:firstLine="480"/>
      </w:pPr>
      <w:r>
        <w:t>式中：</w:t>
      </w:r>
      <w:r>
        <w:object>
          <v:shape id="_x0000_i1030" o:spt="75" type="#_x0000_t75" style="height:12.75pt;width:12.75pt;" o:ole="t" filled="f" o:preferrelative="t" stroked="f" coordsize="21600,21600">
            <v:path/>
            <v:fill on="f" focussize="0,0"/>
            <v:stroke on="f" joinstyle="miter"/>
            <v:imagedata r:id="rId80" o:title=""/>
            <o:lock v:ext="edit" aspectratio="t"/>
            <w10:wrap type="none"/>
            <w10:anchorlock/>
          </v:shape>
          <o:OLEObject Type="Embed" ProgID="Equation.3" ShapeID="_x0000_i1030" DrawAspect="Content" ObjectID="_1468075732" r:id="rId79"/>
        </w:object>
      </w:r>
      <w:r>
        <w:t>——油膜直径（m）</w:t>
      </w:r>
    </w:p>
    <w:p>
      <w:pPr>
        <w:pStyle w:val="78"/>
        <w:spacing w:line="360" w:lineRule="auto"/>
        <w:ind w:firstLine="480"/>
      </w:pPr>
      <w:r>
        <w:rPr>
          <w:position w:val="-10"/>
        </w:rPr>
        <w:object>
          <v:shape id="_x0000_i1031" o:spt="75" type="#_x0000_t75" style="height:12.75pt;width:11.25pt;" o:ole="t" filled="f" o:preferrelative="t" stroked="f" coordsize="21600,21600">
            <v:path/>
            <v:fill on="f" focussize="0,0"/>
            <v:stroke on="f" joinstyle="miter"/>
            <v:imagedata r:id="rId82" o:title=""/>
            <o:lock v:ext="edit" aspectratio="t"/>
            <w10:wrap type="none"/>
            <w10:anchorlock/>
          </v:shape>
          <o:OLEObject Type="Embed" ProgID="Equation.3" ShapeID="_x0000_i1031" DrawAspect="Content" ObjectID="_1468075733" r:id="rId81"/>
        </w:object>
      </w:r>
      <w:r>
        <w:t>——重力加速度（m/s</w:t>
      </w:r>
      <w:r>
        <w:rPr>
          <w:vertAlign w:val="superscript"/>
        </w:rPr>
        <w:t>2</w:t>
      </w:r>
      <w:r>
        <w:t>）</w:t>
      </w:r>
    </w:p>
    <w:p>
      <w:pPr>
        <w:pStyle w:val="78"/>
        <w:spacing w:line="360" w:lineRule="auto"/>
        <w:ind w:firstLine="480"/>
      </w:pPr>
      <w:r>
        <w:rPr>
          <w:position w:val="-6"/>
        </w:rPr>
        <w:object>
          <v:shape id="_x0000_i1032" o:spt="75" type="#_x0000_t75" style="height:14.25pt;width:12pt;" o:ole="t" filled="f" o:preferrelative="t" stroked="f" coordsize="21600,21600">
            <v:path/>
            <v:fill on="f" focussize="0,0"/>
            <v:stroke on="f" joinstyle="miter"/>
            <v:imagedata r:id="rId84" o:title=""/>
            <o:lock v:ext="edit" aspectratio="t"/>
            <w10:wrap type="none"/>
            <w10:anchorlock/>
          </v:shape>
          <o:OLEObject Type="Embed" ProgID="Equation.3" ShapeID="_x0000_i1032" DrawAspect="Content" ObjectID="_1468075734" r:id="rId83"/>
        </w:object>
      </w:r>
      <w:r>
        <w:t>——溢流总体积</w:t>
      </w:r>
    </w:p>
    <w:p>
      <w:pPr>
        <w:pStyle w:val="78"/>
        <w:spacing w:line="360" w:lineRule="auto"/>
        <w:ind w:firstLine="480"/>
      </w:pPr>
      <w:r>
        <w:rPr>
          <w:position w:val="-6"/>
        </w:rPr>
        <w:object>
          <v:shape id="_x0000_i1033" o:spt="75" type="#_x0000_t75" style="height:12pt;width:6.75pt;" o:ole="t" filled="f" o:preferrelative="t" stroked="f" coordsize="21600,21600">
            <v:path/>
            <v:fill on="f" focussize="0,0"/>
            <v:stroke on="f" joinstyle="miter"/>
            <v:imagedata r:id="rId86" o:title=""/>
            <o:lock v:ext="edit" aspectratio="t"/>
            <w10:wrap type="none"/>
            <w10:anchorlock/>
          </v:shape>
          <o:OLEObject Type="Embed" ProgID="Equation.3" ShapeID="_x0000_i1033" DrawAspect="Content" ObjectID="_1468075735" r:id="rId85"/>
        </w:object>
      </w:r>
      <w:r>
        <w:t>——从溢流开始计算所经历的时间</w:t>
      </w:r>
    </w:p>
    <w:p>
      <w:pPr>
        <w:pStyle w:val="78"/>
        <w:spacing w:line="360" w:lineRule="auto"/>
        <w:ind w:firstLine="480"/>
        <w:rPr>
          <w:rFonts w:eastAsiaTheme="minorEastAsia"/>
          <w:iCs/>
          <w:color w:val="323232"/>
          <w:sz w:val="23"/>
          <w:szCs w:val="23"/>
        </w:rPr>
      </w:pPr>
      <w:r>
        <w:rPr>
          <w:position w:val="-10"/>
        </w:rPr>
        <w:object>
          <v:shape id="_x0000_i1034" o:spt="75" type="#_x0000_t75" style="height:12.75pt;width:9.75pt;" o:ole="t" filled="f" o:preferrelative="t" stroked="f" coordsize="21600,21600">
            <v:path/>
            <v:fill on="f" focussize="0,0"/>
            <v:stroke on="f" joinstyle="miter"/>
            <v:imagedata r:id="rId88" o:title=""/>
            <o:lock v:ext="edit" aspectratio="t"/>
            <w10:wrap type="none"/>
            <w10:anchorlock/>
          </v:shape>
          <o:OLEObject Type="Embed" ProgID="Equation.3" ShapeID="_x0000_i1034" DrawAspect="Content" ObjectID="_1468075736" r:id="rId87"/>
        </w:object>
      </w:r>
      <w:r>
        <w:rPr>
          <w:vertAlign w:val="subscript"/>
        </w:rPr>
        <w:t>W</w:t>
      </w:r>
      <w:r>
        <w:t>——水的运动粘滞系数（</w:t>
      </w:r>
      <w:r>
        <w:rPr>
          <w:rFonts w:ascii="Times New Roman" w:hAnsi="Times New Roman"/>
        </w:rPr>
        <w:t>m</w:t>
      </w:r>
      <w:r>
        <w:rPr>
          <w:rFonts w:ascii="Times New Roman" w:hAnsi="Times New Roman"/>
          <w:vertAlign w:val="superscript"/>
        </w:rPr>
        <w:t>2</w:t>
      </w:r>
      <w:r>
        <w:rPr>
          <w:rFonts w:ascii="Times New Roman" w:hAnsi="Times New Roman"/>
        </w:rPr>
        <w:t>/s</w:t>
      </w:r>
      <w:r>
        <w:t>）</w:t>
      </w:r>
      <w:r>
        <w:rPr>
          <w:rFonts w:hint="eastAsia" w:eastAsiaTheme="minorEastAsia"/>
          <w:iCs/>
          <w:color w:val="323232"/>
          <w:sz w:val="23"/>
          <w:szCs w:val="23"/>
        </w:rPr>
        <w:t>;水的粘滞系数与温度关系见表6.3-3。</w:t>
      </w:r>
    </w:p>
    <w:p>
      <w:pPr>
        <w:pStyle w:val="78"/>
        <w:spacing w:line="240" w:lineRule="auto"/>
        <w:ind w:firstLine="422"/>
        <w:jc w:val="center"/>
        <w:rPr>
          <w:rFonts w:eastAsiaTheme="minorEastAsia"/>
          <w:b/>
          <w:i/>
          <w:iCs/>
          <w:color w:val="323232"/>
          <w:sz w:val="21"/>
          <w:szCs w:val="21"/>
        </w:rPr>
      </w:pPr>
      <w:r>
        <w:rPr>
          <w:rFonts w:hint="eastAsia" w:eastAsiaTheme="minorEastAsia"/>
          <w:b/>
          <w:iCs/>
          <w:color w:val="323232"/>
          <w:sz w:val="21"/>
          <w:szCs w:val="21"/>
        </w:rPr>
        <w:t>表6.3-3 水的粘滞系数与温度关系表</w:t>
      </w:r>
    </w:p>
    <w:tbl>
      <w:tblPr>
        <w:tblStyle w:val="105"/>
        <w:tblW w:w="9048" w:type="dxa"/>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79"/>
        <w:gridCol w:w="689"/>
        <w:gridCol w:w="689"/>
        <w:gridCol w:w="865"/>
        <w:gridCol w:w="867"/>
        <w:gridCol w:w="891"/>
        <w:gridCol w:w="867"/>
        <w:gridCol w:w="867"/>
        <w:gridCol w:w="867"/>
        <w:gridCol w:w="86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579" w:type="dxa"/>
            <w:vAlign w:val="center"/>
          </w:tcPr>
          <w:p>
            <w:pPr>
              <w:pStyle w:val="78"/>
              <w:spacing w:line="360" w:lineRule="auto"/>
              <w:ind w:firstLine="0" w:firstLineChars="0"/>
              <w:rPr>
                <w:rFonts w:eastAsiaTheme="minorEastAsia"/>
                <w:i/>
                <w:iCs/>
                <w:color w:val="323232"/>
                <w:kern w:val="0"/>
                <w:sz w:val="18"/>
                <w:szCs w:val="18"/>
              </w:rPr>
            </w:pPr>
            <w:r>
              <w:rPr>
                <w:rFonts w:hint="eastAsia" w:eastAsiaTheme="minorEastAsia"/>
                <w:kern w:val="0"/>
                <w:sz w:val="18"/>
                <w:szCs w:val="18"/>
              </w:rPr>
              <w:t>温度℃</w:t>
            </w:r>
          </w:p>
        </w:tc>
        <w:tc>
          <w:tcPr>
            <w:tcW w:w="689"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0</w:t>
            </w:r>
          </w:p>
        </w:tc>
        <w:tc>
          <w:tcPr>
            <w:tcW w:w="689"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5</w:t>
            </w:r>
          </w:p>
        </w:tc>
        <w:tc>
          <w:tcPr>
            <w:tcW w:w="865"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10</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15</w:t>
            </w:r>
          </w:p>
        </w:tc>
        <w:tc>
          <w:tcPr>
            <w:tcW w:w="891"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20</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30</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40</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60</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80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579" w:type="dxa"/>
            <w:vAlign w:val="center"/>
          </w:tcPr>
          <w:p>
            <w:pPr>
              <w:pStyle w:val="78"/>
              <w:spacing w:line="360" w:lineRule="auto"/>
              <w:ind w:firstLine="0" w:firstLineChars="0"/>
              <w:rPr>
                <w:rFonts w:eastAsiaTheme="minorEastAsia"/>
                <w:i/>
                <w:iCs/>
                <w:color w:val="323232"/>
                <w:kern w:val="0"/>
                <w:sz w:val="18"/>
                <w:szCs w:val="18"/>
              </w:rPr>
            </w:pPr>
            <w:r>
              <w:rPr>
                <w:rFonts w:hint="eastAsia" w:asciiTheme="minorEastAsia" w:hAnsiTheme="minorEastAsia" w:eastAsiaTheme="minorEastAsia"/>
                <w:iCs/>
                <w:color w:val="323232"/>
                <w:kern w:val="0"/>
                <w:sz w:val="18"/>
                <w:szCs w:val="18"/>
              </w:rPr>
              <w:t>粘滞系数</w:t>
            </w:r>
            <w:r>
              <w:rPr>
                <w:rFonts w:ascii="Times New Roman" w:hAnsi="Times New Roman" w:eastAsia="HiddenHorzOCR"/>
                <w:iCs/>
                <w:color w:val="323232"/>
                <w:kern w:val="0"/>
                <w:sz w:val="18"/>
                <w:szCs w:val="18"/>
              </w:rPr>
              <w:t>1</w:t>
            </w:r>
            <w:r>
              <w:rPr>
                <w:rFonts w:ascii="Times New Roman" w:hAnsi="Times New Roman" w:eastAsiaTheme="minorEastAsia"/>
                <w:iCs/>
                <w:color w:val="323232"/>
                <w:kern w:val="0"/>
                <w:sz w:val="18"/>
                <w:szCs w:val="18"/>
              </w:rPr>
              <w:t>0</w:t>
            </w:r>
            <w:r>
              <w:rPr>
                <w:rFonts w:ascii="Times New Roman" w:hAnsi="Times New Roman" w:eastAsia="HiddenHorzOCR"/>
                <w:i/>
                <w:iCs/>
                <w:color w:val="323232"/>
                <w:kern w:val="0"/>
                <w:sz w:val="18"/>
                <w:szCs w:val="18"/>
                <w:vertAlign w:val="superscript"/>
              </w:rPr>
              <w:t>-6</w:t>
            </w:r>
            <w:r>
              <w:rPr>
                <w:rFonts w:ascii="Times New Roman" w:hAnsi="Times New Roman"/>
                <w:kern w:val="0"/>
                <w:sz w:val="18"/>
                <w:szCs w:val="18"/>
              </w:rPr>
              <w:t>m</w:t>
            </w:r>
            <w:r>
              <w:rPr>
                <w:rFonts w:ascii="Times New Roman" w:hAnsi="Times New Roman"/>
                <w:kern w:val="0"/>
                <w:sz w:val="18"/>
                <w:szCs w:val="18"/>
                <w:vertAlign w:val="superscript"/>
              </w:rPr>
              <w:t>2</w:t>
            </w:r>
            <w:r>
              <w:rPr>
                <w:rFonts w:ascii="Times New Roman" w:hAnsi="Times New Roman"/>
                <w:kern w:val="0"/>
                <w:sz w:val="18"/>
                <w:szCs w:val="18"/>
              </w:rPr>
              <w:t>/s</w:t>
            </w:r>
          </w:p>
        </w:tc>
        <w:tc>
          <w:tcPr>
            <w:tcW w:w="689"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kern w:val="0"/>
                <w:sz w:val="21"/>
                <w:szCs w:val="21"/>
              </w:rPr>
              <w:t>1.792</w:t>
            </w:r>
          </w:p>
        </w:tc>
        <w:tc>
          <w:tcPr>
            <w:tcW w:w="689"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1.520</w:t>
            </w:r>
          </w:p>
        </w:tc>
        <w:tc>
          <w:tcPr>
            <w:tcW w:w="865"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1.307</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1.139</w:t>
            </w:r>
          </w:p>
        </w:tc>
        <w:tc>
          <w:tcPr>
            <w:tcW w:w="891"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1.1004</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0.801</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0.658</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0.475</w:t>
            </w:r>
          </w:p>
        </w:tc>
        <w:tc>
          <w:tcPr>
            <w:tcW w:w="867" w:type="dxa"/>
            <w:vAlign w:val="center"/>
          </w:tcPr>
          <w:p>
            <w:pPr>
              <w:pStyle w:val="78"/>
              <w:spacing w:line="360" w:lineRule="auto"/>
              <w:ind w:firstLine="0" w:firstLineChars="0"/>
              <w:rPr>
                <w:rFonts w:ascii="Times New Roman" w:hAnsi="Times New Roman" w:eastAsiaTheme="minorEastAsia"/>
                <w:iCs/>
                <w:color w:val="323232"/>
                <w:kern w:val="0"/>
                <w:sz w:val="21"/>
                <w:szCs w:val="21"/>
              </w:rPr>
            </w:pPr>
            <w:r>
              <w:rPr>
                <w:rFonts w:ascii="Times New Roman" w:hAnsi="Times New Roman" w:eastAsiaTheme="minorEastAsia"/>
                <w:iCs/>
                <w:color w:val="323232"/>
                <w:kern w:val="0"/>
                <w:sz w:val="21"/>
                <w:szCs w:val="21"/>
              </w:rPr>
              <w:t>0.365</w:t>
            </w:r>
          </w:p>
        </w:tc>
      </w:tr>
    </w:tbl>
    <w:p>
      <w:pPr>
        <w:pStyle w:val="78"/>
        <w:spacing w:line="360" w:lineRule="auto"/>
        <w:ind w:firstLine="480"/>
      </w:pPr>
      <w:r>
        <w:rPr>
          <w:position w:val="-24"/>
        </w:rPr>
        <w:object>
          <v:shape id="_x0000_i1035" o:spt="75" type="#_x0000_t75" style="height:30pt;width:69pt;" o:ole="t" filled="f" o:preferrelative="t" stroked="f" coordsize="21600,21600">
            <v:path/>
            <v:fill on="f" focussize="0,0"/>
            <v:stroke on="f" joinstyle="miter"/>
            <v:imagedata r:id="rId90" o:title=""/>
            <o:lock v:ext="edit" aspectratio="t"/>
            <w10:wrap type="none"/>
            <w10:anchorlock/>
          </v:shape>
          <o:OLEObject Type="Embed" ProgID="Equation.3" ShapeID="_x0000_i1035" DrawAspect="Content" ObjectID="_1468075737" r:id="rId89"/>
        </w:object>
      </w:r>
      <w:r>
        <w:t>；</w:t>
      </w:r>
      <w:r>
        <w:rPr>
          <w:position w:val="-12"/>
        </w:rPr>
        <w:object>
          <v:shape id="_x0000_i1036" o:spt="75" type="#_x0000_t75" style="height:18pt;width:15pt;" o:ole="t" filled="f" o:preferrelative="t" stroked="f" coordsize="21600,21600">
            <v:path/>
            <v:fill on="f" focussize="0,0"/>
            <v:stroke on="f" joinstyle="miter"/>
            <v:imagedata r:id="rId92" o:title=""/>
            <o:lock v:ext="edit" aspectratio="t"/>
            <w10:wrap type="none"/>
            <w10:anchorlock/>
          </v:shape>
          <o:OLEObject Type="Embed" ProgID="Equation.3" ShapeID="_x0000_i1036" DrawAspect="Content" ObjectID="_1468075738" r:id="rId91"/>
        </w:object>
      </w:r>
      <w:r>
        <w:t>、</w:t>
      </w:r>
      <w:r>
        <w:rPr>
          <w:position w:val="-12"/>
        </w:rPr>
        <w:object>
          <v:shape id="_x0000_i1037" o:spt="75" type="#_x0000_t75" style="height:18pt;width:17.25pt;" o:ole="t" filled="f" o:preferrelative="t" stroked="f" coordsize="21600,21600">
            <v:path/>
            <v:fill on="f" focussize="0,0"/>
            <v:stroke on="f" joinstyle="miter"/>
            <v:imagedata r:id="rId94" o:title=""/>
            <o:lock v:ext="edit" aspectratio="t"/>
            <w10:wrap type="none"/>
            <w10:anchorlock/>
          </v:shape>
          <o:OLEObject Type="Embed" ProgID="Equation.3" ShapeID="_x0000_i1037" DrawAspect="Content" ObjectID="_1468075739" r:id="rId93"/>
        </w:object>
      </w:r>
      <w:r>
        <w:t>分别为油和水的密度</w:t>
      </w:r>
    </w:p>
    <w:p>
      <w:pPr>
        <w:pStyle w:val="78"/>
        <w:spacing w:line="360" w:lineRule="auto"/>
        <w:ind w:firstLine="480"/>
      </w:pPr>
      <w:r>
        <w:rPr>
          <w:position w:val="-12"/>
        </w:rPr>
        <w:object>
          <v:shape id="_x0000_i1038" o:spt="75" type="#_x0000_t75" style="height:18pt;width:93pt;" o:ole="t" filled="f" o:preferrelative="t" stroked="f" coordsize="21600,21600">
            <v:path/>
            <v:fill on="f" focussize="0,0"/>
            <v:stroke on="f" joinstyle="miter"/>
            <v:imagedata r:id="rId96" o:title=""/>
            <o:lock v:ext="edit" aspectratio="t"/>
            <w10:wrap type="none"/>
            <w10:anchorlock/>
          </v:shape>
          <o:OLEObject Type="Embed" ProgID="Equation.3" ShapeID="_x0000_i1038" DrawAspect="Content" ObjectID="_1468075740" r:id="rId95"/>
        </w:object>
      </w:r>
      <w:r>
        <w:t>，</w:t>
      </w:r>
      <w:r>
        <w:rPr>
          <w:position w:val="-12"/>
        </w:rPr>
        <w:object>
          <v:shape id="_x0000_i1039" o:spt="75" type="#_x0000_t75" style="height:18pt;width:18.75pt;" o:ole="t" filled="f" o:preferrelative="t" stroked="f" coordsize="21600,21600">
            <v:path/>
            <v:fill on="f" focussize="0,0"/>
            <v:stroke on="f" joinstyle="miter"/>
            <v:imagedata r:id="rId98" o:title=""/>
            <o:lock v:ext="edit" aspectratio="t"/>
            <w10:wrap type="none"/>
            <w10:anchorlock/>
          </v:shape>
          <o:OLEObject Type="Embed" ProgID="Equation.3" ShapeID="_x0000_i1039" DrawAspect="Content" ObjectID="_1468075741" r:id="rId97"/>
        </w:object>
      </w:r>
      <w:r>
        <w:t>、</w:t>
      </w:r>
      <w:r>
        <w:rPr>
          <w:position w:val="-12"/>
        </w:rPr>
        <w:object>
          <v:shape id="_x0000_i1040" o:spt="75" type="#_x0000_t75" style="height:18pt;width:18pt;" o:ole="t" filled="f" o:preferrelative="t" stroked="f" coordsize="21600,21600">
            <v:path/>
            <v:fill on="f" focussize="0,0"/>
            <v:stroke on="f" joinstyle="miter"/>
            <v:imagedata r:id="rId100" o:title=""/>
            <o:lock v:ext="edit" aspectratio="t"/>
            <w10:wrap type="none"/>
            <w10:anchorlock/>
          </v:shape>
          <o:OLEObject Type="Embed" ProgID="Equation.3" ShapeID="_x0000_i1040" DrawAspect="Content" ObjectID="_1468075742" r:id="rId99"/>
        </w:object>
      </w:r>
      <w:r>
        <w:t>、</w:t>
      </w:r>
      <w:r>
        <w:rPr>
          <w:position w:val="-12"/>
        </w:rPr>
        <w:object>
          <v:shape id="_x0000_i1041" o:spt="75" type="#_x0000_t75" style="height:18pt;width:18.75pt;" o:ole="t" filled="f" o:preferrelative="t" stroked="f" coordsize="21600,21600">
            <v:path/>
            <v:fill on="f" focussize="0,0"/>
            <v:stroke on="f" joinstyle="miter"/>
            <v:imagedata r:id="rId102" o:title=""/>
            <o:lock v:ext="edit" aspectratio="t"/>
            <w10:wrap type="none"/>
            <w10:anchorlock/>
          </v:shape>
          <o:OLEObject Type="Embed" ProgID="Equation.3" ShapeID="_x0000_i1041" DrawAspect="Content" ObjectID="_1468075743" r:id="rId101"/>
        </w:object>
      </w:r>
      <w:r>
        <w:t>分别为空气与水之间、油（液）与空气之间，液与水之间的表面张力系数（N/m）</w:t>
      </w:r>
    </w:p>
    <w:p>
      <w:pPr>
        <w:autoSpaceDE w:val="0"/>
        <w:autoSpaceDN w:val="0"/>
        <w:adjustRightInd w:val="0"/>
        <w:spacing w:line="360" w:lineRule="auto"/>
        <w:ind w:firstLine="420" w:firstLineChars="200"/>
        <w:jc w:val="left"/>
        <w:rPr>
          <w:rFonts w:eastAsiaTheme="minorEastAsia"/>
          <w:color w:val="323232"/>
          <w:kern w:val="0"/>
          <w:sz w:val="24"/>
        </w:rPr>
      </w:pPr>
      <w:r>
        <w:rPr>
          <w:position w:val="-12"/>
        </w:rPr>
        <w:object>
          <v:shape id="_x0000_i1042" o:spt="75" type="#_x0000_t75" style="height:18pt;width:18.75pt;" o:ole="t" filled="f" o:preferrelative="t" stroked="f" coordsize="21600,21600">
            <v:path/>
            <v:fill on="f" focussize="0,0"/>
            <v:stroke on="f" joinstyle="miter"/>
            <v:imagedata r:id="rId98" o:title=""/>
            <o:lock v:ext="edit" aspectratio="t"/>
            <w10:wrap type="none"/>
            <w10:anchorlock/>
          </v:shape>
          <o:OLEObject Type="Embed" ProgID="Equation.3" ShapeID="_x0000_i1042" DrawAspect="Content" ObjectID="_1468075744" r:id="rId103"/>
        </w:object>
      </w:r>
      <w:r>
        <w:rPr>
          <w:rFonts w:eastAsiaTheme="minorEastAsia"/>
          <w:color w:val="636165"/>
          <w:kern w:val="0"/>
          <w:sz w:val="24"/>
        </w:rPr>
        <w:t xml:space="preserve"> </w:t>
      </w:r>
      <w:r>
        <w:rPr>
          <w:rFonts w:hAnsiTheme="minorEastAsia" w:eastAsiaTheme="minorEastAsia"/>
          <w:color w:val="323232"/>
          <w:kern w:val="0"/>
          <w:sz w:val="24"/>
        </w:rPr>
        <w:t>为</w:t>
      </w:r>
      <w:r>
        <w:rPr>
          <w:rFonts w:hint="eastAsia" w:hAnsiTheme="minorEastAsia" w:eastAsiaTheme="minorEastAsia"/>
          <w:color w:val="323232"/>
          <w:kern w:val="0"/>
          <w:sz w:val="24"/>
        </w:rPr>
        <w:t>空</w:t>
      </w:r>
      <w:r>
        <w:rPr>
          <w:rFonts w:hAnsiTheme="minorEastAsia" w:eastAsiaTheme="minorEastAsia"/>
          <w:color w:val="636165"/>
          <w:kern w:val="0"/>
          <w:sz w:val="24"/>
        </w:rPr>
        <w:t>气</w:t>
      </w:r>
      <w:r>
        <w:rPr>
          <w:rFonts w:hAnsiTheme="minorEastAsia" w:eastAsiaTheme="minorEastAsia"/>
          <w:color w:val="484849"/>
          <w:kern w:val="0"/>
          <w:sz w:val="24"/>
        </w:rPr>
        <w:t>与水之间表面张力系数</w:t>
      </w:r>
      <w:r>
        <w:rPr>
          <w:rFonts w:eastAsiaTheme="minorEastAsia"/>
          <w:color w:val="484849"/>
          <w:kern w:val="0"/>
          <w:sz w:val="24"/>
        </w:rPr>
        <w:t xml:space="preserve">(20'C </w:t>
      </w:r>
      <w:r>
        <w:rPr>
          <w:rFonts w:hAnsiTheme="minorEastAsia" w:eastAsiaTheme="minorEastAsia"/>
          <w:color w:val="484849"/>
          <w:kern w:val="0"/>
          <w:sz w:val="24"/>
        </w:rPr>
        <w:t>下，</w:t>
      </w:r>
      <w:r>
        <w:rPr>
          <w:rFonts w:eastAsiaTheme="minorEastAsia"/>
          <w:color w:val="323232"/>
          <w:kern w:val="0"/>
          <w:sz w:val="24"/>
        </w:rPr>
        <w:t>72.75x l</w:t>
      </w:r>
      <w:r>
        <w:rPr>
          <w:rFonts w:hint="eastAsia" w:eastAsiaTheme="minorEastAsia"/>
          <w:color w:val="323232"/>
          <w:kern w:val="0"/>
          <w:sz w:val="24"/>
        </w:rPr>
        <w:t>0</w:t>
      </w:r>
      <w:r>
        <w:rPr>
          <w:rFonts w:eastAsiaTheme="minorEastAsia"/>
          <w:color w:val="323232"/>
          <w:kern w:val="0"/>
          <w:sz w:val="24"/>
          <w:vertAlign w:val="superscript"/>
        </w:rPr>
        <w:t>-3</w:t>
      </w:r>
      <w:r>
        <w:rPr>
          <w:rFonts w:eastAsiaTheme="minorEastAsia"/>
          <w:color w:val="323232"/>
          <w:kern w:val="0"/>
          <w:sz w:val="24"/>
        </w:rPr>
        <w:t>N/</w:t>
      </w:r>
      <w:r>
        <w:rPr>
          <w:rFonts w:hint="eastAsia" w:eastAsiaTheme="minorEastAsia"/>
          <w:color w:val="323232"/>
          <w:kern w:val="0"/>
          <w:sz w:val="24"/>
        </w:rPr>
        <w:t xml:space="preserve">m) </w:t>
      </w:r>
      <w:r>
        <w:rPr>
          <w:rFonts w:hAnsiTheme="minorEastAsia" w:eastAsiaTheme="minorEastAsia"/>
          <w:color w:val="323232"/>
          <w:kern w:val="0"/>
          <w:sz w:val="24"/>
        </w:rPr>
        <w:t>，</w:t>
      </w:r>
    </w:p>
    <w:p>
      <w:pPr>
        <w:autoSpaceDE w:val="0"/>
        <w:autoSpaceDN w:val="0"/>
        <w:adjustRightInd w:val="0"/>
        <w:spacing w:line="360" w:lineRule="auto"/>
        <w:ind w:firstLine="420" w:firstLineChars="200"/>
        <w:jc w:val="left"/>
        <w:rPr>
          <w:rFonts w:eastAsiaTheme="minorEastAsia"/>
          <w:color w:val="323232"/>
          <w:kern w:val="0"/>
          <w:sz w:val="24"/>
        </w:rPr>
      </w:pPr>
      <w:r>
        <w:rPr>
          <w:position w:val="-12"/>
        </w:rPr>
        <w:object>
          <v:shape id="_x0000_i1043" o:spt="75" type="#_x0000_t75" style="height:18pt;width:18pt;" o:ole="t" filled="f" o:preferrelative="t" stroked="f" coordsize="21600,21600">
            <v:path/>
            <v:fill on="f" focussize="0,0"/>
            <v:stroke on="f" joinstyle="miter"/>
            <v:imagedata r:id="rId100" o:title=""/>
            <o:lock v:ext="edit" aspectratio="t"/>
            <w10:wrap type="none"/>
            <w10:anchorlock/>
          </v:shape>
          <o:OLEObject Type="Embed" ProgID="Equation.3" ShapeID="_x0000_i1043" DrawAspect="Content" ObjectID="_1468075745" r:id="rId104"/>
        </w:object>
      </w:r>
      <w:r>
        <w:rPr>
          <w:rFonts w:hAnsiTheme="minorEastAsia" w:eastAsiaTheme="minorEastAsia"/>
          <w:color w:val="323232"/>
          <w:kern w:val="0"/>
          <w:sz w:val="24"/>
        </w:rPr>
        <w:t>为油</w:t>
      </w:r>
      <w:r>
        <w:rPr>
          <w:rFonts w:eastAsiaTheme="minorEastAsia"/>
          <w:color w:val="323232"/>
          <w:kern w:val="0"/>
          <w:sz w:val="24"/>
        </w:rPr>
        <w:t>(</w:t>
      </w:r>
      <w:r>
        <w:rPr>
          <w:rFonts w:hAnsiTheme="minorEastAsia" w:eastAsiaTheme="minorEastAsia"/>
          <w:color w:val="323232"/>
          <w:kern w:val="0"/>
          <w:sz w:val="24"/>
        </w:rPr>
        <w:t>液</w:t>
      </w:r>
      <w:r>
        <w:rPr>
          <w:rFonts w:eastAsiaTheme="minorEastAsia"/>
          <w:color w:val="323232"/>
          <w:kern w:val="0"/>
          <w:sz w:val="24"/>
        </w:rPr>
        <w:t>)</w:t>
      </w:r>
      <w:r>
        <w:rPr>
          <w:rFonts w:hAnsiTheme="minorEastAsia" w:eastAsiaTheme="minorEastAsia"/>
          <w:color w:val="323232"/>
          <w:kern w:val="0"/>
          <w:sz w:val="24"/>
        </w:rPr>
        <w:t>与</w:t>
      </w:r>
      <w:r>
        <w:rPr>
          <w:rFonts w:hint="eastAsia" w:hAnsiTheme="minorEastAsia" w:eastAsiaTheme="minorEastAsia"/>
          <w:color w:val="323232"/>
          <w:kern w:val="0"/>
          <w:sz w:val="24"/>
        </w:rPr>
        <w:t>空</w:t>
      </w:r>
      <w:r>
        <w:rPr>
          <w:rFonts w:hAnsiTheme="minorEastAsia" w:eastAsiaTheme="minorEastAsia"/>
          <w:color w:val="636165"/>
          <w:kern w:val="0"/>
          <w:sz w:val="24"/>
        </w:rPr>
        <w:t>气</w:t>
      </w:r>
      <w:r>
        <w:rPr>
          <w:rFonts w:hAnsiTheme="minorEastAsia" w:eastAsiaTheme="minorEastAsia"/>
          <w:color w:val="323232"/>
          <w:kern w:val="0"/>
          <w:sz w:val="24"/>
        </w:rPr>
        <w:t>之间表面张力系数</w:t>
      </w:r>
      <w:r>
        <w:rPr>
          <w:rFonts w:eastAsiaTheme="minorEastAsia"/>
          <w:color w:val="323232"/>
          <w:kern w:val="0"/>
          <w:sz w:val="24"/>
        </w:rPr>
        <w:t xml:space="preserve">(20'C </w:t>
      </w:r>
      <w:r>
        <w:rPr>
          <w:rFonts w:hAnsiTheme="minorEastAsia" w:eastAsiaTheme="minorEastAsia"/>
          <w:color w:val="323232"/>
          <w:kern w:val="0"/>
          <w:sz w:val="24"/>
        </w:rPr>
        <w:t>下，</w:t>
      </w:r>
      <w:r>
        <w:rPr>
          <w:rFonts w:eastAsiaTheme="minorEastAsia"/>
          <w:color w:val="323232"/>
          <w:kern w:val="0"/>
          <w:sz w:val="24"/>
        </w:rPr>
        <w:t>25</w:t>
      </w:r>
      <w:r>
        <w:rPr>
          <w:rFonts w:eastAsiaTheme="minorEastAsia"/>
          <w:color w:val="636165"/>
          <w:kern w:val="0"/>
          <w:sz w:val="24"/>
        </w:rPr>
        <w:t>.</w:t>
      </w:r>
      <w:r>
        <w:rPr>
          <w:rFonts w:eastAsiaTheme="minorEastAsia"/>
          <w:color w:val="323232"/>
          <w:kern w:val="0"/>
          <w:sz w:val="24"/>
        </w:rPr>
        <w:t>0x1</w:t>
      </w:r>
      <w:r>
        <w:rPr>
          <w:rFonts w:hint="eastAsia" w:eastAsiaTheme="minorEastAsia"/>
          <w:color w:val="323232"/>
          <w:kern w:val="0"/>
          <w:sz w:val="24"/>
        </w:rPr>
        <w:t>0</w:t>
      </w:r>
      <w:r>
        <w:rPr>
          <w:rFonts w:eastAsiaTheme="minorEastAsia"/>
          <w:color w:val="323232"/>
          <w:kern w:val="0"/>
          <w:sz w:val="24"/>
          <w:vertAlign w:val="superscript"/>
        </w:rPr>
        <w:t>-3</w:t>
      </w:r>
      <w:r>
        <w:rPr>
          <w:rFonts w:eastAsiaTheme="minorEastAsia"/>
          <w:color w:val="323232"/>
          <w:kern w:val="0"/>
          <w:sz w:val="24"/>
        </w:rPr>
        <w:t>N</w:t>
      </w:r>
      <w:r>
        <w:rPr>
          <w:rFonts w:hint="eastAsia" w:eastAsiaTheme="minorEastAsia"/>
          <w:color w:val="323232"/>
          <w:kern w:val="0"/>
          <w:sz w:val="24"/>
        </w:rPr>
        <w:t>/m)</w:t>
      </w:r>
      <w:r>
        <w:rPr>
          <w:rFonts w:hAnsiTheme="minorEastAsia" w:eastAsiaTheme="minorEastAsia"/>
          <w:color w:val="323232"/>
          <w:kern w:val="0"/>
          <w:sz w:val="24"/>
        </w:rPr>
        <w:t>，</w:t>
      </w:r>
    </w:p>
    <w:p>
      <w:pPr>
        <w:pStyle w:val="78"/>
        <w:spacing w:line="360" w:lineRule="auto"/>
        <w:ind w:firstLine="480"/>
        <w:rPr>
          <w:rFonts w:ascii="Times New Roman" w:hAnsi="Times New Roman" w:eastAsiaTheme="minorEastAsia"/>
        </w:rPr>
      </w:pPr>
      <w:r>
        <w:rPr>
          <w:position w:val="-12"/>
        </w:rPr>
        <w:object>
          <v:shape id="_x0000_i1044" o:spt="75" type="#_x0000_t75" style="height:18pt;width:18.75pt;" o:ole="t" filled="f" o:preferrelative="t" stroked="f" coordsize="21600,21600">
            <v:path/>
            <v:fill on="f" focussize="0,0"/>
            <v:stroke on="f" joinstyle="miter"/>
            <v:imagedata r:id="rId102" o:title=""/>
            <o:lock v:ext="edit" aspectratio="t"/>
            <w10:wrap type="none"/>
            <w10:anchorlock/>
          </v:shape>
          <o:OLEObject Type="Embed" ProgID="Equation.3" ShapeID="_x0000_i1044" DrawAspect="Content" ObjectID="_1468075746" r:id="rId105"/>
        </w:object>
      </w:r>
      <w:r>
        <w:rPr>
          <w:rFonts w:ascii="Times New Roman" w:hAnsiTheme="minorEastAsia" w:eastAsiaTheme="minorEastAsia"/>
          <w:color w:val="323232"/>
        </w:rPr>
        <w:t>为油</w:t>
      </w:r>
      <w:r>
        <w:rPr>
          <w:rFonts w:ascii="Times New Roman" w:hAnsi="Times New Roman" w:eastAsiaTheme="minorEastAsia"/>
          <w:color w:val="323232"/>
        </w:rPr>
        <w:t>(</w:t>
      </w:r>
      <w:r>
        <w:rPr>
          <w:rFonts w:ascii="Times New Roman" w:hAnsiTheme="minorEastAsia" w:eastAsiaTheme="minorEastAsia"/>
          <w:color w:val="323232"/>
        </w:rPr>
        <w:t>液</w:t>
      </w:r>
      <w:r>
        <w:rPr>
          <w:rFonts w:ascii="Times New Roman" w:hAnsi="Times New Roman" w:eastAsiaTheme="minorEastAsia"/>
          <w:color w:val="323232"/>
        </w:rPr>
        <w:t>)</w:t>
      </w:r>
      <w:r>
        <w:rPr>
          <w:rFonts w:ascii="Times New Roman" w:hAnsiTheme="minorEastAsia" w:eastAsiaTheme="minorEastAsia"/>
          <w:color w:val="323232"/>
        </w:rPr>
        <w:t>与水之间的表面张力系数</w:t>
      </w:r>
      <w:r>
        <w:rPr>
          <w:rFonts w:ascii="Times New Roman" w:hAnsi="Times New Roman" w:eastAsiaTheme="minorEastAsia"/>
          <w:color w:val="323232"/>
        </w:rPr>
        <w:t xml:space="preserve">(20'C </w:t>
      </w:r>
      <w:r>
        <w:rPr>
          <w:rFonts w:ascii="Times New Roman" w:hAnsiTheme="minorEastAsia" w:eastAsiaTheme="minorEastAsia"/>
          <w:color w:val="323232"/>
        </w:rPr>
        <w:t>下，</w:t>
      </w:r>
      <w:r>
        <w:rPr>
          <w:rFonts w:ascii="Times New Roman" w:hAnsi="Times New Roman" w:eastAsiaTheme="minorEastAsia"/>
          <w:color w:val="323232"/>
        </w:rPr>
        <w:t xml:space="preserve">1.8x </w:t>
      </w:r>
      <w:r>
        <w:rPr>
          <w:rFonts w:hint="eastAsia" w:ascii="Times New Roman" w:hAnsi="Times New Roman" w:eastAsiaTheme="minorEastAsia"/>
          <w:iCs/>
          <w:color w:val="323232"/>
        </w:rPr>
        <w:t>10</w:t>
      </w:r>
      <w:r>
        <w:rPr>
          <w:rFonts w:ascii="Times New Roman" w:hAnsi="Times New Roman" w:eastAsiaTheme="minorEastAsia"/>
          <w:i/>
          <w:iCs/>
          <w:color w:val="323232"/>
          <w:vertAlign w:val="superscript"/>
        </w:rPr>
        <w:t>-2</w:t>
      </w:r>
      <w:r>
        <w:rPr>
          <w:rFonts w:ascii="Times New Roman" w:hAnsi="Times New Roman" w:eastAsiaTheme="minorEastAsia"/>
          <w:iCs/>
          <w:color w:val="323232"/>
        </w:rPr>
        <w:t>N/m);</w:t>
      </w:r>
    </w:p>
    <w:p>
      <w:pPr>
        <w:pStyle w:val="78"/>
        <w:spacing w:line="360" w:lineRule="auto"/>
        <w:ind w:firstLine="480"/>
      </w:pPr>
      <w:r>
        <w:rPr>
          <w:position w:val="-10"/>
        </w:rPr>
        <w:object>
          <v:shape id="_x0000_i1045" o:spt="75" type="#_x0000_t75" style="height:17.25pt;width:15.75pt;" o:ole="t" filled="f" o:preferrelative="t" stroked="f" coordsize="21600,21600">
            <v:path/>
            <v:fill on="f" focussize="0,0"/>
            <v:stroke on="f" joinstyle="miter"/>
            <v:imagedata r:id="rId107" o:title=""/>
            <o:lock v:ext="edit" aspectratio="t"/>
            <w10:wrap type="none"/>
            <w10:anchorlock/>
          </v:shape>
          <o:OLEObject Type="Embed" ProgID="Equation.3" ShapeID="_x0000_i1045" DrawAspect="Content" ObjectID="_1468075747" r:id="rId106"/>
        </w:object>
      </w:r>
      <w:r>
        <w:t>、</w:t>
      </w:r>
      <w:r>
        <w:rPr>
          <w:position w:val="-10"/>
        </w:rPr>
        <w:object>
          <v:shape id="_x0000_i1046" o:spt="75" type="#_x0000_t75" style="height:17.25pt;width:17.25pt;" o:ole="t" filled="f" o:preferrelative="t" stroked="f" coordsize="21600,21600">
            <v:path/>
            <v:fill on="f" focussize="0,0"/>
            <v:stroke on="f" joinstyle="miter"/>
            <v:imagedata r:id="rId109" o:title=""/>
            <o:lock v:ext="edit" aspectratio="t"/>
            <w10:wrap type="none"/>
            <w10:anchorlock/>
          </v:shape>
          <o:OLEObject Type="Embed" ProgID="Equation.3" ShapeID="_x0000_i1046" DrawAspect="Content" ObjectID="_1468075748" r:id="rId108"/>
        </w:object>
      </w:r>
      <w:r>
        <w:t>、</w:t>
      </w:r>
      <w:r>
        <w:rPr>
          <w:position w:val="-12"/>
        </w:rPr>
        <w:object>
          <v:shape id="_x0000_i1047" o:spt="75" type="#_x0000_t75" style="height:18pt;width:17.25pt;" o:ole="t" filled="f" o:preferrelative="t" stroked="f" coordsize="21600,21600">
            <v:path/>
            <v:fill on="f" focussize="0,0"/>
            <v:stroke on="f" joinstyle="miter"/>
            <v:imagedata r:id="rId111" o:title=""/>
            <o:lock v:ext="edit" aspectratio="t"/>
            <w10:wrap type="none"/>
            <w10:anchorlock/>
          </v:shape>
          <o:OLEObject Type="Embed" ProgID="Equation.3" ShapeID="_x0000_i1047" DrawAspect="Content" ObjectID="_1468075749" r:id="rId110"/>
        </w:object>
      </w:r>
      <w:r>
        <w:t>——分别为各扩展阶段的经验系数，一般可取</w:t>
      </w:r>
      <w:r>
        <w:rPr>
          <w:position w:val="-10"/>
        </w:rPr>
        <w:object>
          <v:shape id="_x0000_i1048" o:spt="75" type="#_x0000_t75" style="height:17.25pt;width:15.75pt;" o:ole="t" filled="f" o:preferrelative="t" stroked="f" coordsize="21600,21600">
            <v:path/>
            <v:fill on="f" focussize="0,0"/>
            <v:stroke on="f" joinstyle="miter"/>
            <v:imagedata r:id="rId113" o:title=""/>
            <o:lock v:ext="edit" aspectratio="t"/>
            <w10:wrap type="none"/>
            <w10:anchorlock/>
          </v:shape>
          <o:OLEObject Type="Embed" ProgID="Equation.3" ShapeID="_x0000_i1048" DrawAspect="Content" ObjectID="_1468075750" r:id="rId112"/>
        </w:object>
      </w:r>
      <w:r>
        <w:t>=2.28、</w:t>
      </w:r>
      <w:r>
        <w:rPr>
          <w:position w:val="-10"/>
        </w:rPr>
        <w:object>
          <v:shape id="_x0000_i1049" o:spt="75" type="#_x0000_t75" style="height:17.25pt;width:17.25pt;" o:ole="t" filled="f" o:preferrelative="t" stroked="f" coordsize="21600,21600">
            <v:path/>
            <v:fill on="f" focussize="0,0"/>
            <v:stroke on="f" joinstyle="miter"/>
            <v:imagedata r:id="rId115" o:title=""/>
            <o:lock v:ext="edit" aspectratio="t"/>
            <w10:wrap type="none"/>
            <w10:anchorlock/>
          </v:shape>
          <o:OLEObject Type="Embed" ProgID="Equation.3" ShapeID="_x0000_i1049" DrawAspect="Content" ObjectID="_1468075751" r:id="rId114"/>
        </w:object>
      </w:r>
      <w:r>
        <w:t>=2.90、</w:t>
      </w:r>
      <w:r>
        <w:rPr>
          <w:position w:val="-12"/>
        </w:rPr>
        <w:object>
          <v:shape id="_x0000_i1050" o:spt="75" type="#_x0000_t75" style="height:18pt;width:17.25pt;" o:ole="t" filled="f" o:preferrelative="t" stroked="f" coordsize="21600,21600">
            <v:path/>
            <v:fill on="f" focussize="0,0"/>
            <v:stroke on="f" joinstyle="miter"/>
            <v:imagedata r:id="rId117" o:title=""/>
            <o:lock v:ext="edit" aspectratio="t"/>
            <w10:wrap type="none"/>
            <w10:anchorlock/>
          </v:shape>
          <o:OLEObject Type="Embed" ProgID="Equation.3" ShapeID="_x0000_i1050" DrawAspect="Content" ObjectID="_1468075752" r:id="rId116"/>
        </w:object>
      </w:r>
      <w:r>
        <w:t>=3.2。</w:t>
      </w:r>
    </w:p>
    <w:p>
      <w:pPr>
        <w:pStyle w:val="78"/>
        <w:spacing w:line="360" w:lineRule="auto"/>
        <w:ind w:firstLine="480"/>
      </w:pPr>
      <w:r>
        <w:t>上述各阶段的分界时间可用两相邻阶段扩展直径相等的条件来确定。</w:t>
      </w:r>
    </w:p>
    <w:p>
      <w:pPr>
        <w:pStyle w:val="78"/>
        <w:spacing w:line="360" w:lineRule="auto"/>
        <w:ind w:firstLine="480"/>
      </w:pPr>
      <w:r>
        <w:t>在实际中，膜扩展使油膜面积增大，厚度减小。当膜厚度大于其临界厚度时（即扩展结束之后，膜直径保持不变时的厚度），膜保持整体性，膜厚度等于或小于临界厚度时，膜开始分裂为碎片，并继续扩散。</w:t>
      </w:r>
    </w:p>
    <w:p>
      <w:pPr>
        <w:pStyle w:val="78"/>
        <w:spacing w:line="360" w:lineRule="auto"/>
        <w:ind w:firstLine="480"/>
      </w:pPr>
      <w:r>
        <w:t>（3）溢油漂移计算方法</w:t>
      </w:r>
    </w:p>
    <w:p>
      <w:pPr>
        <w:pStyle w:val="78"/>
        <w:spacing w:line="360" w:lineRule="auto"/>
        <w:ind w:firstLine="480"/>
      </w:pPr>
      <w:r>
        <w:t>柴油入水后很快扩展成膜，然后在水流、风生流作用下产生漂移，同时溢油本身扩散的等效圆膜还在不断的扩散增大。因此，溢油污染范围就是这个不断扩大而在漂移的等效圆膜。如果膜中心初始位置为</w:t>
      </w:r>
      <w:r>
        <w:rPr>
          <w:position w:val="-12"/>
        </w:rPr>
        <w:object>
          <v:shape id="_x0000_i1051" o:spt="75" type="#_x0000_t75" style="height:18pt;width:14.25pt;" o:ole="t" filled="f" o:preferrelative="t" stroked="f" coordsize="21600,21600">
            <v:path/>
            <v:fill on="f" focussize="0,0"/>
            <v:stroke on="f" joinstyle="miter"/>
            <v:imagedata r:id="rId119" o:title=""/>
            <o:lock v:ext="edit" aspectratio="t"/>
            <w10:wrap type="none"/>
            <w10:anchorlock/>
          </v:shape>
          <o:OLEObject Type="Embed" ProgID="Equation.3" ShapeID="_x0000_i1051" DrawAspect="Content" ObjectID="_1468075753" r:id="rId118"/>
        </w:object>
      </w:r>
      <w:r>
        <w:t>，经过△</w:t>
      </w:r>
      <w:r>
        <w:rPr>
          <w:position w:val="-6"/>
        </w:rPr>
        <w:object>
          <v:shape id="_x0000_i1052" o:spt="75" type="#_x0000_t75" style="height:12pt;width:6.75pt;" o:ole="t" filled="f" o:preferrelative="t" stroked="f" coordsize="21600,21600">
            <v:path/>
            <v:fill on="f" focussize="0,0"/>
            <v:stroke on="f" joinstyle="miter"/>
            <v:imagedata r:id="rId121" o:title=""/>
            <o:lock v:ext="edit" aspectratio="t"/>
            <w10:wrap type="none"/>
            <w10:anchorlock/>
          </v:shape>
          <o:OLEObject Type="Embed" ProgID="Equation.3" ShapeID="_x0000_i1052" DrawAspect="Content" ObjectID="_1468075754" r:id="rId120"/>
        </w:object>
      </w:r>
      <w:r>
        <w:t>时间后，其位置</w:t>
      </w:r>
      <w:r>
        <w:rPr>
          <w:position w:val="-6"/>
        </w:rPr>
        <w:object>
          <v:shape id="_x0000_i1053" o:spt="75" type="#_x0000_t75" style="height:14.25pt;width:11.25pt;" o:ole="t" filled="f" o:preferrelative="t" stroked="f" coordsize="21600,21600">
            <v:path/>
            <v:fill on="f" focussize="0,0"/>
            <v:stroke on="f" joinstyle="miter"/>
            <v:imagedata r:id="rId123" o:title=""/>
            <o:lock v:ext="edit" aspectratio="t"/>
            <w10:wrap type="none"/>
            <w10:anchorlock/>
          </v:shape>
          <o:OLEObject Type="Embed" ProgID="Equation.3" ShapeID="_x0000_i1053" DrawAspect="Content" ObjectID="_1468075755" r:id="rId122"/>
        </w:object>
      </w:r>
      <w:r>
        <w:t>由下式计算：</w:t>
      </w:r>
    </w:p>
    <w:p>
      <w:pPr>
        <w:pStyle w:val="78"/>
        <w:spacing w:line="360" w:lineRule="auto"/>
        <w:ind w:firstLine="480"/>
      </w:pPr>
      <w:r>
        <w:rPr>
          <w:position w:val="-22"/>
        </w:rPr>
        <w:object>
          <v:shape id="_x0000_i1054" o:spt="75" type="#_x0000_t75" style="height:27.75pt;width:92.25pt;" o:ole="t" filled="f" o:preferrelative="t" stroked="f" coordsize="21600,21600">
            <v:path/>
            <v:fill on="f" focussize="0,0"/>
            <v:stroke on="f" joinstyle="miter"/>
            <v:imagedata r:id="rId125" o:title=""/>
            <o:lock v:ext="edit" aspectratio="t"/>
            <w10:wrap type="none"/>
            <w10:anchorlock/>
          </v:shape>
          <o:OLEObject Type="Embed" ProgID="Equation.3" ShapeID="_x0000_i1054" DrawAspect="Content" ObjectID="_1468075756" r:id="rId124"/>
        </w:object>
      </w:r>
    </w:p>
    <w:p>
      <w:pPr>
        <w:pStyle w:val="78"/>
        <w:spacing w:line="360" w:lineRule="auto"/>
        <w:ind w:firstLine="480"/>
      </w:pPr>
      <w:r>
        <w:t>式中膜中心漂移速度</w:t>
      </w:r>
      <w:r>
        <w:rPr>
          <w:position w:val="-12"/>
        </w:rPr>
        <w:object>
          <v:shape id="_x0000_i1055" o:spt="75" type="#_x0000_t75" style="height:18pt;width:12.75pt;" o:ole="t" filled="f" o:preferrelative="t" stroked="f" coordsize="21600,21600">
            <v:path/>
            <v:fill on="f" focussize="0,0"/>
            <v:stroke on="f" joinstyle="miter"/>
            <v:imagedata r:id="rId127" o:title=""/>
            <o:lock v:ext="edit" aspectratio="t"/>
            <w10:wrap type="none"/>
            <w10:anchorlock/>
          </v:shape>
          <o:OLEObject Type="Embed" ProgID="Equation.3" ShapeID="_x0000_i1055" DrawAspect="Content" ObjectID="_1468075757" r:id="rId126"/>
        </w:object>
      </w:r>
      <w:r>
        <w:t>，可由下式求得：</w:t>
      </w:r>
    </w:p>
    <w:p>
      <w:pPr>
        <w:pStyle w:val="78"/>
        <w:spacing w:line="360" w:lineRule="auto"/>
        <w:ind w:firstLine="480"/>
        <w:rPr>
          <w:b/>
        </w:rPr>
      </w:pPr>
      <w:r>
        <w:rPr>
          <w:position w:val="-12"/>
        </w:rPr>
        <w:object>
          <v:shape id="_x0000_i1056" o:spt="75" type="#_x0000_t75" style="height:20.25pt;width:68.25pt;" o:ole="t" filled="f" o:preferrelative="t" stroked="f" coordsize="21600,21600">
            <v:path/>
            <v:fill on="f" focussize="0,0"/>
            <v:stroke on="f" joinstyle="miter"/>
            <v:imagedata r:id="rId129" o:title=""/>
            <o:lock v:ext="edit" aspectratio="t"/>
            <w10:wrap type="none"/>
            <w10:anchorlock/>
          </v:shape>
          <o:OLEObject Type="Embed" ProgID="Equation.3" ShapeID="_x0000_i1056" DrawAspect="Content" ObjectID="_1468075758" r:id="rId128"/>
        </w:object>
      </w:r>
    </w:p>
    <w:p>
      <w:pPr>
        <w:pStyle w:val="78"/>
        <w:spacing w:line="360" w:lineRule="auto"/>
        <w:ind w:firstLine="480"/>
        <w:rPr>
          <w:b/>
        </w:rPr>
      </w:pPr>
      <w:r>
        <w:rPr>
          <w:position w:val="-12"/>
        </w:rPr>
        <w:object>
          <v:shape id="_x0000_i1057" o:spt="75" type="#_x0000_t75" style="height:18.75pt;width:66.75pt;" o:ole="t" filled="f" o:preferrelative="t" stroked="f" coordsize="21600,21600">
            <v:path/>
            <v:fill on="f" focussize="0,0"/>
            <v:stroke on="f" joinstyle="miter"/>
            <v:imagedata r:id="rId131" o:title=""/>
            <o:lock v:ext="edit" aspectratio="t"/>
            <w10:wrap type="none"/>
            <w10:anchorlock/>
          </v:shape>
          <o:OLEObject Type="Embed" ProgID="Equation.3" ShapeID="_x0000_i1057" DrawAspect="Content" ObjectID="_1468075759" r:id="rId130"/>
        </w:object>
      </w:r>
    </w:p>
    <w:p>
      <w:pPr>
        <w:pStyle w:val="78"/>
        <w:spacing w:line="360" w:lineRule="auto"/>
        <w:ind w:firstLine="480"/>
      </w:pPr>
      <w:r>
        <w:rPr>
          <w:position w:val="-12"/>
        </w:rPr>
        <w:object>
          <v:shape id="_x0000_i1058" o:spt="75" type="#_x0000_t75" style="height:18pt;width:18.75pt;" o:ole="t" filled="f" o:preferrelative="t" stroked="f" coordsize="21600,21600">
            <v:path/>
            <v:fill on="f" focussize="0,0"/>
            <v:stroke on="f" joinstyle="miter"/>
            <v:imagedata r:id="rId133" o:title=""/>
            <o:lock v:ext="edit" aspectratio="t"/>
            <w10:wrap type="none"/>
            <w10:anchorlock/>
          </v:shape>
          <o:OLEObject Type="Embed" ProgID="Equation.3" ShapeID="_x0000_i1058" DrawAspect="Content" ObjectID="_1468075760" r:id="rId132"/>
        </w:object>
      </w:r>
      <w:r>
        <w:t>——10m高处的风速</w:t>
      </w:r>
    </w:p>
    <w:p>
      <w:pPr>
        <w:pStyle w:val="78"/>
        <w:spacing w:line="360" w:lineRule="auto"/>
        <w:ind w:firstLine="480"/>
      </w:pPr>
      <w:r>
        <w:rPr>
          <w:position w:val="-4"/>
        </w:rPr>
        <w:object>
          <v:shape id="_x0000_i1059" o:spt="75" type="#_x0000_t75" style="height:12.75pt;width:12.75pt;" o:ole="t" filled="f" o:preferrelative="t" stroked="f" coordsize="21600,21600">
            <v:path/>
            <v:fill on="f" focussize="0,0"/>
            <v:stroke on="f" joinstyle="miter"/>
            <v:imagedata r:id="rId135" o:title=""/>
            <o:lock v:ext="edit" aspectratio="t"/>
            <w10:wrap type="none"/>
            <w10:anchorlock/>
          </v:shape>
          <o:OLEObject Type="Embed" ProgID="Equation.3" ShapeID="_x0000_i1059" DrawAspect="Content" ObjectID="_1468075761" r:id="rId134"/>
        </w:object>
      </w:r>
      <w:r>
        <w:t>—</w:t>
      </w:r>
      <w:r>
        <w:rPr>
          <w:b/>
        </w:rPr>
        <w:t>—</w:t>
      </w:r>
      <w:r>
        <w:t>风因子数，取3.5%</w:t>
      </w:r>
    </w:p>
    <w:p>
      <w:pPr>
        <w:pStyle w:val="78"/>
        <w:spacing w:line="360" w:lineRule="auto"/>
        <w:ind w:firstLine="480"/>
      </w:pPr>
      <w:r>
        <w:t>如果发生泄漏事故，风向因素对不溶于水的在水面漂浮的污染物的移动影响很大，如果风向为朝岸风，则对岸边的生物有影响，如果离岸风，则影响对岸边敏感目标影响较小。</w:t>
      </w:r>
    </w:p>
    <w:p>
      <w:pPr>
        <w:pStyle w:val="6"/>
        <w:ind w:hanging="1290"/>
      </w:pPr>
      <w:r>
        <w:t>预测工况</w:t>
      </w:r>
    </w:p>
    <w:p>
      <w:pPr>
        <w:autoSpaceDE w:val="0"/>
        <w:autoSpaceDN w:val="0"/>
        <w:adjustRightInd w:val="0"/>
        <w:spacing w:line="360" w:lineRule="auto"/>
        <w:ind w:firstLine="480" w:firstLineChars="200"/>
        <w:jc w:val="left"/>
        <w:rPr>
          <w:sz w:val="24"/>
        </w:rPr>
      </w:pPr>
      <w:r>
        <w:rPr>
          <w:rFonts w:hint="eastAsia" w:ascii="宋体" w:cs="宋体" w:hAnsiTheme="minorHAnsi"/>
          <w:kern w:val="0"/>
          <w:sz w:val="24"/>
        </w:rPr>
        <w:t>溢油形式按突发性瞬间点源考虑。根据评价江段取水口分布以及年均风速的实际情况，本评价只给出丰水期</w:t>
      </w:r>
      <w:r>
        <w:rPr>
          <w:rFonts w:ascii="宋体" w:cs="宋体" w:hAnsiTheme="minorHAnsi"/>
          <w:kern w:val="0"/>
          <w:sz w:val="24"/>
        </w:rPr>
        <w:t>(</w:t>
      </w:r>
      <w:r>
        <w:rPr>
          <w:rFonts w:hint="eastAsia" w:ascii="宋体" w:cs="宋体" w:hAnsiTheme="minorHAnsi"/>
          <w:kern w:val="0"/>
          <w:sz w:val="24"/>
        </w:rPr>
        <w:t>流速约2.0</w:t>
      </w:r>
      <w:r>
        <w:rPr>
          <w:rFonts w:ascii="宋体" w:cs="宋体" w:hAnsiTheme="minorHAnsi"/>
          <w:kern w:val="0"/>
          <w:sz w:val="24"/>
        </w:rPr>
        <w:t>m/s)</w:t>
      </w:r>
      <w:r>
        <w:rPr>
          <w:rFonts w:hint="eastAsia" w:ascii="宋体" w:cs="宋体" w:hAnsiTheme="minorHAnsi"/>
          <w:kern w:val="0"/>
          <w:sz w:val="24"/>
        </w:rPr>
        <w:t>水文条件下，在最不利风向</w:t>
      </w:r>
      <w:r>
        <w:rPr>
          <w:rFonts w:ascii="宋体" w:cs="宋体" w:hAnsiTheme="minorHAnsi"/>
          <w:kern w:val="0"/>
          <w:sz w:val="24"/>
        </w:rPr>
        <w:t>WS (</w:t>
      </w:r>
      <w:r>
        <w:rPr>
          <w:rFonts w:hint="eastAsia" w:ascii="宋体" w:cs="宋体" w:hAnsiTheme="minorHAnsi"/>
          <w:kern w:val="0"/>
          <w:sz w:val="24"/>
        </w:rPr>
        <w:t>风速</w:t>
      </w:r>
      <w:r>
        <w:rPr>
          <w:rFonts w:ascii="宋体" w:cs="宋体" w:hAnsiTheme="minorHAnsi"/>
          <w:kern w:val="0"/>
          <w:sz w:val="24"/>
        </w:rPr>
        <w:t>1.</w:t>
      </w:r>
      <w:r>
        <w:rPr>
          <w:rFonts w:hint="eastAsia" w:ascii="宋体" w:cs="宋体" w:hAnsiTheme="minorHAnsi"/>
          <w:kern w:val="0"/>
          <w:sz w:val="24"/>
        </w:rPr>
        <w:t>9</w:t>
      </w:r>
      <w:r>
        <w:rPr>
          <w:rFonts w:ascii="宋体" w:cs="宋体" w:hAnsiTheme="minorHAnsi"/>
          <w:kern w:val="0"/>
          <w:sz w:val="24"/>
        </w:rPr>
        <w:t>m/s)</w:t>
      </w:r>
      <w:r>
        <w:rPr>
          <w:rFonts w:hint="eastAsia" w:ascii="宋体" w:cs="宋体" w:hAnsiTheme="minorHAnsi"/>
          <w:kern w:val="0"/>
          <w:sz w:val="24"/>
        </w:rPr>
        <w:t>情况下油膜漂移计算</w:t>
      </w:r>
      <w:r>
        <w:rPr>
          <w:sz w:val="24"/>
        </w:rPr>
        <w:t>，具体包括</w:t>
      </w:r>
      <w:r>
        <w:rPr>
          <w:rFonts w:hint="eastAsia"/>
          <w:sz w:val="24"/>
        </w:rPr>
        <w:t>：油品</w:t>
      </w:r>
      <w:r>
        <w:rPr>
          <w:sz w:val="24"/>
        </w:rPr>
        <w:t>入江量取</w:t>
      </w:r>
      <w:r>
        <w:rPr>
          <w:rFonts w:hint="eastAsia"/>
          <w:sz w:val="24"/>
        </w:rPr>
        <w:t>90</w:t>
      </w:r>
      <w:r>
        <w:rPr>
          <w:sz w:val="24"/>
        </w:rPr>
        <w:t>t，平均风速</w:t>
      </w:r>
      <w:r>
        <w:rPr>
          <w:rFonts w:hint="eastAsia"/>
          <w:sz w:val="24"/>
        </w:rPr>
        <w:t>1.9</w:t>
      </w:r>
      <w:r>
        <w:rPr>
          <w:sz w:val="24"/>
        </w:rPr>
        <w:t>m/s，水流速取丰水期近岸</w:t>
      </w:r>
      <w:r>
        <w:rPr>
          <w:rFonts w:hint="eastAsia"/>
          <w:sz w:val="24"/>
        </w:rPr>
        <w:t>2.0</w:t>
      </w:r>
      <w:r>
        <w:rPr>
          <w:sz w:val="24"/>
        </w:rPr>
        <w:t>m/s，油膜漂移速度</w:t>
      </w:r>
      <w:r>
        <w:rPr>
          <w:rFonts w:hint="eastAsia"/>
          <w:sz w:val="24"/>
        </w:rPr>
        <w:t>2.067</w:t>
      </w:r>
      <w:r>
        <w:rPr>
          <w:sz w:val="24"/>
        </w:rPr>
        <w:t>m/s（顺水流方向）</w:t>
      </w:r>
      <w:r>
        <w:rPr>
          <w:rFonts w:hint="eastAsia"/>
          <w:sz w:val="24"/>
        </w:rPr>
        <w:t>。</w:t>
      </w:r>
    </w:p>
    <w:p>
      <w:pPr>
        <w:pStyle w:val="6"/>
        <w:ind w:hanging="1290"/>
      </w:pPr>
      <w:r>
        <w:t>预测结果</w:t>
      </w:r>
    </w:p>
    <w:p>
      <w:pPr>
        <w:pStyle w:val="78"/>
        <w:spacing w:line="360" w:lineRule="auto"/>
        <w:ind w:firstLine="480"/>
      </w:pPr>
      <w:r>
        <w:t>发生溢油事故时油膜的漂移扩散结果见表</w:t>
      </w:r>
      <w:r>
        <w:rPr>
          <w:rFonts w:hint="eastAsia"/>
        </w:rPr>
        <w:t>6.3-4</w:t>
      </w:r>
      <w:r>
        <w:t>，污染物扩延特征值见表</w:t>
      </w:r>
      <w:r>
        <w:rPr>
          <w:rFonts w:hint="eastAsia"/>
        </w:rPr>
        <w:t>6.3-5</w:t>
      </w:r>
      <w:r>
        <w:t>。</w:t>
      </w:r>
    </w:p>
    <w:p>
      <w:pPr>
        <w:pStyle w:val="78"/>
        <w:spacing w:line="240" w:lineRule="auto"/>
        <w:ind w:firstLine="422"/>
        <w:jc w:val="center"/>
        <w:rPr>
          <w:rFonts w:eastAsiaTheme="minorEastAsia"/>
          <w:b/>
          <w:iCs/>
          <w:color w:val="323232"/>
          <w:sz w:val="21"/>
          <w:szCs w:val="21"/>
        </w:rPr>
      </w:pPr>
      <w:r>
        <w:rPr>
          <w:rFonts w:eastAsiaTheme="minorEastAsia"/>
          <w:b/>
          <w:iCs/>
          <w:color w:val="323232"/>
          <w:sz w:val="21"/>
          <w:szCs w:val="21"/>
        </w:rPr>
        <w:t>表</w:t>
      </w:r>
      <w:r>
        <w:rPr>
          <w:rFonts w:hint="eastAsia" w:eastAsiaTheme="minorEastAsia"/>
          <w:b/>
          <w:iCs/>
          <w:color w:val="323232"/>
          <w:sz w:val="21"/>
          <w:szCs w:val="21"/>
        </w:rPr>
        <w:t>6.3-4 90</w:t>
      </w:r>
      <w:r>
        <w:rPr>
          <w:rFonts w:eastAsiaTheme="minorEastAsia"/>
          <w:b/>
          <w:iCs/>
          <w:color w:val="323232"/>
          <w:sz w:val="21"/>
          <w:szCs w:val="21"/>
        </w:rPr>
        <w:t>t</w:t>
      </w:r>
      <w:r>
        <w:rPr>
          <w:rFonts w:hint="eastAsia" w:eastAsiaTheme="minorEastAsia"/>
          <w:b/>
          <w:iCs/>
          <w:color w:val="323232"/>
          <w:sz w:val="21"/>
          <w:szCs w:val="21"/>
        </w:rPr>
        <w:t>柴</w:t>
      </w:r>
      <w:r>
        <w:rPr>
          <w:rFonts w:eastAsiaTheme="minorEastAsia"/>
          <w:b/>
          <w:iCs/>
          <w:color w:val="323232"/>
          <w:sz w:val="21"/>
          <w:szCs w:val="21"/>
        </w:rPr>
        <w:t>油事故溢油顺水流方向扩延预测结果</w:t>
      </w:r>
    </w:p>
    <w:tbl>
      <w:tblPr>
        <w:tblStyle w:val="104"/>
        <w:tblW w:w="894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43"/>
        <w:gridCol w:w="1173"/>
        <w:gridCol w:w="1558"/>
        <w:gridCol w:w="1968"/>
        <w:gridCol w:w="1383"/>
        <w:gridCol w:w="17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blHeader/>
        </w:trPr>
        <w:tc>
          <w:tcPr>
            <w:tcW w:w="1143" w:type="dxa"/>
            <w:shd w:val="clear" w:color="auto" w:fill="auto"/>
            <w:vAlign w:val="center"/>
          </w:tcPr>
          <w:p>
            <w:pPr>
              <w:widowControl/>
              <w:jc w:val="center"/>
              <w:rPr>
                <w:kern w:val="0"/>
                <w:szCs w:val="21"/>
              </w:rPr>
            </w:pPr>
            <w:r>
              <w:rPr>
                <w:kern w:val="0"/>
                <w:szCs w:val="21"/>
              </w:rPr>
              <w:t>序号</w:t>
            </w:r>
          </w:p>
        </w:tc>
        <w:tc>
          <w:tcPr>
            <w:tcW w:w="1173" w:type="dxa"/>
            <w:shd w:val="clear" w:color="auto" w:fill="auto"/>
            <w:vAlign w:val="center"/>
          </w:tcPr>
          <w:p>
            <w:pPr>
              <w:widowControl/>
              <w:jc w:val="center"/>
              <w:rPr>
                <w:kern w:val="0"/>
                <w:szCs w:val="21"/>
              </w:rPr>
            </w:pPr>
            <w:r>
              <w:rPr>
                <w:kern w:val="0"/>
                <w:szCs w:val="21"/>
              </w:rPr>
              <w:t>时间（S）</w:t>
            </w:r>
          </w:p>
        </w:tc>
        <w:tc>
          <w:tcPr>
            <w:tcW w:w="1558" w:type="dxa"/>
            <w:shd w:val="clear" w:color="auto" w:fill="auto"/>
            <w:vAlign w:val="center"/>
          </w:tcPr>
          <w:p>
            <w:pPr>
              <w:widowControl/>
              <w:jc w:val="center"/>
              <w:rPr>
                <w:kern w:val="0"/>
                <w:szCs w:val="21"/>
              </w:rPr>
            </w:pPr>
            <w:r>
              <w:rPr>
                <w:kern w:val="0"/>
                <w:szCs w:val="21"/>
              </w:rPr>
              <w:t>直径</w:t>
            </w:r>
          </w:p>
        </w:tc>
        <w:tc>
          <w:tcPr>
            <w:tcW w:w="1968" w:type="dxa"/>
            <w:shd w:val="clear" w:color="auto" w:fill="auto"/>
            <w:vAlign w:val="center"/>
          </w:tcPr>
          <w:p>
            <w:pPr>
              <w:widowControl/>
              <w:jc w:val="center"/>
              <w:rPr>
                <w:kern w:val="0"/>
                <w:szCs w:val="21"/>
              </w:rPr>
            </w:pPr>
            <w:r>
              <w:rPr>
                <w:kern w:val="0"/>
                <w:szCs w:val="21"/>
              </w:rPr>
              <w:t>面积（m</w:t>
            </w:r>
            <w:r>
              <w:rPr>
                <w:kern w:val="0"/>
                <w:szCs w:val="21"/>
                <w:vertAlign w:val="superscript"/>
              </w:rPr>
              <w:t>2</w:t>
            </w:r>
            <w:r>
              <w:rPr>
                <w:kern w:val="0"/>
                <w:szCs w:val="21"/>
              </w:rPr>
              <w:t>）</w:t>
            </w:r>
          </w:p>
        </w:tc>
        <w:tc>
          <w:tcPr>
            <w:tcW w:w="1383" w:type="dxa"/>
            <w:shd w:val="clear" w:color="auto" w:fill="auto"/>
            <w:vAlign w:val="center"/>
          </w:tcPr>
          <w:p>
            <w:pPr>
              <w:widowControl/>
              <w:jc w:val="center"/>
              <w:rPr>
                <w:kern w:val="0"/>
                <w:szCs w:val="21"/>
              </w:rPr>
            </w:pPr>
            <w:r>
              <w:rPr>
                <w:kern w:val="0"/>
                <w:szCs w:val="21"/>
              </w:rPr>
              <w:t>厚度（mm）</w:t>
            </w:r>
          </w:p>
        </w:tc>
        <w:tc>
          <w:tcPr>
            <w:tcW w:w="1720" w:type="dxa"/>
            <w:shd w:val="clear" w:color="auto" w:fill="auto"/>
            <w:vAlign w:val="center"/>
          </w:tcPr>
          <w:p>
            <w:pPr>
              <w:widowControl/>
              <w:jc w:val="center"/>
              <w:rPr>
                <w:kern w:val="0"/>
                <w:szCs w:val="21"/>
              </w:rPr>
            </w:pPr>
            <w:r>
              <w:rPr>
                <w:kern w:val="0"/>
                <w:szCs w:val="21"/>
              </w:rPr>
              <w:t>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bookmarkStart w:id="187" w:name="RANGE!B3"/>
            <w:r>
              <w:rPr>
                <w:color w:val="000000"/>
                <w:sz w:val="20"/>
                <w:szCs w:val="20"/>
              </w:rPr>
              <w:t>1</w:t>
            </w:r>
            <w:bookmarkEnd w:id="187"/>
          </w:p>
        </w:tc>
        <w:tc>
          <w:tcPr>
            <w:tcW w:w="1173" w:type="dxa"/>
            <w:shd w:val="clear" w:color="auto" w:fill="auto"/>
            <w:vAlign w:val="center"/>
          </w:tcPr>
          <w:p>
            <w:pPr>
              <w:jc w:val="center"/>
              <w:rPr>
                <w:color w:val="000000"/>
                <w:sz w:val="20"/>
                <w:szCs w:val="20"/>
              </w:rPr>
            </w:pPr>
            <w:r>
              <w:rPr>
                <w:color w:val="000000"/>
                <w:sz w:val="20"/>
                <w:szCs w:val="20"/>
              </w:rPr>
              <w:t>60</w:t>
            </w:r>
          </w:p>
        </w:tc>
        <w:tc>
          <w:tcPr>
            <w:tcW w:w="1558" w:type="dxa"/>
            <w:shd w:val="clear" w:color="auto" w:fill="auto"/>
            <w:vAlign w:val="center"/>
          </w:tcPr>
          <w:p>
            <w:pPr>
              <w:jc w:val="center"/>
              <w:rPr>
                <w:color w:val="000000"/>
                <w:sz w:val="20"/>
                <w:szCs w:val="20"/>
              </w:rPr>
            </w:pPr>
            <w:r>
              <w:rPr>
                <w:color w:val="000000"/>
                <w:sz w:val="20"/>
                <w:szCs w:val="20"/>
              </w:rPr>
              <w:t>63.593</w:t>
            </w:r>
          </w:p>
        </w:tc>
        <w:tc>
          <w:tcPr>
            <w:tcW w:w="1968" w:type="dxa"/>
            <w:shd w:val="clear" w:color="auto" w:fill="auto"/>
            <w:vAlign w:val="center"/>
          </w:tcPr>
          <w:p>
            <w:pPr>
              <w:jc w:val="center"/>
              <w:rPr>
                <w:color w:val="000000"/>
                <w:sz w:val="20"/>
                <w:szCs w:val="20"/>
              </w:rPr>
            </w:pPr>
            <w:r>
              <w:rPr>
                <w:color w:val="000000"/>
                <w:sz w:val="20"/>
                <w:szCs w:val="20"/>
              </w:rPr>
              <w:t>3176.2</w:t>
            </w:r>
          </w:p>
        </w:tc>
        <w:tc>
          <w:tcPr>
            <w:tcW w:w="1383" w:type="dxa"/>
            <w:shd w:val="clear" w:color="auto" w:fill="auto"/>
            <w:vAlign w:val="center"/>
          </w:tcPr>
          <w:p>
            <w:pPr>
              <w:jc w:val="center"/>
              <w:rPr>
                <w:color w:val="000000"/>
                <w:sz w:val="20"/>
                <w:szCs w:val="20"/>
              </w:rPr>
            </w:pPr>
            <w:r>
              <w:rPr>
                <w:color w:val="000000"/>
                <w:sz w:val="20"/>
                <w:szCs w:val="20"/>
              </w:rPr>
              <w:t>33.7</w:t>
            </w:r>
          </w:p>
        </w:tc>
        <w:tc>
          <w:tcPr>
            <w:tcW w:w="1720" w:type="dxa"/>
            <w:shd w:val="clear" w:color="auto" w:fill="auto"/>
            <w:vAlign w:val="center"/>
          </w:tcPr>
          <w:p>
            <w:pPr>
              <w:jc w:val="center"/>
              <w:rPr>
                <w:color w:val="000000"/>
                <w:sz w:val="20"/>
                <w:szCs w:val="20"/>
              </w:rPr>
            </w:pPr>
            <w:r>
              <w:rPr>
                <w:color w:val="000000"/>
                <w:sz w:val="20"/>
                <w:szCs w:val="20"/>
              </w:rPr>
              <w:t>124.0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w:t>
            </w:r>
          </w:p>
        </w:tc>
        <w:tc>
          <w:tcPr>
            <w:tcW w:w="1173" w:type="dxa"/>
            <w:shd w:val="clear" w:color="auto" w:fill="auto"/>
            <w:vAlign w:val="center"/>
          </w:tcPr>
          <w:p>
            <w:pPr>
              <w:jc w:val="center"/>
              <w:rPr>
                <w:color w:val="000000"/>
                <w:sz w:val="20"/>
                <w:szCs w:val="20"/>
              </w:rPr>
            </w:pPr>
            <w:r>
              <w:rPr>
                <w:color w:val="000000"/>
                <w:sz w:val="20"/>
                <w:szCs w:val="20"/>
              </w:rPr>
              <w:t>120</w:t>
            </w:r>
          </w:p>
        </w:tc>
        <w:tc>
          <w:tcPr>
            <w:tcW w:w="1558" w:type="dxa"/>
            <w:shd w:val="clear" w:color="auto" w:fill="auto"/>
            <w:vAlign w:val="center"/>
          </w:tcPr>
          <w:p>
            <w:pPr>
              <w:jc w:val="center"/>
              <w:rPr>
                <w:color w:val="000000"/>
                <w:sz w:val="20"/>
                <w:szCs w:val="20"/>
              </w:rPr>
            </w:pPr>
            <w:r>
              <w:rPr>
                <w:color w:val="000000"/>
                <w:sz w:val="20"/>
                <w:szCs w:val="20"/>
              </w:rPr>
              <w:t>89.935</w:t>
            </w:r>
          </w:p>
        </w:tc>
        <w:tc>
          <w:tcPr>
            <w:tcW w:w="1968" w:type="dxa"/>
            <w:shd w:val="clear" w:color="auto" w:fill="auto"/>
            <w:vAlign w:val="center"/>
          </w:tcPr>
          <w:p>
            <w:pPr>
              <w:jc w:val="center"/>
              <w:rPr>
                <w:color w:val="000000"/>
                <w:sz w:val="20"/>
                <w:szCs w:val="20"/>
              </w:rPr>
            </w:pPr>
            <w:r>
              <w:rPr>
                <w:color w:val="000000"/>
                <w:sz w:val="20"/>
                <w:szCs w:val="20"/>
              </w:rPr>
              <w:t>6352.5</w:t>
            </w:r>
          </w:p>
        </w:tc>
        <w:tc>
          <w:tcPr>
            <w:tcW w:w="1383" w:type="dxa"/>
            <w:shd w:val="clear" w:color="auto" w:fill="auto"/>
            <w:vAlign w:val="center"/>
          </w:tcPr>
          <w:p>
            <w:pPr>
              <w:jc w:val="center"/>
              <w:rPr>
                <w:color w:val="000000"/>
                <w:sz w:val="20"/>
                <w:szCs w:val="20"/>
              </w:rPr>
            </w:pPr>
            <w:r>
              <w:rPr>
                <w:color w:val="000000"/>
                <w:sz w:val="20"/>
                <w:szCs w:val="20"/>
              </w:rPr>
              <w:t>16.87</w:t>
            </w:r>
          </w:p>
        </w:tc>
        <w:tc>
          <w:tcPr>
            <w:tcW w:w="1720" w:type="dxa"/>
            <w:shd w:val="clear" w:color="auto" w:fill="auto"/>
            <w:vAlign w:val="center"/>
          </w:tcPr>
          <w:p>
            <w:pPr>
              <w:jc w:val="center"/>
              <w:rPr>
                <w:color w:val="000000"/>
                <w:sz w:val="20"/>
                <w:szCs w:val="20"/>
              </w:rPr>
            </w:pPr>
            <w:r>
              <w:rPr>
                <w:color w:val="000000"/>
                <w:sz w:val="20"/>
                <w:szCs w:val="20"/>
              </w:rPr>
              <w:t>248.0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3</w:t>
            </w:r>
          </w:p>
        </w:tc>
        <w:tc>
          <w:tcPr>
            <w:tcW w:w="1173" w:type="dxa"/>
            <w:shd w:val="clear" w:color="auto" w:fill="auto"/>
            <w:vAlign w:val="center"/>
          </w:tcPr>
          <w:p>
            <w:pPr>
              <w:jc w:val="center"/>
              <w:rPr>
                <w:color w:val="000000"/>
                <w:sz w:val="20"/>
                <w:szCs w:val="20"/>
              </w:rPr>
            </w:pPr>
            <w:r>
              <w:rPr>
                <w:color w:val="000000"/>
                <w:sz w:val="20"/>
                <w:szCs w:val="20"/>
              </w:rPr>
              <w:t>180</w:t>
            </w:r>
          </w:p>
        </w:tc>
        <w:tc>
          <w:tcPr>
            <w:tcW w:w="1558" w:type="dxa"/>
            <w:shd w:val="clear" w:color="auto" w:fill="auto"/>
            <w:vAlign w:val="center"/>
          </w:tcPr>
          <w:p>
            <w:pPr>
              <w:jc w:val="center"/>
              <w:rPr>
                <w:color w:val="000000"/>
                <w:sz w:val="20"/>
                <w:szCs w:val="20"/>
              </w:rPr>
            </w:pPr>
            <w:r>
              <w:rPr>
                <w:color w:val="000000"/>
                <w:sz w:val="20"/>
                <w:szCs w:val="20"/>
              </w:rPr>
              <w:t>110.147</w:t>
            </w:r>
          </w:p>
        </w:tc>
        <w:tc>
          <w:tcPr>
            <w:tcW w:w="1968" w:type="dxa"/>
            <w:shd w:val="clear" w:color="auto" w:fill="auto"/>
            <w:vAlign w:val="center"/>
          </w:tcPr>
          <w:p>
            <w:pPr>
              <w:jc w:val="center"/>
              <w:rPr>
                <w:color w:val="000000"/>
                <w:sz w:val="20"/>
                <w:szCs w:val="20"/>
              </w:rPr>
            </w:pPr>
            <w:r>
              <w:rPr>
                <w:color w:val="000000"/>
                <w:sz w:val="20"/>
                <w:szCs w:val="20"/>
              </w:rPr>
              <w:t>9528.7</w:t>
            </w:r>
          </w:p>
        </w:tc>
        <w:tc>
          <w:tcPr>
            <w:tcW w:w="1383" w:type="dxa"/>
            <w:shd w:val="clear" w:color="auto" w:fill="auto"/>
            <w:vAlign w:val="center"/>
          </w:tcPr>
          <w:p>
            <w:pPr>
              <w:jc w:val="center"/>
              <w:rPr>
                <w:color w:val="000000"/>
                <w:sz w:val="20"/>
                <w:szCs w:val="20"/>
              </w:rPr>
            </w:pPr>
            <w:r>
              <w:rPr>
                <w:color w:val="000000"/>
                <w:sz w:val="20"/>
                <w:szCs w:val="20"/>
              </w:rPr>
              <w:t>11.24</w:t>
            </w:r>
          </w:p>
        </w:tc>
        <w:tc>
          <w:tcPr>
            <w:tcW w:w="1720" w:type="dxa"/>
            <w:shd w:val="clear" w:color="auto" w:fill="auto"/>
            <w:vAlign w:val="center"/>
          </w:tcPr>
          <w:p>
            <w:pPr>
              <w:jc w:val="center"/>
              <w:rPr>
                <w:color w:val="000000"/>
                <w:sz w:val="20"/>
                <w:szCs w:val="20"/>
              </w:rPr>
            </w:pPr>
            <w:r>
              <w:rPr>
                <w:color w:val="000000"/>
                <w:sz w:val="20"/>
                <w:szCs w:val="20"/>
              </w:rPr>
              <w:t>372.0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4</w:t>
            </w:r>
          </w:p>
        </w:tc>
        <w:tc>
          <w:tcPr>
            <w:tcW w:w="1173" w:type="dxa"/>
            <w:shd w:val="clear" w:color="auto" w:fill="auto"/>
            <w:vAlign w:val="center"/>
          </w:tcPr>
          <w:p>
            <w:pPr>
              <w:jc w:val="center"/>
              <w:rPr>
                <w:color w:val="000000"/>
                <w:sz w:val="20"/>
                <w:szCs w:val="20"/>
              </w:rPr>
            </w:pPr>
            <w:r>
              <w:rPr>
                <w:color w:val="000000"/>
                <w:sz w:val="20"/>
                <w:szCs w:val="20"/>
              </w:rPr>
              <w:t>240</w:t>
            </w:r>
          </w:p>
        </w:tc>
        <w:tc>
          <w:tcPr>
            <w:tcW w:w="1558" w:type="dxa"/>
            <w:shd w:val="clear" w:color="auto" w:fill="auto"/>
            <w:vAlign w:val="center"/>
          </w:tcPr>
          <w:p>
            <w:pPr>
              <w:jc w:val="center"/>
              <w:rPr>
                <w:color w:val="000000"/>
                <w:sz w:val="20"/>
                <w:szCs w:val="20"/>
              </w:rPr>
            </w:pPr>
            <w:r>
              <w:rPr>
                <w:color w:val="000000"/>
                <w:sz w:val="20"/>
                <w:szCs w:val="20"/>
              </w:rPr>
              <w:t>127.187</w:t>
            </w:r>
          </w:p>
        </w:tc>
        <w:tc>
          <w:tcPr>
            <w:tcW w:w="1968" w:type="dxa"/>
            <w:shd w:val="clear" w:color="auto" w:fill="auto"/>
            <w:vAlign w:val="center"/>
          </w:tcPr>
          <w:p>
            <w:pPr>
              <w:jc w:val="center"/>
              <w:rPr>
                <w:color w:val="000000"/>
                <w:sz w:val="20"/>
                <w:szCs w:val="20"/>
              </w:rPr>
            </w:pPr>
            <w:r>
              <w:rPr>
                <w:color w:val="000000"/>
                <w:sz w:val="20"/>
                <w:szCs w:val="20"/>
              </w:rPr>
              <w:t>12704.9</w:t>
            </w:r>
          </w:p>
        </w:tc>
        <w:tc>
          <w:tcPr>
            <w:tcW w:w="1383" w:type="dxa"/>
            <w:shd w:val="clear" w:color="auto" w:fill="auto"/>
            <w:vAlign w:val="center"/>
          </w:tcPr>
          <w:p>
            <w:pPr>
              <w:jc w:val="center"/>
              <w:rPr>
                <w:color w:val="000000"/>
                <w:sz w:val="20"/>
                <w:szCs w:val="20"/>
              </w:rPr>
            </w:pPr>
            <w:r>
              <w:rPr>
                <w:color w:val="000000"/>
                <w:sz w:val="20"/>
                <w:szCs w:val="20"/>
              </w:rPr>
              <w:t>8.43</w:t>
            </w:r>
          </w:p>
        </w:tc>
        <w:tc>
          <w:tcPr>
            <w:tcW w:w="1720" w:type="dxa"/>
            <w:shd w:val="clear" w:color="auto" w:fill="auto"/>
            <w:vAlign w:val="center"/>
          </w:tcPr>
          <w:p>
            <w:pPr>
              <w:jc w:val="center"/>
              <w:rPr>
                <w:color w:val="000000"/>
                <w:sz w:val="20"/>
                <w:szCs w:val="20"/>
              </w:rPr>
            </w:pPr>
            <w:r>
              <w:rPr>
                <w:color w:val="000000"/>
                <w:sz w:val="20"/>
                <w:szCs w:val="20"/>
              </w:rPr>
              <w:t>496.0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5</w:t>
            </w:r>
          </w:p>
        </w:tc>
        <w:tc>
          <w:tcPr>
            <w:tcW w:w="1173" w:type="dxa"/>
            <w:shd w:val="clear" w:color="auto" w:fill="auto"/>
            <w:vAlign w:val="center"/>
          </w:tcPr>
          <w:p>
            <w:pPr>
              <w:jc w:val="center"/>
              <w:rPr>
                <w:color w:val="000000"/>
                <w:sz w:val="20"/>
                <w:szCs w:val="20"/>
              </w:rPr>
            </w:pPr>
            <w:r>
              <w:rPr>
                <w:color w:val="000000"/>
                <w:sz w:val="20"/>
                <w:szCs w:val="20"/>
              </w:rPr>
              <w:t>300</w:t>
            </w:r>
          </w:p>
        </w:tc>
        <w:tc>
          <w:tcPr>
            <w:tcW w:w="1558" w:type="dxa"/>
            <w:shd w:val="clear" w:color="auto" w:fill="auto"/>
            <w:vAlign w:val="center"/>
          </w:tcPr>
          <w:p>
            <w:pPr>
              <w:jc w:val="center"/>
              <w:rPr>
                <w:color w:val="000000"/>
                <w:sz w:val="20"/>
                <w:szCs w:val="20"/>
              </w:rPr>
            </w:pPr>
            <w:r>
              <w:rPr>
                <w:color w:val="000000"/>
                <w:sz w:val="20"/>
                <w:szCs w:val="20"/>
              </w:rPr>
              <w:t>142.199</w:t>
            </w:r>
          </w:p>
        </w:tc>
        <w:tc>
          <w:tcPr>
            <w:tcW w:w="1968" w:type="dxa"/>
            <w:shd w:val="clear" w:color="auto" w:fill="auto"/>
            <w:vAlign w:val="center"/>
          </w:tcPr>
          <w:p>
            <w:pPr>
              <w:jc w:val="center"/>
              <w:rPr>
                <w:color w:val="000000"/>
                <w:sz w:val="20"/>
                <w:szCs w:val="20"/>
              </w:rPr>
            </w:pPr>
            <w:r>
              <w:rPr>
                <w:color w:val="000000"/>
                <w:sz w:val="20"/>
                <w:szCs w:val="20"/>
              </w:rPr>
              <w:t>15881.2</w:t>
            </w:r>
          </w:p>
        </w:tc>
        <w:tc>
          <w:tcPr>
            <w:tcW w:w="1383" w:type="dxa"/>
            <w:shd w:val="clear" w:color="auto" w:fill="auto"/>
            <w:vAlign w:val="center"/>
          </w:tcPr>
          <w:p>
            <w:pPr>
              <w:jc w:val="center"/>
              <w:rPr>
                <w:color w:val="000000"/>
                <w:sz w:val="20"/>
                <w:szCs w:val="20"/>
              </w:rPr>
            </w:pPr>
            <w:r>
              <w:rPr>
                <w:color w:val="000000"/>
                <w:sz w:val="20"/>
                <w:szCs w:val="20"/>
              </w:rPr>
              <w:t>6.75</w:t>
            </w:r>
          </w:p>
        </w:tc>
        <w:tc>
          <w:tcPr>
            <w:tcW w:w="1720" w:type="dxa"/>
            <w:shd w:val="clear" w:color="auto" w:fill="auto"/>
            <w:vAlign w:val="center"/>
          </w:tcPr>
          <w:p>
            <w:pPr>
              <w:jc w:val="center"/>
              <w:rPr>
                <w:color w:val="000000"/>
                <w:sz w:val="20"/>
                <w:szCs w:val="20"/>
              </w:rPr>
            </w:pPr>
            <w:r>
              <w:rPr>
                <w:color w:val="000000"/>
                <w:sz w:val="20"/>
                <w:szCs w:val="20"/>
              </w:rPr>
              <w:t>620.0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6</w:t>
            </w:r>
          </w:p>
        </w:tc>
        <w:tc>
          <w:tcPr>
            <w:tcW w:w="1173" w:type="dxa"/>
            <w:shd w:val="clear" w:color="auto" w:fill="auto"/>
            <w:vAlign w:val="center"/>
          </w:tcPr>
          <w:p>
            <w:pPr>
              <w:jc w:val="center"/>
              <w:rPr>
                <w:color w:val="000000"/>
                <w:sz w:val="20"/>
                <w:szCs w:val="20"/>
              </w:rPr>
            </w:pPr>
            <w:r>
              <w:rPr>
                <w:color w:val="000000"/>
                <w:sz w:val="20"/>
                <w:szCs w:val="20"/>
              </w:rPr>
              <w:t>360</w:t>
            </w:r>
          </w:p>
        </w:tc>
        <w:tc>
          <w:tcPr>
            <w:tcW w:w="1558" w:type="dxa"/>
            <w:shd w:val="clear" w:color="auto" w:fill="auto"/>
            <w:vAlign w:val="center"/>
          </w:tcPr>
          <w:p>
            <w:pPr>
              <w:jc w:val="center"/>
              <w:rPr>
                <w:color w:val="000000"/>
                <w:sz w:val="20"/>
                <w:szCs w:val="20"/>
              </w:rPr>
            </w:pPr>
            <w:r>
              <w:rPr>
                <w:color w:val="000000"/>
                <w:sz w:val="20"/>
                <w:szCs w:val="20"/>
              </w:rPr>
              <w:t>155.771</w:t>
            </w:r>
          </w:p>
        </w:tc>
        <w:tc>
          <w:tcPr>
            <w:tcW w:w="1968" w:type="dxa"/>
            <w:shd w:val="clear" w:color="auto" w:fill="auto"/>
            <w:vAlign w:val="center"/>
          </w:tcPr>
          <w:p>
            <w:pPr>
              <w:jc w:val="center"/>
              <w:rPr>
                <w:color w:val="000000"/>
                <w:sz w:val="20"/>
                <w:szCs w:val="20"/>
              </w:rPr>
            </w:pPr>
            <w:r>
              <w:rPr>
                <w:color w:val="000000"/>
                <w:sz w:val="20"/>
                <w:szCs w:val="20"/>
              </w:rPr>
              <w:t>19057.4</w:t>
            </w:r>
          </w:p>
        </w:tc>
        <w:tc>
          <w:tcPr>
            <w:tcW w:w="1383" w:type="dxa"/>
            <w:shd w:val="clear" w:color="auto" w:fill="auto"/>
            <w:vAlign w:val="center"/>
          </w:tcPr>
          <w:p>
            <w:pPr>
              <w:jc w:val="center"/>
              <w:rPr>
                <w:color w:val="000000"/>
                <w:sz w:val="20"/>
                <w:szCs w:val="20"/>
              </w:rPr>
            </w:pPr>
            <w:r>
              <w:rPr>
                <w:color w:val="000000"/>
                <w:sz w:val="20"/>
                <w:szCs w:val="20"/>
              </w:rPr>
              <w:t>5.62</w:t>
            </w:r>
          </w:p>
        </w:tc>
        <w:tc>
          <w:tcPr>
            <w:tcW w:w="1720" w:type="dxa"/>
            <w:shd w:val="clear" w:color="auto" w:fill="auto"/>
            <w:vAlign w:val="center"/>
          </w:tcPr>
          <w:p>
            <w:pPr>
              <w:jc w:val="center"/>
              <w:rPr>
                <w:color w:val="000000"/>
                <w:sz w:val="20"/>
                <w:szCs w:val="20"/>
              </w:rPr>
            </w:pPr>
            <w:r>
              <w:rPr>
                <w:color w:val="000000"/>
                <w:sz w:val="20"/>
                <w:szCs w:val="20"/>
              </w:rPr>
              <w:t>743.9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7</w:t>
            </w:r>
          </w:p>
        </w:tc>
        <w:tc>
          <w:tcPr>
            <w:tcW w:w="1173" w:type="dxa"/>
            <w:shd w:val="clear" w:color="auto" w:fill="auto"/>
            <w:vAlign w:val="center"/>
          </w:tcPr>
          <w:p>
            <w:pPr>
              <w:jc w:val="center"/>
              <w:rPr>
                <w:color w:val="000000"/>
                <w:sz w:val="20"/>
                <w:szCs w:val="20"/>
              </w:rPr>
            </w:pPr>
            <w:r>
              <w:rPr>
                <w:color w:val="000000"/>
                <w:sz w:val="20"/>
                <w:szCs w:val="20"/>
              </w:rPr>
              <w:t>420</w:t>
            </w:r>
          </w:p>
        </w:tc>
        <w:tc>
          <w:tcPr>
            <w:tcW w:w="1558" w:type="dxa"/>
            <w:shd w:val="clear" w:color="auto" w:fill="auto"/>
            <w:vAlign w:val="center"/>
          </w:tcPr>
          <w:p>
            <w:pPr>
              <w:jc w:val="center"/>
              <w:rPr>
                <w:color w:val="000000"/>
                <w:sz w:val="20"/>
                <w:szCs w:val="20"/>
              </w:rPr>
            </w:pPr>
            <w:r>
              <w:rPr>
                <w:color w:val="000000"/>
                <w:sz w:val="20"/>
                <w:szCs w:val="20"/>
              </w:rPr>
              <w:t>168.252</w:t>
            </w:r>
          </w:p>
        </w:tc>
        <w:tc>
          <w:tcPr>
            <w:tcW w:w="1968" w:type="dxa"/>
            <w:shd w:val="clear" w:color="auto" w:fill="auto"/>
            <w:vAlign w:val="center"/>
          </w:tcPr>
          <w:p>
            <w:pPr>
              <w:jc w:val="center"/>
              <w:rPr>
                <w:color w:val="000000"/>
                <w:sz w:val="20"/>
                <w:szCs w:val="20"/>
              </w:rPr>
            </w:pPr>
            <w:r>
              <w:rPr>
                <w:color w:val="000000"/>
                <w:sz w:val="20"/>
                <w:szCs w:val="20"/>
              </w:rPr>
              <w:t>22233.7</w:t>
            </w:r>
          </w:p>
        </w:tc>
        <w:tc>
          <w:tcPr>
            <w:tcW w:w="1383" w:type="dxa"/>
            <w:shd w:val="clear" w:color="auto" w:fill="auto"/>
            <w:vAlign w:val="center"/>
          </w:tcPr>
          <w:p>
            <w:pPr>
              <w:jc w:val="center"/>
              <w:rPr>
                <w:color w:val="000000"/>
                <w:sz w:val="20"/>
                <w:szCs w:val="20"/>
              </w:rPr>
            </w:pPr>
            <w:r>
              <w:rPr>
                <w:color w:val="000000"/>
                <w:sz w:val="20"/>
                <w:szCs w:val="20"/>
              </w:rPr>
              <w:t>4.82</w:t>
            </w:r>
          </w:p>
        </w:tc>
        <w:tc>
          <w:tcPr>
            <w:tcW w:w="1720" w:type="dxa"/>
            <w:shd w:val="clear" w:color="auto" w:fill="auto"/>
            <w:vAlign w:val="center"/>
          </w:tcPr>
          <w:p>
            <w:pPr>
              <w:jc w:val="center"/>
              <w:rPr>
                <w:color w:val="000000"/>
                <w:sz w:val="20"/>
                <w:szCs w:val="20"/>
              </w:rPr>
            </w:pPr>
            <w:r>
              <w:rPr>
                <w:color w:val="000000"/>
                <w:sz w:val="20"/>
                <w:szCs w:val="20"/>
              </w:rPr>
              <w:t>867.9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8</w:t>
            </w:r>
          </w:p>
        </w:tc>
        <w:tc>
          <w:tcPr>
            <w:tcW w:w="1173" w:type="dxa"/>
            <w:shd w:val="clear" w:color="auto" w:fill="auto"/>
            <w:vAlign w:val="center"/>
          </w:tcPr>
          <w:p>
            <w:pPr>
              <w:jc w:val="center"/>
              <w:rPr>
                <w:color w:val="000000"/>
                <w:sz w:val="20"/>
                <w:szCs w:val="20"/>
              </w:rPr>
            </w:pPr>
            <w:r>
              <w:rPr>
                <w:color w:val="000000"/>
                <w:sz w:val="20"/>
                <w:szCs w:val="20"/>
              </w:rPr>
              <w:t>480</w:t>
            </w:r>
          </w:p>
        </w:tc>
        <w:tc>
          <w:tcPr>
            <w:tcW w:w="1558" w:type="dxa"/>
            <w:shd w:val="clear" w:color="auto" w:fill="auto"/>
            <w:vAlign w:val="center"/>
          </w:tcPr>
          <w:p>
            <w:pPr>
              <w:jc w:val="center"/>
              <w:rPr>
                <w:color w:val="000000"/>
                <w:sz w:val="20"/>
                <w:szCs w:val="20"/>
              </w:rPr>
            </w:pPr>
            <w:r>
              <w:rPr>
                <w:color w:val="000000"/>
                <w:sz w:val="20"/>
                <w:szCs w:val="20"/>
              </w:rPr>
              <w:t>179.869</w:t>
            </w:r>
          </w:p>
        </w:tc>
        <w:tc>
          <w:tcPr>
            <w:tcW w:w="1968" w:type="dxa"/>
            <w:shd w:val="clear" w:color="auto" w:fill="auto"/>
            <w:vAlign w:val="center"/>
          </w:tcPr>
          <w:p>
            <w:pPr>
              <w:jc w:val="center"/>
              <w:rPr>
                <w:color w:val="000000"/>
                <w:sz w:val="20"/>
                <w:szCs w:val="20"/>
              </w:rPr>
            </w:pPr>
            <w:r>
              <w:rPr>
                <w:color w:val="000000"/>
                <w:sz w:val="20"/>
                <w:szCs w:val="20"/>
              </w:rPr>
              <w:t>25409.9</w:t>
            </w:r>
          </w:p>
        </w:tc>
        <w:tc>
          <w:tcPr>
            <w:tcW w:w="1383" w:type="dxa"/>
            <w:shd w:val="clear" w:color="auto" w:fill="auto"/>
            <w:vAlign w:val="center"/>
          </w:tcPr>
          <w:p>
            <w:pPr>
              <w:jc w:val="center"/>
              <w:rPr>
                <w:color w:val="000000"/>
                <w:sz w:val="20"/>
                <w:szCs w:val="20"/>
              </w:rPr>
            </w:pPr>
            <w:r>
              <w:rPr>
                <w:color w:val="000000"/>
                <w:sz w:val="20"/>
                <w:szCs w:val="20"/>
              </w:rPr>
              <w:t>4.22</w:t>
            </w:r>
          </w:p>
        </w:tc>
        <w:tc>
          <w:tcPr>
            <w:tcW w:w="1720" w:type="dxa"/>
            <w:shd w:val="clear" w:color="auto" w:fill="auto"/>
            <w:vAlign w:val="center"/>
          </w:tcPr>
          <w:p>
            <w:pPr>
              <w:jc w:val="center"/>
              <w:rPr>
                <w:color w:val="000000"/>
                <w:sz w:val="20"/>
                <w:szCs w:val="20"/>
              </w:rPr>
            </w:pPr>
            <w:r>
              <w:rPr>
                <w:color w:val="000000"/>
                <w:sz w:val="20"/>
                <w:szCs w:val="20"/>
              </w:rPr>
              <w:t>991.9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9</w:t>
            </w:r>
          </w:p>
        </w:tc>
        <w:tc>
          <w:tcPr>
            <w:tcW w:w="1173" w:type="dxa"/>
            <w:shd w:val="clear" w:color="auto" w:fill="auto"/>
            <w:vAlign w:val="center"/>
          </w:tcPr>
          <w:p>
            <w:pPr>
              <w:jc w:val="center"/>
              <w:rPr>
                <w:color w:val="000000"/>
                <w:sz w:val="20"/>
                <w:szCs w:val="20"/>
              </w:rPr>
            </w:pPr>
            <w:r>
              <w:rPr>
                <w:color w:val="000000"/>
                <w:sz w:val="20"/>
                <w:szCs w:val="20"/>
              </w:rPr>
              <w:t>600</w:t>
            </w:r>
          </w:p>
        </w:tc>
        <w:tc>
          <w:tcPr>
            <w:tcW w:w="1558" w:type="dxa"/>
            <w:shd w:val="clear" w:color="auto" w:fill="auto"/>
            <w:vAlign w:val="center"/>
          </w:tcPr>
          <w:p>
            <w:pPr>
              <w:jc w:val="center"/>
              <w:rPr>
                <w:color w:val="000000"/>
                <w:sz w:val="20"/>
                <w:szCs w:val="20"/>
              </w:rPr>
            </w:pPr>
            <w:r>
              <w:rPr>
                <w:color w:val="000000"/>
                <w:sz w:val="20"/>
                <w:szCs w:val="20"/>
              </w:rPr>
              <w:t>201.100</w:t>
            </w:r>
          </w:p>
        </w:tc>
        <w:tc>
          <w:tcPr>
            <w:tcW w:w="1968" w:type="dxa"/>
            <w:shd w:val="clear" w:color="auto" w:fill="auto"/>
            <w:vAlign w:val="center"/>
          </w:tcPr>
          <w:p>
            <w:pPr>
              <w:jc w:val="center"/>
              <w:rPr>
                <w:color w:val="000000"/>
                <w:sz w:val="20"/>
                <w:szCs w:val="20"/>
              </w:rPr>
            </w:pPr>
            <w:r>
              <w:rPr>
                <w:color w:val="000000"/>
                <w:sz w:val="20"/>
                <w:szCs w:val="20"/>
              </w:rPr>
              <w:t>31762.4</w:t>
            </w:r>
          </w:p>
        </w:tc>
        <w:tc>
          <w:tcPr>
            <w:tcW w:w="1383" w:type="dxa"/>
            <w:shd w:val="clear" w:color="auto" w:fill="auto"/>
            <w:vAlign w:val="center"/>
          </w:tcPr>
          <w:p>
            <w:pPr>
              <w:jc w:val="center"/>
              <w:rPr>
                <w:color w:val="000000"/>
                <w:sz w:val="20"/>
                <w:szCs w:val="20"/>
              </w:rPr>
            </w:pPr>
            <w:r>
              <w:rPr>
                <w:color w:val="000000"/>
                <w:sz w:val="20"/>
                <w:szCs w:val="20"/>
              </w:rPr>
              <w:t>3.37</w:t>
            </w:r>
          </w:p>
        </w:tc>
        <w:tc>
          <w:tcPr>
            <w:tcW w:w="1720" w:type="dxa"/>
            <w:shd w:val="clear" w:color="auto" w:fill="auto"/>
            <w:vAlign w:val="center"/>
          </w:tcPr>
          <w:p>
            <w:pPr>
              <w:jc w:val="center"/>
              <w:rPr>
                <w:color w:val="000000"/>
                <w:sz w:val="20"/>
                <w:szCs w:val="20"/>
              </w:rPr>
            </w:pPr>
            <w:r>
              <w:rPr>
                <w:color w:val="000000"/>
                <w:sz w:val="20"/>
                <w:szCs w:val="20"/>
              </w:rPr>
              <w:t>1239.9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10</w:t>
            </w:r>
          </w:p>
        </w:tc>
        <w:tc>
          <w:tcPr>
            <w:tcW w:w="1173" w:type="dxa"/>
            <w:shd w:val="clear" w:color="auto" w:fill="auto"/>
            <w:vAlign w:val="center"/>
          </w:tcPr>
          <w:p>
            <w:pPr>
              <w:jc w:val="center"/>
              <w:rPr>
                <w:color w:val="000000"/>
                <w:sz w:val="20"/>
                <w:szCs w:val="20"/>
              </w:rPr>
            </w:pPr>
            <w:r>
              <w:rPr>
                <w:color w:val="000000"/>
                <w:sz w:val="20"/>
                <w:szCs w:val="20"/>
              </w:rPr>
              <w:t>720</w:t>
            </w:r>
          </w:p>
        </w:tc>
        <w:tc>
          <w:tcPr>
            <w:tcW w:w="1558" w:type="dxa"/>
            <w:shd w:val="clear" w:color="auto" w:fill="auto"/>
            <w:vAlign w:val="center"/>
          </w:tcPr>
          <w:p>
            <w:pPr>
              <w:jc w:val="center"/>
              <w:rPr>
                <w:color w:val="000000"/>
                <w:sz w:val="20"/>
                <w:szCs w:val="20"/>
              </w:rPr>
            </w:pPr>
            <w:r>
              <w:rPr>
                <w:color w:val="000000"/>
                <w:sz w:val="20"/>
                <w:szCs w:val="20"/>
              </w:rPr>
              <w:t>220.294</w:t>
            </w:r>
          </w:p>
        </w:tc>
        <w:tc>
          <w:tcPr>
            <w:tcW w:w="1968" w:type="dxa"/>
            <w:shd w:val="clear" w:color="auto" w:fill="auto"/>
            <w:vAlign w:val="center"/>
          </w:tcPr>
          <w:p>
            <w:pPr>
              <w:jc w:val="center"/>
              <w:rPr>
                <w:color w:val="000000"/>
                <w:sz w:val="20"/>
                <w:szCs w:val="20"/>
              </w:rPr>
            </w:pPr>
            <w:r>
              <w:rPr>
                <w:color w:val="000000"/>
                <w:sz w:val="20"/>
                <w:szCs w:val="20"/>
              </w:rPr>
              <w:t>38114.8</w:t>
            </w:r>
          </w:p>
        </w:tc>
        <w:tc>
          <w:tcPr>
            <w:tcW w:w="1383" w:type="dxa"/>
            <w:shd w:val="clear" w:color="auto" w:fill="auto"/>
            <w:vAlign w:val="center"/>
          </w:tcPr>
          <w:p>
            <w:pPr>
              <w:jc w:val="center"/>
              <w:rPr>
                <w:color w:val="000000"/>
                <w:sz w:val="20"/>
                <w:szCs w:val="20"/>
              </w:rPr>
            </w:pPr>
            <w:r>
              <w:rPr>
                <w:color w:val="000000"/>
                <w:sz w:val="20"/>
                <w:szCs w:val="20"/>
              </w:rPr>
              <w:t>2.81</w:t>
            </w:r>
          </w:p>
        </w:tc>
        <w:tc>
          <w:tcPr>
            <w:tcW w:w="1720" w:type="dxa"/>
            <w:shd w:val="clear" w:color="auto" w:fill="auto"/>
            <w:vAlign w:val="center"/>
          </w:tcPr>
          <w:p>
            <w:pPr>
              <w:jc w:val="center"/>
              <w:rPr>
                <w:color w:val="000000"/>
                <w:sz w:val="20"/>
                <w:szCs w:val="20"/>
              </w:rPr>
            </w:pPr>
            <w:r>
              <w:rPr>
                <w:color w:val="000000"/>
                <w:sz w:val="20"/>
                <w:szCs w:val="20"/>
              </w:rPr>
              <w:t>1487.9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11</w:t>
            </w:r>
          </w:p>
        </w:tc>
        <w:tc>
          <w:tcPr>
            <w:tcW w:w="1173" w:type="dxa"/>
            <w:shd w:val="clear" w:color="auto" w:fill="auto"/>
            <w:vAlign w:val="center"/>
          </w:tcPr>
          <w:p>
            <w:pPr>
              <w:jc w:val="center"/>
              <w:rPr>
                <w:color w:val="000000"/>
                <w:sz w:val="20"/>
                <w:szCs w:val="20"/>
              </w:rPr>
            </w:pPr>
            <w:r>
              <w:rPr>
                <w:color w:val="000000"/>
                <w:sz w:val="20"/>
                <w:szCs w:val="20"/>
              </w:rPr>
              <w:t>840</w:t>
            </w:r>
          </w:p>
        </w:tc>
        <w:tc>
          <w:tcPr>
            <w:tcW w:w="1558" w:type="dxa"/>
            <w:shd w:val="clear" w:color="auto" w:fill="auto"/>
            <w:vAlign w:val="center"/>
          </w:tcPr>
          <w:p>
            <w:pPr>
              <w:jc w:val="center"/>
              <w:rPr>
                <w:color w:val="000000"/>
                <w:sz w:val="20"/>
                <w:szCs w:val="20"/>
              </w:rPr>
            </w:pPr>
            <w:r>
              <w:rPr>
                <w:color w:val="000000"/>
                <w:sz w:val="20"/>
                <w:szCs w:val="20"/>
              </w:rPr>
              <w:t>237.944</w:t>
            </w:r>
          </w:p>
        </w:tc>
        <w:tc>
          <w:tcPr>
            <w:tcW w:w="1968" w:type="dxa"/>
            <w:shd w:val="clear" w:color="auto" w:fill="auto"/>
            <w:vAlign w:val="center"/>
          </w:tcPr>
          <w:p>
            <w:pPr>
              <w:jc w:val="center"/>
              <w:rPr>
                <w:color w:val="000000"/>
                <w:sz w:val="20"/>
                <w:szCs w:val="20"/>
              </w:rPr>
            </w:pPr>
            <w:r>
              <w:rPr>
                <w:color w:val="000000"/>
                <w:sz w:val="20"/>
                <w:szCs w:val="20"/>
              </w:rPr>
              <w:t>44467.3</w:t>
            </w:r>
          </w:p>
        </w:tc>
        <w:tc>
          <w:tcPr>
            <w:tcW w:w="1383" w:type="dxa"/>
            <w:shd w:val="clear" w:color="auto" w:fill="auto"/>
            <w:vAlign w:val="center"/>
          </w:tcPr>
          <w:p>
            <w:pPr>
              <w:jc w:val="center"/>
              <w:rPr>
                <w:color w:val="000000"/>
                <w:sz w:val="20"/>
                <w:szCs w:val="20"/>
              </w:rPr>
            </w:pPr>
            <w:r>
              <w:rPr>
                <w:color w:val="000000"/>
                <w:sz w:val="20"/>
                <w:szCs w:val="20"/>
              </w:rPr>
              <w:t>2.41</w:t>
            </w:r>
          </w:p>
        </w:tc>
        <w:tc>
          <w:tcPr>
            <w:tcW w:w="1720" w:type="dxa"/>
            <w:shd w:val="clear" w:color="auto" w:fill="auto"/>
            <w:vAlign w:val="center"/>
          </w:tcPr>
          <w:p>
            <w:pPr>
              <w:jc w:val="center"/>
              <w:rPr>
                <w:color w:val="000000"/>
                <w:sz w:val="20"/>
                <w:szCs w:val="20"/>
              </w:rPr>
            </w:pPr>
            <w:r>
              <w:rPr>
                <w:color w:val="000000"/>
                <w:sz w:val="20"/>
                <w:szCs w:val="20"/>
              </w:rPr>
              <w:t>1735.9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12</w:t>
            </w:r>
          </w:p>
        </w:tc>
        <w:tc>
          <w:tcPr>
            <w:tcW w:w="1173" w:type="dxa"/>
            <w:shd w:val="clear" w:color="auto" w:fill="auto"/>
            <w:vAlign w:val="center"/>
          </w:tcPr>
          <w:p>
            <w:pPr>
              <w:jc w:val="center"/>
              <w:rPr>
                <w:color w:val="000000"/>
                <w:sz w:val="20"/>
                <w:szCs w:val="20"/>
              </w:rPr>
            </w:pPr>
            <w:r>
              <w:rPr>
                <w:color w:val="000000"/>
                <w:sz w:val="20"/>
                <w:szCs w:val="20"/>
              </w:rPr>
              <w:t>900</w:t>
            </w:r>
          </w:p>
        </w:tc>
        <w:tc>
          <w:tcPr>
            <w:tcW w:w="1558" w:type="dxa"/>
            <w:shd w:val="clear" w:color="auto" w:fill="auto"/>
            <w:vAlign w:val="center"/>
          </w:tcPr>
          <w:p>
            <w:pPr>
              <w:jc w:val="center"/>
              <w:rPr>
                <w:color w:val="000000"/>
                <w:sz w:val="20"/>
                <w:szCs w:val="20"/>
              </w:rPr>
            </w:pPr>
            <w:r>
              <w:rPr>
                <w:color w:val="000000"/>
                <w:sz w:val="20"/>
                <w:szCs w:val="20"/>
              </w:rPr>
              <w:t>246.296</w:t>
            </w:r>
          </w:p>
        </w:tc>
        <w:tc>
          <w:tcPr>
            <w:tcW w:w="1968" w:type="dxa"/>
            <w:shd w:val="clear" w:color="auto" w:fill="auto"/>
            <w:vAlign w:val="center"/>
          </w:tcPr>
          <w:p>
            <w:pPr>
              <w:jc w:val="center"/>
              <w:rPr>
                <w:color w:val="000000"/>
                <w:sz w:val="20"/>
                <w:szCs w:val="20"/>
              </w:rPr>
            </w:pPr>
            <w:r>
              <w:rPr>
                <w:color w:val="000000"/>
                <w:sz w:val="20"/>
                <w:szCs w:val="20"/>
              </w:rPr>
              <w:t>47643.5</w:t>
            </w:r>
          </w:p>
        </w:tc>
        <w:tc>
          <w:tcPr>
            <w:tcW w:w="1383" w:type="dxa"/>
            <w:shd w:val="clear" w:color="auto" w:fill="auto"/>
            <w:vAlign w:val="center"/>
          </w:tcPr>
          <w:p>
            <w:pPr>
              <w:jc w:val="center"/>
              <w:rPr>
                <w:color w:val="000000"/>
                <w:sz w:val="20"/>
                <w:szCs w:val="20"/>
              </w:rPr>
            </w:pPr>
            <w:r>
              <w:rPr>
                <w:color w:val="000000"/>
                <w:sz w:val="20"/>
                <w:szCs w:val="20"/>
              </w:rPr>
              <w:t>2.25</w:t>
            </w:r>
          </w:p>
        </w:tc>
        <w:tc>
          <w:tcPr>
            <w:tcW w:w="1720" w:type="dxa"/>
            <w:shd w:val="clear" w:color="auto" w:fill="auto"/>
            <w:vAlign w:val="center"/>
          </w:tcPr>
          <w:p>
            <w:pPr>
              <w:jc w:val="center"/>
              <w:rPr>
                <w:color w:val="000000"/>
                <w:sz w:val="20"/>
                <w:szCs w:val="20"/>
              </w:rPr>
            </w:pPr>
            <w:r>
              <w:rPr>
                <w:color w:val="000000"/>
                <w:sz w:val="20"/>
                <w:szCs w:val="20"/>
              </w:rPr>
              <w:t>1859.9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13</w:t>
            </w:r>
          </w:p>
        </w:tc>
        <w:tc>
          <w:tcPr>
            <w:tcW w:w="1173" w:type="dxa"/>
            <w:shd w:val="clear" w:color="auto" w:fill="auto"/>
            <w:vAlign w:val="center"/>
          </w:tcPr>
          <w:p>
            <w:pPr>
              <w:jc w:val="center"/>
              <w:rPr>
                <w:color w:val="000000"/>
                <w:sz w:val="20"/>
                <w:szCs w:val="20"/>
              </w:rPr>
            </w:pPr>
            <w:r>
              <w:rPr>
                <w:color w:val="000000"/>
                <w:sz w:val="20"/>
                <w:szCs w:val="20"/>
              </w:rPr>
              <w:t>1036</w:t>
            </w:r>
          </w:p>
        </w:tc>
        <w:tc>
          <w:tcPr>
            <w:tcW w:w="1558" w:type="dxa"/>
            <w:shd w:val="clear" w:color="auto" w:fill="auto"/>
            <w:vAlign w:val="center"/>
          </w:tcPr>
          <w:p>
            <w:pPr>
              <w:jc w:val="center"/>
              <w:rPr>
                <w:color w:val="000000"/>
                <w:sz w:val="20"/>
                <w:szCs w:val="20"/>
              </w:rPr>
            </w:pPr>
            <w:r>
              <w:rPr>
                <w:color w:val="000000"/>
                <w:sz w:val="20"/>
                <w:szCs w:val="20"/>
              </w:rPr>
              <w:t>264.250</w:t>
            </w:r>
          </w:p>
        </w:tc>
        <w:tc>
          <w:tcPr>
            <w:tcW w:w="1968" w:type="dxa"/>
            <w:shd w:val="clear" w:color="auto" w:fill="auto"/>
            <w:vAlign w:val="center"/>
          </w:tcPr>
          <w:p>
            <w:pPr>
              <w:jc w:val="center"/>
              <w:rPr>
                <w:color w:val="000000"/>
                <w:sz w:val="20"/>
                <w:szCs w:val="20"/>
              </w:rPr>
            </w:pPr>
            <w:r>
              <w:rPr>
                <w:color w:val="000000"/>
                <w:sz w:val="20"/>
                <w:szCs w:val="20"/>
              </w:rPr>
              <w:t>54843.0</w:t>
            </w:r>
          </w:p>
        </w:tc>
        <w:tc>
          <w:tcPr>
            <w:tcW w:w="1383" w:type="dxa"/>
            <w:shd w:val="clear" w:color="auto" w:fill="auto"/>
            <w:vAlign w:val="center"/>
          </w:tcPr>
          <w:p>
            <w:pPr>
              <w:jc w:val="center"/>
              <w:rPr>
                <w:color w:val="000000"/>
                <w:sz w:val="20"/>
                <w:szCs w:val="20"/>
              </w:rPr>
            </w:pPr>
            <w:r>
              <w:rPr>
                <w:color w:val="000000"/>
                <w:sz w:val="20"/>
                <w:szCs w:val="20"/>
              </w:rPr>
              <w:t>1.95</w:t>
            </w:r>
          </w:p>
        </w:tc>
        <w:tc>
          <w:tcPr>
            <w:tcW w:w="1720" w:type="dxa"/>
            <w:shd w:val="clear" w:color="auto" w:fill="auto"/>
            <w:vAlign w:val="center"/>
          </w:tcPr>
          <w:p>
            <w:pPr>
              <w:jc w:val="center"/>
              <w:rPr>
                <w:color w:val="000000"/>
                <w:sz w:val="20"/>
                <w:szCs w:val="20"/>
              </w:rPr>
            </w:pPr>
            <w:r>
              <w:rPr>
                <w:color w:val="000000"/>
                <w:sz w:val="20"/>
                <w:szCs w:val="20"/>
              </w:rPr>
              <w:t>2140.9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14</w:t>
            </w:r>
          </w:p>
        </w:tc>
        <w:tc>
          <w:tcPr>
            <w:tcW w:w="1173" w:type="dxa"/>
            <w:shd w:val="clear" w:color="auto" w:fill="auto"/>
            <w:vAlign w:val="center"/>
          </w:tcPr>
          <w:p>
            <w:pPr>
              <w:jc w:val="center"/>
              <w:rPr>
                <w:color w:val="000000"/>
                <w:sz w:val="20"/>
                <w:szCs w:val="20"/>
              </w:rPr>
            </w:pPr>
            <w:r>
              <w:rPr>
                <w:color w:val="000000"/>
                <w:sz w:val="20"/>
                <w:szCs w:val="20"/>
              </w:rPr>
              <w:t>1200</w:t>
            </w:r>
          </w:p>
        </w:tc>
        <w:tc>
          <w:tcPr>
            <w:tcW w:w="1558" w:type="dxa"/>
            <w:shd w:val="clear" w:color="auto" w:fill="auto"/>
            <w:vAlign w:val="center"/>
          </w:tcPr>
          <w:p>
            <w:pPr>
              <w:jc w:val="center"/>
              <w:rPr>
                <w:color w:val="000000"/>
                <w:sz w:val="20"/>
                <w:szCs w:val="20"/>
              </w:rPr>
            </w:pPr>
            <w:r>
              <w:rPr>
                <w:color w:val="000000"/>
                <w:sz w:val="20"/>
                <w:szCs w:val="20"/>
              </w:rPr>
              <w:t>274.152</w:t>
            </w:r>
          </w:p>
        </w:tc>
        <w:tc>
          <w:tcPr>
            <w:tcW w:w="1968" w:type="dxa"/>
            <w:shd w:val="clear" w:color="auto" w:fill="auto"/>
            <w:vAlign w:val="center"/>
          </w:tcPr>
          <w:p>
            <w:pPr>
              <w:jc w:val="center"/>
              <w:rPr>
                <w:color w:val="000000"/>
                <w:sz w:val="20"/>
                <w:szCs w:val="20"/>
              </w:rPr>
            </w:pPr>
            <w:r>
              <w:rPr>
                <w:color w:val="000000"/>
                <w:sz w:val="20"/>
                <w:szCs w:val="20"/>
              </w:rPr>
              <w:t>59030.1</w:t>
            </w:r>
          </w:p>
        </w:tc>
        <w:tc>
          <w:tcPr>
            <w:tcW w:w="1383" w:type="dxa"/>
            <w:shd w:val="clear" w:color="auto" w:fill="auto"/>
            <w:vAlign w:val="center"/>
          </w:tcPr>
          <w:p>
            <w:pPr>
              <w:jc w:val="center"/>
              <w:rPr>
                <w:color w:val="000000"/>
                <w:sz w:val="20"/>
                <w:szCs w:val="20"/>
              </w:rPr>
            </w:pPr>
            <w:r>
              <w:rPr>
                <w:color w:val="000000"/>
                <w:sz w:val="20"/>
                <w:szCs w:val="20"/>
              </w:rPr>
              <w:t>1.82</w:t>
            </w:r>
          </w:p>
        </w:tc>
        <w:tc>
          <w:tcPr>
            <w:tcW w:w="1720" w:type="dxa"/>
            <w:shd w:val="clear" w:color="auto" w:fill="auto"/>
            <w:vAlign w:val="center"/>
          </w:tcPr>
          <w:p>
            <w:pPr>
              <w:jc w:val="center"/>
              <w:rPr>
                <w:color w:val="000000"/>
                <w:sz w:val="20"/>
                <w:szCs w:val="20"/>
              </w:rPr>
            </w:pPr>
            <w:r>
              <w:rPr>
                <w:color w:val="000000"/>
                <w:sz w:val="20"/>
                <w:szCs w:val="20"/>
              </w:rPr>
              <w:t>2479.8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15</w:t>
            </w:r>
          </w:p>
        </w:tc>
        <w:tc>
          <w:tcPr>
            <w:tcW w:w="1173" w:type="dxa"/>
            <w:shd w:val="clear" w:color="auto" w:fill="auto"/>
            <w:vAlign w:val="center"/>
          </w:tcPr>
          <w:p>
            <w:pPr>
              <w:jc w:val="center"/>
              <w:rPr>
                <w:color w:val="000000"/>
                <w:sz w:val="20"/>
                <w:szCs w:val="20"/>
              </w:rPr>
            </w:pPr>
            <w:r>
              <w:rPr>
                <w:color w:val="000000"/>
                <w:sz w:val="20"/>
                <w:szCs w:val="20"/>
              </w:rPr>
              <w:t>1800</w:t>
            </w:r>
          </w:p>
        </w:tc>
        <w:tc>
          <w:tcPr>
            <w:tcW w:w="1558" w:type="dxa"/>
            <w:shd w:val="clear" w:color="auto" w:fill="auto"/>
            <w:vAlign w:val="center"/>
          </w:tcPr>
          <w:p>
            <w:pPr>
              <w:jc w:val="center"/>
              <w:rPr>
                <w:color w:val="000000"/>
                <w:sz w:val="20"/>
                <w:szCs w:val="20"/>
              </w:rPr>
            </w:pPr>
            <w:r>
              <w:rPr>
                <w:color w:val="000000"/>
                <w:sz w:val="20"/>
                <w:szCs w:val="20"/>
              </w:rPr>
              <w:t>303.399</w:t>
            </w:r>
          </w:p>
        </w:tc>
        <w:tc>
          <w:tcPr>
            <w:tcW w:w="1968" w:type="dxa"/>
            <w:shd w:val="clear" w:color="auto" w:fill="auto"/>
            <w:vAlign w:val="center"/>
          </w:tcPr>
          <w:p>
            <w:pPr>
              <w:jc w:val="center"/>
              <w:rPr>
                <w:color w:val="000000"/>
                <w:sz w:val="20"/>
                <w:szCs w:val="20"/>
              </w:rPr>
            </w:pPr>
            <w:r>
              <w:rPr>
                <w:color w:val="000000"/>
                <w:sz w:val="20"/>
                <w:szCs w:val="20"/>
              </w:rPr>
              <w:t>72296.9</w:t>
            </w:r>
          </w:p>
        </w:tc>
        <w:tc>
          <w:tcPr>
            <w:tcW w:w="1383" w:type="dxa"/>
            <w:shd w:val="clear" w:color="auto" w:fill="auto"/>
            <w:vAlign w:val="center"/>
          </w:tcPr>
          <w:p>
            <w:pPr>
              <w:jc w:val="center"/>
              <w:rPr>
                <w:color w:val="000000"/>
                <w:sz w:val="20"/>
                <w:szCs w:val="20"/>
              </w:rPr>
            </w:pPr>
            <w:r>
              <w:rPr>
                <w:color w:val="000000"/>
                <w:sz w:val="20"/>
                <w:szCs w:val="20"/>
              </w:rPr>
              <w:t>1.48</w:t>
            </w:r>
          </w:p>
        </w:tc>
        <w:tc>
          <w:tcPr>
            <w:tcW w:w="1720" w:type="dxa"/>
            <w:shd w:val="clear" w:color="auto" w:fill="auto"/>
            <w:vAlign w:val="center"/>
          </w:tcPr>
          <w:p>
            <w:pPr>
              <w:jc w:val="center"/>
              <w:rPr>
                <w:color w:val="000000"/>
                <w:sz w:val="20"/>
                <w:szCs w:val="20"/>
              </w:rPr>
            </w:pPr>
            <w:r>
              <w:rPr>
                <w:color w:val="000000"/>
                <w:sz w:val="20"/>
                <w:szCs w:val="20"/>
              </w:rPr>
              <w:t>3719.7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16</w:t>
            </w:r>
          </w:p>
        </w:tc>
        <w:tc>
          <w:tcPr>
            <w:tcW w:w="1173" w:type="dxa"/>
            <w:shd w:val="clear" w:color="auto" w:fill="auto"/>
            <w:vAlign w:val="center"/>
          </w:tcPr>
          <w:p>
            <w:pPr>
              <w:jc w:val="center"/>
              <w:rPr>
                <w:color w:val="000000"/>
                <w:sz w:val="20"/>
                <w:szCs w:val="20"/>
              </w:rPr>
            </w:pPr>
            <w:r>
              <w:rPr>
                <w:color w:val="000000"/>
                <w:sz w:val="20"/>
                <w:szCs w:val="20"/>
              </w:rPr>
              <w:t>1840</w:t>
            </w:r>
          </w:p>
        </w:tc>
        <w:tc>
          <w:tcPr>
            <w:tcW w:w="1558" w:type="dxa"/>
            <w:shd w:val="clear" w:color="auto" w:fill="auto"/>
            <w:vAlign w:val="center"/>
          </w:tcPr>
          <w:p>
            <w:pPr>
              <w:jc w:val="center"/>
              <w:rPr>
                <w:color w:val="000000"/>
                <w:sz w:val="20"/>
                <w:szCs w:val="20"/>
              </w:rPr>
            </w:pPr>
            <w:r>
              <w:rPr>
                <w:color w:val="000000"/>
                <w:sz w:val="20"/>
                <w:szCs w:val="20"/>
              </w:rPr>
              <w:t>305.071</w:t>
            </w:r>
          </w:p>
        </w:tc>
        <w:tc>
          <w:tcPr>
            <w:tcW w:w="1968" w:type="dxa"/>
            <w:shd w:val="clear" w:color="auto" w:fill="auto"/>
            <w:vAlign w:val="center"/>
          </w:tcPr>
          <w:p>
            <w:pPr>
              <w:jc w:val="center"/>
              <w:rPr>
                <w:color w:val="000000"/>
                <w:sz w:val="20"/>
                <w:szCs w:val="20"/>
              </w:rPr>
            </w:pPr>
            <w:r>
              <w:rPr>
                <w:color w:val="000000"/>
                <w:sz w:val="20"/>
                <w:szCs w:val="20"/>
              </w:rPr>
              <w:t>73095.7</w:t>
            </w:r>
          </w:p>
        </w:tc>
        <w:tc>
          <w:tcPr>
            <w:tcW w:w="1383" w:type="dxa"/>
            <w:shd w:val="clear" w:color="auto" w:fill="auto"/>
            <w:vAlign w:val="center"/>
          </w:tcPr>
          <w:p>
            <w:pPr>
              <w:jc w:val="center"/>
              <w:rPr>
                <w:color w:val="000000"/>
                <w:sz w:val="20"/>
                <w:szCs w:val="20"/>
              </w:rPr>
            </w:pPr>
            <w:r>
              <w:rPr>
                <w:color w:val="000000"/>
                <w:sz w:val="20"/>
                <w:szCs w:val="20"/>
              </w:rPr>
              <w:t>1.47</w:t>
            </w:r>
          </w:p>
        </w:tc>
        <w:tc>
          <w:tcPr>
            <w:tcW w:w="1720" w:type="dxa"/>
            <w:shd w:val="clear" w:color="auto" w:fill="auto"/>
            <w:vAlign w:val="center"/>
          </w:tcPr>
          <w:p>
            <w:pPr>
              <w:jc w:val="center"/>
              <w:rPr>
                <w:color w:val="000000"/>
                <w:sz w:val="20"/>
                <w:szCs w:val="20"/>
              </w:rPr>
            </w:pPr>
            <w:r>
              <w:rPr>
                <w:color w:val="000000"/>
                <w:sz w:val="20"/>
                <w:szCs w:val="20"/>
              </w:rPr>
              <w:t>3802.4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17</w:t>
            </w:r>
          </w:p>
        </w:tc>
        <w:tc>
          <w:tcPr>
            <w:tcW w:w="1173" w:type="dxa"/>
            <w:shd w:val="clear" w:color="auto" w:fill="auto"/>
            <w:vAlign w:val="center"/>
          </w:tcPr>
          <w:p>
            <w:pPr>
              <w:jc w:val="center"/>
              <w:rPr>
                <w:color w:val="000000"/>
                <w:sz w:val="20"/>
                <w:szCs w:val="20"/>
              </w:rPr>
            </w:pPr>
            <w:r>
              <w:rPr>
                <w:color w:val="000000"/>
                <w:sz w:val="20"/>
                <w:szCs w:val="20"/>
              </w:rPr>
              <w:t>3000</w:t>
            </w:r>
          </w:p>
        </w:tc>
        <w:tc>
          <w:tcPr>
            <w:tcW w:w="1558" w:type="dxa"/>
            <w:shd w:val="clear" w:color="auto" w:fill="auto"/>
            <w:vAlign w:val="center"/>
          </w:tcPr>
          <w:p>
            <w:pPr>
              <w:jc w:val="center"/>
              <w:rPr>
                <w:color w:val="000000"/>
                <w:sz w:val="20"/>
                <w:szCs w:val="20"/>
              </w:rPr>
            </w:pPr>
            <w:r>
              <w:rPr>
                <w:color w:val="000000"/>
                <w:sz w:val="20"/>
                <w:szCs w:val="20"/>
              </w:rPr>
              <w:t>344.728</w:t>
            </w:r>
          </w:p>
        </w:tc>
        <w:tc>
          <w:tcPr>
            <w:tcW w:w="1968" w:type="dxa"/>
            <w:shd w:val="clear" w:color="auto" w:fill="auto"/>
            <w:vAlign w:val="center"/>
          </w:tcPr>
          <w:p>
            <w:pPr>
              <w:jc w:val="center"/>
              <w:rPr>
                <w:color w:val="000000"/>
                <w:sz w:val="20"/>
                <w:szCs w:val="20"/>
              </w:rPr>
            </w:pPr>
            <w:r>
              <w:rPr>
                <w:color w:val="000000"/>
                <w:sz w:val="20"/>
                <w:szCs w:val="20"/>
              </w:rPr>
              <w:t>93334.8</w:t>
            </w:r>
          </w:p>
        </w:tc>
        <w:tc>
          <w:tcPr>
            <w:tcW w:w="1383" w:type="dxa"/>
            <w:shd w:val="clear" w:color="auto" w:fill="auto"/>
            <w:vAlign w:val="center"/>
          </w:tcPr>
          <w:p>
            <w:pPr>
              <w:jc w:val="center"/>
              <w:rPr>
                <w:color w:val="000000"/>
                <w:sz w:val="20"/>
                <w:szCs w:val="20"/>
              </w:rPr>
            </w:pPr>
            <w:r>
              <w:rPr>
                <w:color w:val="000000"/>
                <w:sz w:val="20"/>
                <w:szCs w:val="20"/>
              </w:rPr>
              <w:t>1.15</w:t>
            </w:r>
          </w:p>
        </w:tc>
        <w:tc>
          <w:tcPr>
            <w:tcW w:w="1720" w:type="dxa"/>
            <w:shd w:val="clear" w:color="auto" w:fill="auto"/>
            <w:vAlign w:val="center"/>
          </w:tcPr>
          <w:p>
            <w:pPr>
              <w:jc w:val="center"/>
              <w:rPr>
                <w:color w:val="000000"/>
                <w:sz w:val="20"/>
                <w:szCs w:val="20"/>
              </w:rPr>
            </w:pPr>
            <w:r>
              <w:rPr>
                <w:color w:val="000000"/>
                <w:sz w:val="20"/>
                <w:szCs w:val="20"/>
              </w:rPr>
              <w:t>6199.5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18</w:t>
            </w:r>
          </w:p>
        </w:tc>
        <w:tc>
          <w:tcPr>
            <w:tcW w:w="1173" w:type="dxa"/>
            <w:shd w:val="clear" w:color="auto" w:fill="auto"/>
            <w:vAlign w:val="center"/>
          </w:tcPr>
          <w:p>
            <w:pPr>
              <w:jc w:val="center"/>
              <w:rPr>
                <w:color w:val="000000"/>
                <w:sz w:val="20"/>
                <w:szCs w:val="20"/>
              </w:rPr>
            </w:pPr>
            <w:r>
              <w:rPr>
                <w:color w:val="000000"/>
                <w:sz w:val="20"/>
                <w:szCs w:val="20"/>
              </w:rPr>
              <w:t>3600</w:t>
            </w:r>
          </w:p>
        </w:tc>
        <w:tc>
          <w:tcPr>
            <w:tcW w:w="1558" w:type="dxa"/>
            <w:shd w:val="clear" w:color="auto" w:fill="auto"/>
            <w:vAlign w:val="center"/>
          </w:tcPr>
          <w:p>
            <w:pPr>
              <w:jc w:val="center"/>
              <w:rPr>
                <w:color w:val="000000"/>
                <w:sz w:val="20"/>
                <w:szCs w:val="20"/>
              </w:rPr>
            </w:pPr>
            <w:r>
              <w:rPr>
                <w:color w:val="000000"/>
                <w:sz w:val="20"/>
                <w:szCs w:val="20"/>
              </w:rPr>
              <w:t>360.805</w:t>
            </w:r>
          </w:p>
        </w:tc>
        <w:tc>
          <w:tcPr>
            <w:tcW w:w="1968" w:type="dxa"/>
            <w:shd w:val="clear" w:color="auto" w:fill="auto"/>
            <w:vAlign w:val="center"/>
          </w:tcPr>
          <w:p>
            <w:pPr>
              <w:jc w:val="center"/>
              <w:rPr>
                <w:color w:val="000000"/>
                <w:sz w:val="20"/>
                <w:szCs w:val="20"/>
              </w:rPr>
            </w:pPr>
            <w:r>
              <w:rPr>
                <w:color w:val="000000"/>
                <w:sz w:val="20"/>
                <w:szCs w:val="20"/>
              </w:rPr>
              <w:t>102243.2</w:t>
            </w:r>
          </w:p>
        </w:tc>
        <w:tc>
          <w:tcPr>
            <w:tcW w:w="1383" w:type="dxa"/>
            <w:shd w:val="clear" w:color="auto" w:fill="auto"/>
            <w:vAlign w:val="center"/>
          </w:tcPr>
          <w:p>
            <w:pPr>
              <w:jc w:val="center"/>
              <w:rPr>
                <w:color w:val="000000"/>
                <w:sz w:val="20"/>
                <w:szCs w:val="20"/>
              </w:rPr>
            </w:pPr>
            <w:r>
              <w:rPr>
                <w:color w:val="000000"/>
                <w:sz w:val="20"/>
                <w:szCs w:val="20"/>
              </w:rPr>
              <w:t>1.05</w:t>
            </w:r>
          </w:p>
        </w:tc>
        <w:tc>
          <w:tcPr>
            <w:tcW w:w="1720" w:type="dxa"/>
            <w:shd w:val="clear" w:color="auto" w:fill="auto"/>
            <w:vAlign w:val="center"/>
          </w:tcPr>
          <w:p>
            <w:pPr>
              <w:jc w:val="center"/>
              <w:rPr>
                <w:color w:val="000000"/>
                <w:sz w:val="20"/>
                <w:szCs w:val="20"/>
              </w:rPr>
            </w:pPr>
            <w:r>
              <w:rPr>
                <w:color w:val="000000"/>
                <w:sz w:val="20"/>
                <w:szCs w:val="20"/>
              </w:rPr>
              <w:t>7439.4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19</w:t>
            </w:r>
          </w:p>
        </w:tc>
        <w:tc>
          <w:tcPr>
            <w:tcW w:w="1173" w:type="dxa"/>
            <w:shd w:val="clear" w:color="auto" w:fill="auto"/>
            <w:vAlign w:val="center"/>
          </w:tcPr>
          <w:p>
            <w:pPr>
              <w:jc w:val="center"/>
              <w:rPr>
                <w:color w:val="000000"/>
                <w:sz w:val="20"/>
                <w:szCs w:val="20"/>
              </w:rPr>
            </w:pPr>
            <w:r>
              <w:rPr>
                <w:color w:val="000000"/>
                <w:sz w:val="20"/>
                <w:szCs w:val="20"/>
              </w:rPr>
              <w:t>4200</w:t>
            </w:r>
          </w:p>
        </w:tc>
        <w:tc>
          <w:tcPr>
            <w:tcW w:w="1558" w:type="dxa"/>
            <w:shd w:val="clear" w:color="auto" w:fill="auto"/>
            <w:vAlign w:val="center"/>
          </w:tcPr>
          <w:p>
            <w:pPr>
              <w:jc w:val="center"/>
              <w:rPr>
                <w:color w:val="000000"/>
                <w:sz w:val="20"/>
                <w:szCs w:val="20"/>
              </w:rPr>
            </w:pPr>
            <w:r>
              <w:rPr>
                <w:color w:val="000000"/>
                <w:sz w:val="20"/>
                <w:szCs w:val="20"/>
              </w:rPr>
              <w:t>374.981</w:t>
            </w:r>
          </w:p>
        </w:tc>
        <w:tc>
          <w:tcPr>
            <w:tcW w:w="1968" w:type="dxa"/>
            <w:shd w:val="clear" w:color="auto" w:fill="auto"/>
            <w:vAlign w:val="center"/>
          </w:tcPr>
          <w:p>
            <w:pPr>
              <w:jc w:val="center"/>
              <w:rPr>
                <w:color w:val="000000"/>
                <w:sz w:val="20"/>
                <w:szCs w:val="20"/>
              </w:rPr>
            </w:pPr>
            <w:r>
              <w:rPr>
                <w:color w:val="000000"/>
                <w:sz w:val="20"/>
                <w:szCs w:val="20"/>
              </w:rPr>
              <w:t>110435.3</w:t>
            </w:r>
          </w:p>
        </w:tc>
        <w:tc>
          <w:tcPr>
            <w:tcW w:w="1383" w:type="dxa"/>
            <w:shd w:val="clear" w:color="auto" w:fill="auto"/>
            <w:vAlign w:val="center"/>
          </w:tcPr>
          <w:p>
            <w:pPr>
              <w:jc w:val="center"/>
              <w:rPr>
                <w:color w:val="000000"/>
                <w:sz w:val="20"/>
                <w:szCs w:val="20"/>
              </w:rPr>
            </w:pPr>
            <w:r>
              <w:rPr>
                <w:color w:val="000000"/>
                <w:sz w:val="20"/>
                <w:szCs w:val="20"/>
              </w:rPr>
              <w:t>0.97</w:t>
            </w:r>
          </w:p>
        </w:tc>
        <w:tc>
          <w:tcPr>
            <w:tcW w:w="1720" w:type="dxa"/>
            <w:shd w:val="clear" w:color="auto" w:fill="auto"/>
            <w:vAlign w:val="center"/>
          </w:tcPr>
          <w:p>
            <w:pPr>
              <w:jc w:val="center"/>
              <w:rPr>
                <w:color w:val="000000"/>
                <w:sz w:val="20"/>
                <w:szCs w:val="20"/>
              </w:rPr>
            </w:pPr>
            <w:r>
              <w:rPr>
                <w:color w:val="000000"/>
                <w:sz w:val="20"/>
                <w:szCs w:val="20"/>
              </w:rPr>
              <w:t>8679.3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20</w:t>
            </w:r>
          </w:p>
        </w:tc>
        <w:tc>
          <w:tcPr>
            <w:tcW w:w="1173" w:type="dxa"/>
            <w:shd w:val="clear" w:color="auto" w:fill="auto"/>
            <w:vAlign w:val="center"/>
          </w:tcPr>
          <w:p>
            <w:pPr>
              <w:jc w:val="center"/>
              <w:rPr>
                <w:color w:val="000000"/>
                <w:sz w:val="20"/>
                <w:szCs w:val="20"/>
              </w:rPr>
            </w:pPr>
            <w:r>
              <w:rPr>
                <w:color w:val="000000"/>
                <w:sz w:val="20"/>
                <w:szCs w:val="20"/>
              </w:rPr>
              <w:t>4800</w:t>
            </w:r>
          </w:p>
        </w:tc>
        <w:tc>
          <w:tcPr>
            <w:tcW w:w="1558" w:type="dxa"/>
            <w:shd w:val="clear" w:color="auto" w:fill="auto"/>
            <w:vAlign w:val="center"/>
          </w:tcPr>
          <w:p>
            <w:pPr>
              <w:jc w:val="center"/>
              <w:rPr>
                <w:color w:val="000000"/>
                <w:sz w:val="20"/>
                <w:szCs w:val="20"/>
              </w:rPr>
            </w:pPr>
            <w:r>
              <w:rPr>
                <w:color w:val="000000"/>
                <w:sz w:val="20"/>
                <w:szCs w:val="20"/>
              </w:rPr>
              <w:t>387.710</w:t>
            </w:r>
          </w:p>
        </w:tc>
        <w:tc>
          <w:tcPr>
            <w:tcW w:w="1968" w:type="dxa"/>
            <w:shd w:val="clear" w:color="auto" w:fill="auto"/>
            <w:vAlign w:val="center"/>
          </w:tcPr>
          <w:p>
            <w:pPr>
              <w:jc w:val="center"/>
              <w:rPr>
                <w:color w:val="000000"/>
                <w:sz w:val="20"/>
                <w:szCs w:val="20"/>
              </w:rPr>
            </w:pPr>
            <w:r>
              <w:rPr>
                <w:color w:val="000000"/>
                <w:sz w:val="20"/>
                <w:szCs w:val="20"/>
              </w:rPr>
              <w:t>118060.3</w:t>
            </w:r>
          </w:p>
        </w:tc>
        <w:tc>
          <w:tcPr>
            <w:tcW w:w="1383" w:type="dxa"/>
            <w:shd w:val="clear" w:color="auto" w:fill="auto"/>
            <w:vAlign w:val="center"/>
          </w:tcPr>
          <w:p>
            <w:pPr>
              <w:jc w:val="center"/>
              <w:rPr>
                <w:color w:val="000000"/>
                <w:sz w:val="20"/>
                <w:szCs w:val="20"/>
              </w:rPr>
            </w:pPr>
            <w:r>
              <w:rPr>
                <w:color w:val="000000"/>
                <w:sz w:val="20"/>
                <w:szCs w:val="20"/>
              </w:rPr>
              <w:t>0.91</w:t>
            </w:r>
          </w:p>
        </w:tc>
        <w:tc>
          <w:tcPr>
            <w:tcW w:w="1720" w:type="dxa"/>
            <w:shd w:val="clear" w:color="auto" w:fill="auto"/>
            <w:vAlign w:val="center"/>
          </w:tcPr>
          <w:p>
            <w:pPr>
              <w:jc w:val="center"/>
              <w:rPr>
                <w:color w:val="000000"/>
                <w:sz w:val="20"/>
                <w:szCs w:val="20"/>
              </w:rPr>
            </w:pPr>
            <w:r>
              <w:rPr>
                <w:color w:val="000000"/>
                <w:sz w:val="20"/>
                <w:szCs w:val="20"/>
              </w:rPr>
              <w:t>9919.2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21</w:t>
            </w:r>
          </w:p>
        </w:tc>
        <w:tc>
          <w:tcPr>
            <w:tcW w:w="1173" w:type="dxa"/>
            <w:shd w:val="clear" w:color="auto" w:fill="auto"/>
            <w:vAlign w:val="center"/>
          </w:tcPr>
          <w:p>
            <w:pPr>
              <w:jc w:val="center"/>
              <w:rPr>
                <w:color w:val="000000"/>
                <w:sz w:val="20"/>
                <w:szCs w:val="20"/>
              </w:rPr>
            </w:pPr>
            <w:r>
              <w:rPr>
                <w:color w:val="000000"/>
                <w:sz w:val="20"/>
                <w:szCs w:val="20"/>
              </w:rPr>
              <w:t>5400</w:t>
            </w:r>
          </w:p>
        </w:tc>
        <w:tc>
          <w:tcPr>
            <w:tcW w:w="1558" w:type="dxa"/>
            <w:shd w:val="clear" w:color="auto" w:fill="auto"/>
            <w:vAlign w:val="center"/>
          </w:tcPr>
          <w:p>
            <w:pPr>
              <w:jc w:val="center"/>
              <w:rPr>
                <w:color w:val="000000"/>
                <w:sz w:val="20"/>
                <w:szCs w:val="20"/>
              </w:rPr>
            </w:pPr>
            <w:r>
              <w:rPr>
                <w:color w:val="000000"/>
                <w:sz w:val="20"/>
                <w:szCs w:val="20"/>
              </w:rPr>
              <w:t>399.296</w:t>
            </w:r>
          </w:p>
        </w:tc>
        <w:tc>
          <w:tcPr>
            <w:tcW w:w="1968" w:type="dxa"/>
            <w:shd w:val="clear" w:color="auto" w:fill="auto"/>
            <w:vAlign w:val="center"/>
          </w:tcPr>
          <w:p>
            <w:pPr>
              <w:jc w:val="center"/>
              <w:rPr>
                <w:color w:val="000000"/>
                <w:sz w:val="20"/>
                <w:szCs w:val="20"/>
              </w:rPr>
            </w:pPr>
            <w:r>
              <w:rPr>
                <w:color w:val="000000"/>
                <w:sz w:val="20"/>
                <w:szCs w:val="20"/>
              </w:rPr>
              <w:t>125221.8</w:t>
            </w:r>
          </w:p>
        </w:tc>
        <w:tc>
          <w:tcPr>
            <w:tcW w:w="1383" w:type="dxa"/>
            <w:shd w:val="clear" w:color="auto" w:fill="auto"/>
            <w:vAlign w:val="center"/>
          </w:tcPr>
          <w:p>
            <w:pPr>
              <w:jc w:val="center"/>
              <w:rPr>
                <w:color w:val="000000"/>
                <w:sz w:val="20"/>
                <w:szCs w:val="20"/>
              </w:rPr>
            </w:pPr>
            <w:r>
              <w:rPr>
                <w:color w:val="000000"/>
                <w:sz w:val="20"/>
                <w:szCs w:val="20"/>
              </w:rPr>
              <w:t>0.86</w:t>
            </w:r>
          </w:p>
        </w:tc>
        <w:tc>
          <w:tcPr>
            <w:tcW w:w="1720" w:type="dxa"/>
            <w:shd w:val="clear" w:color="auto" w:fill="auto"/>
            <w:vAlign w:val="center"/>
          </w:tcPr>
          <w:p>
            <w:pPr>
              <w:jc w:val="center"/>
              <w:rPr>
                <w:color w:val="000000"/>
                <w:sz w:val="20"/>
                <w:szCs w:val="20"/>
              </w:rPr>
            </w:pPr>
            <w:r>
              <w:rPr>
                <w:color w:val="000000"/>
                <w:sz w:val="20"/>
                <w:szCs w:val="20"/>
              </w:rPr>
              <w:t>11159.1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22</w:t>
            </w:r>
          </w:p>
        </w:tc>
        <w:tc>
          <w:tcPr>
            <w:tcW w:w="1173" w:type="dxa"/>
            <w:shd w:val="clear" w:color="auto" w:fill="auto"/>
            <w:vAlign w:val="bottom"/>
          </w:tcPr>
          <w:p>
            <w:pPr>
              <w:jc w:val="center"/>
              <w:rPr>
                <w:color w:val="000000"/>
                <w:sz w:val="20"/>
                <w:szCs w:val="20"/>
              </w:rPr>
            </w:pPr>
            <w:r>
              <w:rPr>
                <w:color w:val="000000"/>
                <w:sz w:val="20"/>
                <w:szCs w:val="20"/>
              </w:rPr>
              <w:t>6000</w:t>
            </w:r>
          </w:p>
        </w:tc>
        <w:tc>
          <w:tcPr>
            <w:tcW w:w="1558" w:type="dxa"/>
            <w:shd w:val="clear" w:color="auto" w:fill="auto"/>
            <w:vAlign w:val="bottom"/>
          </w:tcPr>
          <w:p>
            <w:pPr>
              <w:jc w:val="center"/>
              <w:rPr>
                <w:color w:val="000000"/>
                <w:sz w:val="20"/>
                <w:szCs w:val="20"/>
              </w:rPr>
            </w:pPr>
            <w:r>
              <w:rPr>
                <w:color w:val="000000"/>
                <w:sz w:val="20"/>
                <w:szCs w:val="20"/>
              </w:rPr>
              <w:t>409.953</w:t>
            </w:r>
          </w:p>
        </w:tc>
        <w:tc>
          <w:tcPr>
            <w:tcW w:w="1968" w:type="dxa"/>
            <w:shd w:val="clear" w:color="auto" w:fill="auto"/>
            <w:vAlign w:val="center"/>
          </w:tcPr>
          <w:p>
            <w:pPr>
              <w:jc w:val="center"/>
              <w:rPr>
                <w:color w:val="000000"/>
                <w:sz w:val="20"/>
                <w:szCs w:val="20"/>
              </w:rPr>
            </w:pPr>
            <w:r>
              <w:rPr>
                <w:color w:val="000000"/>
                <w:sz w:val="20"/>
                <w:szCs w:val="20"/>
              </w:rPr>
              <w:t>131995.4</w:t>
            </w:r>
          </w:p>
        </w:tc>
        <w:tc>
          <w:tcPr>
            <w:tcW w:w="1383" w:type="dxa"/>
            <w:shd w:val="clear" w:color="auto" w:fill="auto"/>
            <w:vAlign w:val="center"/>
          </w:tcPr>
          <w:p>
            <w:pPr>
              <w:jc w:val="center"/>
              <w:rPr>
                <w:color w:val="000000"/>
                <w:sz w:val="20"/>
                <w:szCs w:val="20"/>
              </w:rPr>
            </w:pPr>
            <w:r>
              <w:rPr>
                <w:color w:val="000000"/>
                <w:sz w:val="20"/>
                <w:szCs w:val="20"/>
              </w:rPr>
              <w:t>0.81</w:t>
            </w:r>
          </w:p>
        </w:tc>
        <w:tc>
          <w:tcPr>
            <w:tcW w:w="1720" w:type="dxa"/>
            <w:shd w:val="clear" w:color="auto" w:fill="auto"/>
            <w:vAlign w:val="bottom"/>
          </w:tcPr>
          <w:p>
            <w:pPr>
              <w:jc w:val="center"/>
              <w:rPr>
                <w:color w:val="000000"/>
                <w:sz w:val="20"/>
                <w:szCs w:val="20"/>
              </w:rPr>
            </w:pPr>
            <w:r>
              <w:rPr>
                <w:color w:val="000000"/>
                <w:sz w:val="20"/>
                <w:szCs w:val="20"/>
              </w:rPr>
              <w:t>12399.0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23</w:t>
            </w:r>
          </w:p>
        </w:tc>
        <w:tc>
          <w:tcPr>
            <w:tcW w:w="1173" w:type="dxa"/>
            <w:shd w:val="clear" w:color="auto" w:fill="auto"/>
            <w:vAlign w:val="bottom"/>
          </w:tcPr>
          <w:p>
            <w:pPr>
              <w:jc w:val="center"/>
              <w:rPr>
                <w:color w:val="000000"/>
                <w:sz w:val="20"/>
                <w:szCs w:val="20"/>
              </w:rPr>
            </w:pPr>
            <w:r>
              <w:rPr>
                <w:color w:val="000000"/>
                <w:sz w:val="20"/>
                <w:szCs w:val="20"/>
              </w:rPr>
              <w:t>6600</w:t>
            </w:r>
          </w:p>
        </w:tc>
        <w:tc>
          <w:tcPr>
            <w:tcW w:w="1558" w:type="dxa"/>
            <w:shd w:val="clear" w:color="auto" w:fill="auto"/>
            <w:vAlign w:val="bottom"/>
          </w:tcPr>
          <w:p>
            <w:pPr>
              <w:jc w:val="center"/>
              <w:rPr>
                <w:color w:val="000000"/>
                <w:sz w:val="20"/>
                <w:szCs w:val="20"/>
              </w:rPr>
            </w:pPr>
            <w:r>
              <w:rPr>
                <w:color w:val="000000"/>
                <w:sz w:val="20"/>
                <w:szCs w:val="20"/>
              </w:rPr>
              <w:t>419.839</w:t>
            </w:r>
          </w:p>
        </w:tc>
        <w:tc>
          <w:tcPr>
            <w:tcW w:w="1968" w:type="dxa"/>
            <w:shd w:val="clear" w:color="auto" w:fill="auto"/>
            <w:vAlign w:val="center"/>
          </w:tcPr>
          <w:p>
            <w:pPr>
              <w:jc w:val="center"/>
              <w:rPr>
                <w:color w:val="000000"/>
                <w:sz w:val="20"/>
                <w:szCs w:val="20"/>
              </w:rPr>
            </w:pPr>
            <w:r>
              <w:rPr>
                <w:color w:val="000000"/>
                <w:sz w:val="20"/>
                <w:szCs w:val="20"/>
              </w:rPr>
              <w:t>138437.9</w:t>
            </w:r>
          </w:p>
        </w:tc>
        <w:tc>
          <w:tcPr>
            <w:tcW w:w="1383" w:type="dxa"/>
            <w:shd w:val="clear" w:color="auto" w:fill="auto"/>
            <w:vAlign w:val="center"/>
          </w:tcPr>
          <w:p>
            <w:pPr>
              <w:jc w:val="center"/>
              <w:rPr>
                <w:color w:val="000000"/>
                <w:sz w:val="20"/>
                <w:szCs w:val="20"/>
              </w:rPr>
            </w:pPr>
            <w:r>
              <w:rPr>
                <w:color w:val="000000"/>
                <w:sz w:val="20"/>
                <w:szCs w:val="20"/>
              </w:rPr>
              <w:t>0.77</w:t>
            </w:r>
          </w:p>
        </w:tc>
        <w:tc>
          <w:tcPr>
            <w:tcW w:w="1720" w:type="dxa"/>
            <w:shd w:val="clear" w:color="auto" w:fill="auto"/>
            <w:vAlign w:val="bottom"/>
          </w:tcPr>
          <w:p>
            <w:pPr>
              <w:jc w:val="center"/>
              <w:rPr>
                <w:color w:val="000000"/>
                <w:sz w:val="20"/>
                <w:szCs w:val="20"/>
              </w:rPr>
            </w:pPr>
            <w:r>
              <w:rPr>
                <w:color w:val="000000"/>
                <w:sz w:val="20"/>
                <w:szCs w:val="20"/>
              </w:rPr>
              <w:t>13638.9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24</w:t>
            </w:r>
          </w:p>
        </w:tc>
        <w:tc>
          <w:tcPr>
            <w:tcW w:w="1173" w:type="dxa"/>
            <w:shd w:val="clear" w:color="auto" w:fill="auto"/>
            <w:vAlign w:val="bottom"/>
          </w:tcPr>
          <w:p>
            <w:pPr>
              <w:jc w:val="center"/>
              <w:rPr>
                <w:color w:val="000000"/>
                <w:sz w:val="20"/>
                <w:szCs w:val="20"/>
              </w:rPr>
            </w:pPr>
            <w:r>
              <w:rPr>
                <w:color w:val="000000"/>
                <w:sz w:val="20"/>
                <w:szCs w:val="20"/>
              </w:rPr>
              <w:t>7200</w:t>
            </w:r>
          </w:p>
        </w:tc>
        <w:tc>
          <w:tcPr>
            <w:tcW w:w="1558" w:type="dxa"/>
            <w:shd w:val="clear" w:color="auto" w:fill="auto"/>
            <w:vAlign w:val="bottom"/>
          </w:tcPr>
          <w:p>
            <w:pPr>
              <w:jc w:val="center"/>
              <w:rPr>
                <w:color w:val="000000"/>
                <w:sz w:val="20"/>
                <w:szCs w:val="20"/>
              </w:rPr>
            </w:pPr>
            <w:r>
              <w:rPr>
                <w:color w:val="000000"/>
                <w:sz w:val="20"/>
                <w:szCs w:val="20"/>
              </w:rPr>
              <w:t>429.072</w:t>
            </w:r>
          </w:p>
        </w:tc>
        <w:tc>
          <w:tcPr>
            <w:tcW w:w="1968" w:type="dxa"/>
            <w:shd w:val="clear" w:color="auto" w:fill="auto"/>
            <w:vAlign w:val="center"/>
          </w:tcPr>
          <w:p>
            <w:pPr>
              <w:jc w:val="center"/>
              <w:rPr>
                <w:color w:val="000000"/>
                <w:sz w:val="20"/>
                <w:szCs w:val="20"/>
              </w:rPr>
            </w:pPr>
            <w:r>
              <w:rPr>
                <w:color w:val="000000"/>
                <w:sz w:val="20"/>
                <w:szCs w:val="20"/>
              </w:rPr>
              <w:t>144593.7</w:t>
            </w:r>
          </w:p>
        </w:tc>
        <w:tc>
          <w:tcPr>
            <w:tcW w:w="1383" w:type="dxa"/>
            <w:shd w:val="clear" w:color="auto" w:fill="auto"/>
            <w:vAlign w:val="center"/>
          </w:tcPr>
          <w:p>
            <w:pPr>
              <w:jc w:val="center"/>
              <w:rPr>
                <w:color w:val="000000"/>
                <w:sz w:val="20"/>
                <w:szCs w:val="20"/>
              </w:rPr>
            </w:pPr>
            <w:r>
              <w:rPr>
                <w:color w:val="000000"/>
                <w:sz w:val="20"/>
                <w:szCs w:val="20"/>
              </w:rPr>
              <w:t>0.74</w:t>
            </w:r>
          </w:p>
        </w:tc>
        <w:tc>
          <w:tcPr>
            <w:tcW w:w="1720" w:type="dxa"/>
            <w:shd w:val="clear" w:color="auto" w:fill="auto"/>
            <w:vAlign w:val="bottom"/>
          </w:tcPr>
          <w:p>
            <w:pPr>
              <w:jc w:val="center"/>
              <w:rPr>
                <w:color w:val="000000"/>
                <w:sz w:val="20"/>
                <w:szCs w:val="20"/>
              </w:rPr>
            </w:pPr>
            <w:r>
              <w:rPr>
                <w:color w:val="000000"/>
                <w:sz w:val="20"/>
                <w:szCs w:val="20"/>
              </w:rPr>
              <w:t>14878.8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25</w:t>
            </w:r>
          </w:p>
        </w:tc>
        <w:tc>
          <w:tcPr>
            <w:tcW w:w="1173" w:type="dxa"/>
            <w:shd w:val="clear" w:color="auto" w:fill="auto"/>
            <w:vAlign w:val="bottom"/>
          </w:tcPr>
          <w:p>
            <w:pPr>
              <w:jc w:val="center"/>
              <w:rPr>
                <w:color w:val="000000"/>
                <w:sz w:val="20"/>
                <w:szCs w:val="20"/>
              </w:rPr>
            </w:pPr>
            <w:r>
              <w:rPr>
                <w:color w:val="000000"/>
                <w:sz w:val="20"/>
                <w:szCs w:val="20"/>
              </w:rPr>
              <w:t>7534</w:t>
            </w:r>
          </w:p>
        </w:tc>
        <w:tc>
          <w:tcPr>
            <w:tcW w:w="1558" w:type="dxa"/>
            <w:shd w:val="clear" w:color="auto" w:fill="auto"/>
            <w:vAlign w:val="bottom"/>
          </w:tcPr>
          <w:p>
            <w:pPr>
              <w:jc w:val="center"/>
              <w:rPr>
                <w:color w:val="000000"/>
                <w:sz w:val="20"/>
                <w:szCs w:val="20"/>
              </w:rPr>
            </w:pPr>
            <w:r>
              <w:rPr>
                <w:color w:val="000000"/>
                <w:sz w:val="20"/>
                <w:szCs w:val="20"/>
              </w:rPr>
              <w:t>433.963</w:t>
            </w:r>
          </w:p>
        </w:tc>
        <w:tc>
          <w:tcPr>
            <w:tcW w:w="1968" w:type="dxa"/>
            <w:shd w:val="clear" w:color="auto" w:fill="auto"/>
            <w:vAlign w:val="center"/>
          </w:tcPr>
          <w:p>
            <w:pPr>
              <w:jc w:val="center"/>
              <w:rPr>
                <w:color w:val="000000"/>
                <w:sz w:val="20"/>
                <w:szCs w:val="20"/>
              </w:rPr>
            </w:pPr>
            <w:r>
              <w:rPr>
                <w:color w:val="000000"/>
                <w:sz w:val="20"/>
                <w:szCs w:val="20"/>
              </w:rPr>
              <w:t>147909.5</w:t>
            </w:r>
          </w:p>
        </w:tc>
        <w:tc>
          <w:tcPr>
            <w:tcW w:w="1383" w:type="dxa"/>
            <w:shd w:val="clear" w:color="auto" w:fill="auto"/>
            <w:vAlign w:val="center"/>
          </w:tcPr>
          <w:p>
            <w:pPr>
              <w:jc w:val="center"/>
              <w:rPr>
                <w:color w:val="000000"/>
                <w:sz w:val="20"/>
                <w:szCs w:val="20"/>
              </w:rPr>
            </w:pPr>
            <w:r>
              <w:rPr>
                <w:color w:val="000000"/>
                <w:sz w:val="20"/>
                <w:szCs w:val="20"/>
              </w:rPr>
              <w:t>0.72</w:t>
            </w:r>
          </w:p>
        </w:tc>
        <w:tc>
          <w:tcPr>
            <w:tcW w:w="1720" w:type="dxa"/>
            <w:shd w:val="clear" w:color="auto" w:fill="auto"/>
            <w:vAlign w:val="bottom"/>
          </w:tcPr>
          <w:p>
            <w:pPr>
              <w:jc w:val="center"/>
              <w:rPr>
                <w:color w:val="000000"/>
                <w:sz w:val="20"/>
                <w:szCs w:val="20"/>
              </w:rPr>
            </w:pPr>
            <w:r>
              <w:rPr>
                <w:color w:val="000000"/>
                <w:sz w:val="20"/>
                <w:szCs w:val="20"/>
              </w:rPr>
              <w:t>15569.0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26</w:t>
            </w:r>
          </w:p>
        </w:tc>
        <w:tc>
          <w:tcPr>
            <w:tcW w:w="1173" w:type="dxa"/>
            <w:shd w:val="clear" w:color="auto" w:fill="auto"/>
            <w:vAlign w:val="bottom"/>
          </w:tcPr>
          <w:p>
            <w:pPr>
              <w:jc w:val="center"/>
              <w:rPr>
                <w:color w:val="000000"/>
                <w:sz w:val="20"/>
                <w:szCs w:val="20"/>
              </w:rPr>
            </w:pPr>
            <w:r>
              <w:rPr>
                <w:rFonts w:hint="eastAsia"/>
                <w:color w:val="000000"/>
                <w:sz w:val="20"/>
                <w:szCs w:val="20"/>
              </w:rPr>
              <w:t>8400</w:t>
            </w:r>
          </w:p>
        </w:tc>
        <w:tc>
          <w:tcPr>
            <w:tcW w:w="1558" w:type="dxa"/>
            <w:shd w:val="clear" w:color="auto" w:fill="auto"/>
            <w:vAlign w:val="bottom"/>
          </w:tcPr>
          <w:p>
            <w:pPr>
              <w:jc w:val="center"/>
              <w:rPr>
                <w:color w:val="000000"/>
                <w:sz w:val="20"/>
                <w:szCs w:val="20"/>
              </w:rPr>
            </w:pPr>
            <w:r>
              <w:rPr>
                <w:rFonts w:hint="eastAsia"/>
                <w:color w:val="000000"/>
                <w:sz w:val="20"/>
                <w:szCs w:val="20"/>
              </w:rPr>
              <w:t>470.8503</w:t>
            </w:r>
          </w:p>
        </w:tc>
        <w:tc>
          <w:tcPr>
            <w:tcW w:w="1968" w:type="dxa"/>
            <w:shd w:val="clear" w:color="auto" w:fill="auto"/>
            <w:vAlign w:val="center"/>
          </w:tcPr>
          <w:p>
            <w:pPr>
              <w:jc w:val="center"/>
              <w:rPr>
                <w:color w:val="000000"/>
                <w:sz w:val="20"/>
                <w:szCs w:val="20"/>
              </w:rPr>
            </w:pPr>
            <w:r>
              <w:rPr>
                <w:color w:val="000000"/>
                <w:sz w:val="20"/>
                <w:szCs w:val="20"/>
              </w:rPr>
              <w:t>174122.7</w:t>
            </w:r>
          </w:p>
        </w:tc>
        <w:tc>
          <w:tcPr>
            <w:tcW w:w="1383" w:type="dxa"/>
            <w:shd w:val="clear" w:color="auto" w:fill="auto"/>
            <w:vAlign w:val="center"/>
          </w:tcPr>
          <w:p>
            <w:pPr>
              <w:jc w:val="center"/>
              <w:rPr>
                <w:color w:val="000000"/>
                <w:sz w:val="20"/>
                <w:szCs w:val="20"/>
              </w:rPr>
            </w:pPr>
            <w:r>
              <w:rPr>
                <w:color w:val="000000"/>
                <w:sz w:val="20"/>
                <w:szCs w:val="20"/>
              </w:rPr>
              <w:t>0.62</w:t>
            </w:r>
          </w:p>
        </w:tc>
        <w:tc>
          <w:tcPr>
            <w:tcW w:w="1720" w:type="dxa"/>
            <w:shd w:val="clear" w:color="auto" w:fill="auto"/>
            <w:vAlign w:val="bottom"/>
          </w:tcPr>
          <w:p>
            <w:pPr>
              <w:jc w:val="center"/>
              <w:rPr>
                <w:color w:val="000000"/>
                <w:sz w:val="20"/>
                <w:szCs w:val="20"/>
              </w:rPr>
            </w:pPr>
            <w:r>
              <w:rPr>
                <w:color w:val="000000"/>
                <w:sz w:val="20"/>
                <w:szCs w:val="20"/>
              </w:rPr>
              <w:t>17358.6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27</w:t>
            </w:r>
          </w:p>
        </w:tc>
        <w:tc>
          <w:tcPr>
            <w:tcW w:w="1173" w:type="dxa"/>
            <w:shd w:val="clear" w:color="auto" w:fill="auto"/>
            <w:vAlign w:val="bottom"/>
          </w:tcPr>
          <w:p>
            <w:pPr>
              <w:jc w:val="center"/>
              <w:rPr>
                <w:color w:val="000000"/>
                <w:sz w:val="20"/>
                <w:szCs w:val="20"/>
              </w:rPr>
            </w:pPr>
            <w:r>
              <w:rPr>
                <w:rFonts w:hint="eastAsia"/>
                <w:color w:val="000000"/>
                <w:sz w:val="20"/>
                <w:szCs w:val="20"/>
              </w:rPr>
              <w:t>18000</w:t>
            </w:r>
          </w:p>
        </w:tc>
        <w:tc>
          <w:tcPr>
            <w:tcW w:w="1558" w:type="dxa"/>
            <w:shd w:val="clear" w:color="auto" w:fill="auto"/>
            <w:vAlign w:val="bottom"/>
          </w:tcPr>
          <w:p>
            <w:pPr>
              <w:jc w:val="center"/>
              <w:rPr>
                <w:color w:val="000000"/>
                <w:sz w:val="20"/>
                <w:szCs w:val="20"/>
              </w:rPr>
            </w:pPr>
            <w:r>
              <w:rPr>
                <w:rFonts w:hint="eastAsia"/>
                <w:color w:val="000000"/>
                <w:sz w:val="20"/>
                <w:szCs w:val="20"/>
              </w:rPr>
              <w:t>833.9264</w:t>
            </w:r>
          </w:p>
        </w:tc>
        <w:tc>
          <w:tcPr>
            <w:tcW w:w="1968" w:type="dxa"/>
            <w:shd w:val="clear" w:color="auto" w:fill="auto"/>
            <w:vAlign w:val="center"/>
          </w:tcPr>
          <w:p>
            <w:pPr>
              <w:jc w:val="center"/>
              <w:rPr>
                <w:color w:val="000000"/>
                <w:sz w:val="20"/>
                <w:szCs w:val="20"/>
              </w:rPr>
            </w:pPr>
            <w:r>
              <w:rPr>
                <w:color w:val="000000"/>
                <w:sz w:val="20"/>
                <w:szCs w:val="20"/>
              </w:rPr>
              <w:t>546192.0</w:t>
            </w:r>
          </w:p>
        </w:tc>
        <w:tc>
          <w:tcPr>
            <w:tcW w:w="1383" w:type="dxa"/>
            <w:shd w:val="clear" w:color="auto" w:fill="auto"/>
            <w:vAlign w:val="center"/>
          </w:tcPr>
          <w:p>
            <w:pPr>
              <w:jc w:val="center"/>
              <w:rPr>
                <w:color w:val="000000"/>
                <w:sz w:val="20"/>
                <w:szCs w:val="20"/>
              </w:rPr>
            </w:pPr>
            <w:r>
              <w:rPr>
                <w:color w:val="000000"/>
                <w:sz w:val="20"/>
                <w:szCs w:val="20"/>
              </w:rPr>
              <w:t>0.20</w:t>
            </w:r>
          </w:p>
        </w:tc>
        <w:tc>
          <w:tcPr>
            <w:tcW w:w="1720" w:type="dxa"/>
            <w:shd w:val="clear" w:color="auto" w:fill="auto"/>
            <w:vAlign w:val="bottom"/>
          </w:tcPr>
          <w:p>
            <w:pPr>
              <w:jc w:val="center"/>
              <w:rPr>
                <w:color w:val="000000"/>
                <w:sz w:val="20"/>
                <w:szCs w:val="20"/>
              </w:rPr>
            </w:pPr>
            <w:r>
              <w:rPr>
                <w:color w:val="000000"/>
                <w:sz w:val="20"/>
                <w:szCs w:val="20"/>
              </w:rPr>
              <w:t>37197.0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28</w:t>
            </w:r>
          </w:p>
        </w:tc>
        <w:tc>
          <w:tcPr>
            <w:tcW w:w="1173" w:type="dxa"/>
            <w:shd w:val="clear" w:color="auto" w:fill="auto"/>
            <w:vAlign w:val="bottom"/>
          </w:tcPr>
          <w:p>
            <w:pPr>
              <w:jc w:val="center"/>
              <w:rPr>
                <w:color w:val="000000"/>
                <w:sz w:val="20"/>
                <w:szCs w:val="20"/>
              </w:rPr>
            </w:pPr>
            <w:r>
              <w:rPr>
                <w:rFonts w:hint="eastAsia"/>
                <w:color w:val="000000"/>
                <w:sz w:val="20"/>
                <w:szCs w:val="20"/>
              </w:rPr>
              <w:t>24000</w:t>
            </w:r>
          </w:p>
        </w:tc>
        <w:tc>
          <w:tcPr>
            <w:tcW w:w="1558" w:type="dxa"/>
            <w:shd w:val="clear" w:color="auto" w:fill="auto"/>
            <w:vAlign w:val="bottom"/>
          </w:tcPr>
          <w:p>
            <w:pPr>
              <w:jc w:val="center"/>
              <w:rPr>
                <w:color w:val="000000"/>
                <w:sz w:val="20"/>
                <w:szCs w:val="20"/>
              </w:rPr>
            </w:pPr>
            <w:r>
              <w:rPr>
                <w:rFonts w:hint="eastAsia"/>
                <w:color w:val="000000"/>
                <w:sz w:val="20"/>
                <w:szCs w:val="20"/>
              </w:rPr>
              <w:t>1034.741</w:t>
            </w:r>
          </w:p>
        </w:tc>
        <w:tc>
          <w:tcPr>
            <w:tcW w:w="1968" w:type="dxa"/>
            <w:shd w:val="clear" w:color="auto" w:fill="auto"/>
            <w:vAlign w:val="center"/>
          </w:tcPr>
          <w:p>
            <w:pPr>
              <w:jc w:val="center"/>
              <w:rPr>
                <w:color w:val="000000"/>
                <w:sz w:val="20"/>
                <w:szCs w:val="20"/>
              </w:rPr>
            </w:pPr>
            <w:r>
              <w:rPr>
                <w:color w:val="000000"/>
                <w:sz w:val="20"/>
                <w:szCs w:val="20"/>
              </w:rPr>
              <w:t>840917.6</w:t>
            </w:r>
          </w:p>
        </w:tc>
        <w:tc>
          <w:tcPr>
            <w:tcW w:w="1383" w:type="dxa"/>
            <w:shd w:val="clear" w:color="auto" w:fill="auto"/>
            <w:vAlign w:val="center"/>
          </w:tcPr>
          <w:p>
            <w:pPr>
              <w:jc w:val="center"/>
              <w:rPr>
                <w:color w:val="000000"/>
                <w:sz w:val="20"/>
                <w:szCs w:val="20"/>
              </w:rPr>
            </w:pPr>
            <w:r>
              <w:rPr>
                <w:color w:val="000000"/>
                <w:sz w:val="20"/>
                <w:szCs w:val="20"/>
              </w:rPr>
              <w:t>0.13</w:t>
            </w:r>
          </w:p>
        </w:tc>
        <w:tc>
          <w:tcPr>
            <w:tcW w:w="1720" w:type="dxa"/>
            <w:shd w:val="clear" w:color="auto" w:fill="auto"/>
            <w:vAlign w:val="bottom"/>
          </w:tcPr>
          <w:p>
            <w:pPr>
              <w:jc w:val="center"/>
              <w:rPr>
                <w:color w:val="000000"/>
                <w:sz w:val="20"/>
                <w:szCs w:val="20"/>
              </w:rPr>
            </w:pPr>
            <w:r>
              <w:rPr>
                <w:color w:val="000000"/>
                <w:sz w:val="20"/>
                <w:szCs w:val="20"/>
              </w:rPr>
              <w:t>49596.0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29</w:t>
            </w:r>
          </w:p>
        </w:tc>
        <w:tc>
          <w:tcPr>
            <w:tcW w:w="1173" w:type="dxa"/>
            <w:shd w:val="clear" w:color="auto" w:fill="auto"/>
            <w:vAlign w:val="bottom"/>
          </w:tcPr>
          <w:p>
            <w:pPr>
              <w:jc w:val="center"/>
              <w:rPr>
                <w:color w:val="000000"/>
                <w:sz w:val="20"/>
                <w:szCs w:val="20"/>
              </w:rPr>
            </w:pPr>
            <w:r>
              <w:rPr>
                <w:rFonts w:hint="eastAsia"/>
                <w:color w:val="000000"/>
                <w:sz w:val="20"/>
                <w:szCs w:val="20"/>
              </w:rPr>
              <w:t>30000</w:t>
            </w:r>
          </w:p>
        </w:tc>
        <w:tc>
          <w:tcPr>
            <w:tcW w:w="1558" w:type="dxa"/>
            <w:shd w:val="clear" w:color="auto" w:fill="auto"/>
            <w:vAlign w:val="bottom"/>
          </w:tcPr>
          <w:p>
            <w:pPr>
              <w:jc w:val="center"/>
              <w:rPr>
                <w:color w:val="000000"/>
                <w:sz w:val="20"/>
                <w:szCs w:val="20"/>
              </w:rPr>
            </w:pPr>
            <w:r>
              <w:rPr>
                <w:rFonts w:hint="eastAsia"/>
                <w:color w:val="000000"/>
                <w:sz w:val="20"/>
                <w:szCs w:val="20"/>
              </w:rPr>
              <w:t>1223.247</w:t>
            </w:r>
          </w:p>
        </w:tc>
        <w:tc>
          <w:tcPr>
            <w:tcW w:w="1968" w:type="dxa"/>
            <w:shd w:val="clear" w:color="auto" w:fill="auto"/>
            <w:vAlign w:val="center"/>
          </w:tcPr>
          <w:p>
            <w:pPr>
              <w:jc w:val="center"/>
              <w:rPr>
                <w:color w:val="000000"/>
                <w:sz w:val="20"/>
                <w:szCs w:val="20"/>
              </w:rPr>
            </w:pPr>
            <w:r>
              <w:rPr>
                <w:color w:val="000000"/>
                <w:sz w:val="20"/>
                <w:szCs w:val="20"/>
              </w:rPr>
              <w:t>1175218.0</w:t>
            </w:r>
          </w:p>
        </w:tc>
        <w:tc>
          <w:tcPr>
            <w:tcW w:w="1383" w:type="dxa"/>
            <w:shd w:val="clear" w:color="auto" w:fill="auto"/>
            <w:vAlign w:val="center"/>
          </w:tcPr>
          <w:p>
            <w:pPr>
              <w:jc w:val="center"/>
              <w:rPr>
                <w:color w:val="000000"/>
                <w:sz w:val="20"/>
                <w:szCs w:val="20"/>
              </w:rPr>
            </w:pPr>
            <w:r>
              <w:rPr>
                <w:color w:val="000000"/>
                <w:sz w:val="20"/>
                <w:szCs w:val="20"/>
              </w:rPr>
              <w:t>0.09</w:t>
            </w:r>
          </w:p>
        </w:tc>
        <w:tc>
          <w:tcPr>
            <w:tcW w:w="1720" w:type="dxa"/>
            <w:shd w:val="clear" w:color="auto" w:fill="auto"/>
            <w:vAlign w:val="bottom"/>
          </w:tcPr>
          <w:p>
            <w:pPr>
              <w:jc w:val="center"/>
              <w:rPr>
                <w:color w:val="000000"/>
                <w:sz w:val="20"/>
                <w:szCs w:val="20"/>
              </w:rPr>
            </w:pPr>
            <w:r>
              <w:rPr>
                <w:color w:val="000000"/>
                <w:sz w:val="20"/>
                <w:szCs w:val="20"/>
              </w:rPr>
              <w:t>61995.0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30</w:t>
            </w:r>
          </w:p>
        </w:tc>
        <w:tc>
          <w:tcPr>
            <w:tcW w:w="1173" w:type="dxa"/>
            <w:shd w:val="clear" w:color="auto" w:fill="auto"/>
            <w:vAlign w:val="bottom"/>
          </w:tcPr>
          <w:p>
            <w:pPr>
              <w:jc w:val="center"/>
              <w:rPr>
                <w:color w:val="000000"/>
                <w:sz w:val="20"/>
                <w:szCs w:val="20"/>
              </w:rPr>
            </w:pPr>
            <w:r>
              <w:rPr>
                <w:rFonts w:hint="eastAsia"/>
                <w:color w:val="000000"/>
                <w:sz w:val="20"/>
                <w:szCs w:val="20"/>
              </w:rPr>
              <w:t>33000</w:t>
            </w:r>
          </w:p>
        </w:tc>
        <w:tc>
          <w:tcPr>
            <w:tcW w:w="1558" w:type="dxa"/>
            <w:shd w:val="clear" w:color="auto" w:fill="auto"/>
            <w:vAlign w:val="bottom"/>
          </w:tcPr>
          <w:p>
            <w:pPr>
              <w:jc w:val="center"/>
              <w:rPr>
                <w:color w:val="000000"/>
                <w:sz w:val="20"/>
                <w:szCs w:val="20"/>
              </w:rPr>
            </w:pPr>
            <w:r>
              <w:rPr>
                <w:rFonts w:hint="eastAsia"/>
                <w:color w:val="000000"/>
                <w:sz w:val="20"/>
                <w:szCs w:val="20"/>
              </w:rPr>
              <w:t>1313.889</w:t>
            </w:r>
          </w:p>
        </w:tc>
        <w:tc>
          <w:tcPr>
            <w:tcW w:w="1968" w:type="dxa"/>
            <w:shd w:val="clear" w:color="auto" w:fill="auto"/>
            <w:vAlign w:val="center"/>
          </w:tcPr>
          <w:p>
            <w:pPr>
              <w:jc w:val="center"/>
              <w:rPr>
                <w:color w:val="000000"/>
                <w:sz w:val="20"/>
                <w:szCs w:val="20"/>
              </w:rPr>
            </w:pPr>
            <w:r>
              <w:rPr>
                <w:color w:val="000000"/>
                <w:sz w:val="20"/>
                <w:szCs w:val="20"/>
              </w:rPr>
              <w:t>1355837.0</w:t>
            </w:r>
          </w:p>
        </w:tc>
        <w:tc>
          <w:tcPr>
            <w:tcW w:w="1383" w:type="dxa"/>
            <w:shd w:val="clear" w:color="auto" w:fill="auto"/>
            <w:vAlign w:val="center"/>
          </w:tcPr>
          <w:p>
            <w:pPr>
              <w:jc w:val="center"/>
              <w:rPr>
                <w:color w:val="000000"/>
                <w:sz w:val="20"/>
                <w:szCs w:val="20"/>
              </w:rPr>
            </w:pPr>
            <w:r>
              <w:rPr>
                <w:color w:val="000000"/>
                <w:sz w:val="20"/>
                <w:szCs w:val="20"/>
              </w:rPr>
              <w:t>0.08</w:t>
            </w:r>
          </w:p>
        </w:tc>
        <w:tc>
          <w:tcPr>
            <w:tcW w:w="1720" w:type="dxa"/>
            <w:shd w:val="clear" w:color="auto" w:fill="auto"/>
            <w:vAlign w:val="bottom"/>
          </w:tcPr>
          <w:p>
            <w:pPr>
              <w:jc w:val="center"/>
              <w:rPr>
                <w:color w:val="000000"/>
                <w:sz w:val="20"/>
                <w:szCs w:val="20"/>
              </w:rPr>
            </w:pPr>
            <w:r>
              <w:rPr>
                <w:color w:val="000000"/>
                <w:sz w:val="20"/>
                <w:szCs w:val="20"/>
              </w:rPr>
              <w:t>68194.5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31</w:t>
            </w:r>
          </w:p>
        </w:tc>
        <w:tc>
          <w:tcPr>
            <w:tcW w:w="1173" w:type="dxa"/>
            <w:shd w:val="clear" w:color="auto" w:fill="auto"/>
            <w:vAlign w:val="bottom"/>
          </w:tcPr>
          <w:p>
            <w:pPr>
              <w:jc w:val="center"/>
              <w:rPr>
                <w:color w:val="000000"/>
                <w:sz w:val="20"/>
                <w:szCs w:val="20"/>
              </w:rPr>
            </w:pPr>
            <w:r>
              <w:rPr>
                <w:rFonts w:hint="eastAsia"/>
                <w:color w:val="000000"/>
                <w:sz w:val="20"/>
                <w:szCs w:val="20"/>
              </w:rPr>
              <w:t>36000</w:t>
            </w:r>
          </w:p>
        </w:tc>
        <w:tc>
          <w:tcPr>
            <w:tcW w:w="1558" w:type="dxa"/>
            <w:shd w:val="clear" w:color="auto" w:fill="auto"/>
            <w:vAlign w:val="bottom"/>
          </w:tcPr>
          <w:p>
            <w:pPr>
              <w:jc w:val="center"/>
              <w:rPr>
                <w:color w:val="000000"/>
                <w:sz w:val="20"/>
                <w:szCs w:val="20"/>
              </w:rPr>
            </w:pPr>
            <w:r>
              <w:rPr>
                <w:rFonts w:hint="eastAsia"/>
                <w:color w:val="000000"/>
                <w:sz w:val="20"/>
                <w:szCs w:val="20"/>
              </w:rPr>
              <w:t>1402.491</w:t>
            </w:r>
          </w:p>
        </w:tc>
        <w:tc>
          <w:tcPr>
            <w:tcW w:w="1968" w:type="dxa"/>
            <w:shd w:val="clear" w:color="auto" w:fill="auto"/>
            <w:vAlign w:val="center"/>
          </w:tcPr>
          <w:p>
            <w:pPr>
              <w:jc w:val="center"/>
              <w:rPr>
                <w:color w:val="000000"/>
                <w:sz w:val="20"/>
                <w:szCs w:val="20"/>
              </w:rPr>
            </w:pPr>
            <w:r>
              <w:rPr>
                <w:color w:val="000000"/>
                <w:sz w:val="20"/>
                <w:szCs w:val="20"/>
              </w:rPr>
              <w:t>1544864.2</w:t>
            </w:r>
          </w:p>
        </w:tc>
        <w:tc>
          <w:tcPr>
            <w:tcW w:w="1383" w:type="dxa"/>
            <w:shd w:val="clear" w:color="auto" w:fill="auto"/>
            <w:vAlign w:val="center"/>
          </w:tcPr>
          <w:p>
            <w:pPr>
              <w:jc w:val="center"/>
              <w:rPr>
                <w:color w:val="000000"/>
                <w:sz w:val="20"/>
                <w:szCs w:val="20"/>
              </w:rPr>
            </w:pPr>
            <w:r>
              <w:rPr>
                <w:color w:val="000000"/>
                <w:sz w:val="20"/>
                <w:szCs w:val="20"/>
              </w:rPr>
              <w:t>0.07</w:t>
            </w:r>
          </w:p>
        </w:tc>
        <w:tc>
          <w:tcPr>
            <w:tcW w:w="1720" w:type="dxa"/>
            <w:shd w:val="clear" w:color="auto" w:fill="auto"/>
            <w:vAlign w:val="bottom"/>
          </w:tcPr>
          <w:p>
            <w:pPr>
              <w:jc w:val="center"/>
              <w:rPr>
                <w:color w:val="000000"/>
                <w:sz w:val="20"/>
                <w:szCs w:val="20"/>
              </w:rPr>
            </w:pPr>
            <w:r>
              <w:rPr>
                <w:color w:val="000000"/>
                <w:sz w:val="20"/>
                <w:szCs w:val="20"/>
              </w:rPr>
              <w:t>74394.0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32</w:t>
            </w:r>
          </w:p>
        </w:tc>
        <w:tc>
          <w:tcPr>
            <w:tcW w:w="1173" w:type="dxa"/>
            <w:shd w:val="clear" w:color="auto" w:fill="auto"/>
            <w:vAlign w:val="bottom"/>
          </w:tcPr>
          <w:p>
            <w:pPr>
              <w:jc w:val="center"/>
              <w:rPr>
                <w:color w:val="000000"/>
                <w:sz w:val="20"/>
                <w:szCs w:val="20"/>
              </w:rPr>
            </w:pPr>
            <w:r>
              <w:rPr>
                <w:rFonts w:hint="eastAsia"/>
                <w:color w:val="000000"/>
                <w:sz w:val="20"/>
                <w:szCs w:val="20"/>
              </w:rPr>
              <w:t>39000</w:t>
            </w:r>
          </w:p>
        </w:tc>
        <w:tc>
          <w:tcPr>
            <w:tcW w:w="1558" w:type="dxa"/>
            <w:shd w:val="clear" w:color="auto" w:fill="auto"/>
            <w:vAlign w:val="bottom"/>
          </w:tcPr>
          <w:p>
            <w:pPr>
              <w:jc w:val="center"/>
              <w:rPr>
                <w:color w:val="000000"/>
                <w:sz w:val="20"/>
                <w:szCs w:val="20"/>
              </w:rPr>
            </w:pPr>
            <w:r>
              <w:rPr>
                <w:rFonts w:hint="eastAsia"/>
                <w:color w:val="000000"/>
                <w:sz w:val="20"/>
                <w:szCs w:val="20"/>
              </w:rPr>
              <w:t>1489.264</w:t>
            </w:r>
          </w:p>
        </w:tc>
        <w:tc>
          <w:tcPr>
            <w:tcW w:w="1968" w:type="dxa"/>
            <w:shd w:val="clear" w:color="auto" w:fill="auto"/>
            <w:vAlign w:val="center"/>
          </w:tcPr>
          <w:p>
            <w:pPr>
              <w:jc w:val="center"/>
              <w:rPr>
                <w:color w:val="000000"/>
                <w:sz w:val="20"/>
                <w:szCs w:val="20"/>
              </w:rPr>
            </w:pPr>
            <w:r>
              <w:rPr>
                <w:color w:val="000000"/>
                <w:sz w:val="20"/>
                <w:szCs w:val="20"/>
              </w:rPr>
              <w:t>1741941.1</w:t>
            </w:r>
          </w:p>
        </w:tc>
        <w:tc>
          <w:tcPr>
            <w:tcW w:w="1383" w:type="dxa"/>
            <w:shd w:val="clear" w:color="auto" w:fill="auto"/>
            <w:vAlign w:val="center"/>
          </w:tcPr>
          <w:p>
            <w:pPr>
              <w:jc w:val="center"/>
              <w:rPr>
                <w:color w:val="000000"/>
                <w:sz w:val="20"/>
                <w:szCs w:val="20"/>
              </w:rPr>
            </w:pPr>
            <w:r>
              <w:rPr>
                <w:color w:val="000000"/>
                <w:sz w:val="20"/>
                <w:szCs w:val="20"/>
              </w:rPr>
              <w:t>0.06</w:t>
            </w:r>
          </w:p>
        </w:tc>
        <w:tc>
          <w:tcPr>
            <w:tcW w:w="1720" w:type="dxa"/>
            <w:shd w:val="clear" w:color="auto" w:fill="auto"/>
            <w:vAlign w:val="bottom"/>
          </w:tcPr>
          <w:p>
            <w:pPr>
              <w:jc w:val="center"/>
              <w:rPr>
                <w:color w:val="000000"/>
                <w:sz w:val="20"/>
                <w:szCs w:val="20"/>
              </w:rPr>
            </w:pPr>
            <w:r>
              <w:rPr>
                <w:color w:val="000000"/>
                <w:sz w:val="20"/>
                <w:szCs w:val="20"/>
              </w:rPr>
              <w:t>80593.5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143" w:type="dxa"/>
            <w:shd w:val="clear" w:color="auto" w:fill="auto"/>
            <w:vAlign w:val="center"/>
          </w:tcPr>
          <w:p>
            <w:pPr>
              <w:jc w:val="center"/>
              <w:rPr>
                <w:color w:val="000000"/>
                <w:sz w:val="20"/>
                <w:szCs w:val="20"/>
              </w:rPr>
            </w:pPr>
            <w:r>
              <w:rPr>
                <w:color w:val="000000"/>
                <w:sz w:val="20"/>
                <w:szCs w:val="20"/>
              </w:rPr>
              <w:t>33</w:t>
            </w:r>
          </w:p>
        </w:tc>
        <w:tc>
          <w:tcPr>
            <w:tcW w:w="1173" w:type="dxa"/>
            <w:shd w:val="clear" w:color="auto" w:fill="auto"/>
            <w:vAlign w:val="bottom"/>
          </w:tcPr>
          <w:p>
            <w:pPr>
              <w:jc w:val="center"/>
              <w:rPr>
                <w:color w:val="000000"/>
                <w:sz w:val="20"/>
                <w:szCs w:val="20"/>
              </w:rPr>
            </w:pPr>
            <w:r>
              <w:rPr>
                <w:rFonts w:hint="eastAsia"/>
                <w:color w:val="000000"/>
                <w:sz w:val="20"/>
                <w:szCs w:val="20"/>
              </w:rPr>
              <w:t>42000</w:t>
            </w:r>
          </w:p>
        </w:tc>
        <w:tc>
          <w:tcPr>
            <w:tcW w:w="1558" w:type="dxa"/>
            <w:shd w:val="clear" w:color="auto" w:fill="auto"/>
            <w:vAlign w:val="bottom"/>
          </w:tcPr>
          <w:p>
            <w:pPr>
              <w:jc w:val="center"/>
              <w:rPr>
                <w:color w:val="000000"/>
                <w:sz w:val="20"/>
                <w:szCs w:val="20"/>
              </w:rPr>
            </w:pPr>
            <w:r>
              <w:rPr>
                <w:rFonts w:hint="eastAsia"/>
                <w:color w:val="000000"/>
                <w:sz w:val="20"/>
                <w:szCs w:val="20"/>
              </w:rPr>
              <w:t>1574.383</w:t>
            </w:r>
          </w:p>
        </w:tc>
        <w:tc>
          <w:tcPr>
            <w:tcW w:w="1968" w:type="dxa"/>
            <w:shd w:val="clear" w:color="auto" w:fill="auto"/>
            <w:vAlign w:val="center"/>
          </w:tcPr>
          <w:p>
            <w:pPr>
              <w:jc w:val="center"/>
              <w:rPr>
                <w:color w:val="000000"/>
                <w:sz w:val="20"/>
                <w:szCs w:val="20"/>
              </w:rPr>
            </w:pPr>
            <w:r>
              <w:rPr>
                <w:color w:val="000000"/>
                <w:sz w:val="20"/>
                <w:szCs w:val="20"/>
              </w:rPr>
              <w:t>1946751.4</w:t>
            </w:r>
          </w:p>
        </w:tc>
        <w:tc>
          <w:tcPr>
            <w:tcW w:w="1383" w:type="dxa"/>
            <w:shd w:val="clear" w:color="auto" w:fill="auto"/>
            <w:vAlign w:val="center"/>
          </w:tcPr>
          <w:p>
            <w:pPr>
              <w:jc w:val="center"/>
              <w:rPr>
                <w:color w:val="000000"/>
                <w:sz w:val="20"/>
                <w:szCs w:val="20"/>
              </w:rPr>
            </w:pPr>
            <w:r>
              <w:rPr>
                <w:color w:val="000000"/>
                <w:sz w:val="20"/>
                <w:szCs w:val="20"/>
              </w:rPr>
              <w:t>0.06</w:t>
            </w:r>
          </w:p>
        </w:tc>
        <w:tc>
          <w:tcPr>
            <w:tcW w:w="1720" w:type="dxa"/>
            <w:shd w:val="clear" w:color="auto" w:fill="auto"/>
            <w:vAlign w:val="bottom"/>
          </w:tcPr>
          <w:p>
            <w:pPr>
              <w:jc w:val="center"/>
              <w:rPr>
                <w:color w:val="000000"/>
                <w:sz w:val="20"/>
                <w:szCs w:val="20"/>
              </w:rPr>
            </w:pPr>
            <w:r>
              <w:rPr>
                <w:color w:val="000000"/>
                <w:sz w:val="20"/>
                <w:szCs w:val="20"/>
              </w:rPr>
              <w:t>86793.0</w:t>
            </w:r>
          </w:p>
        </w:tc>
      </w:tr>
    </w:tbl>
    <w:p>
      <w:pPr>
        <w:pStyle w:val="78"/>
        <w:spacing w:line="360" w:lineRule="auto"/>
        <w:ind w:firstLine="420"/>
        <w:rPr>
          <w:sz w:val="21"/>
          <w:szCs w:val="21"/>
        </w:rPr>
      </w:pPr>
      <w:r>
        <w:rPr>
          <w:sz w:val="21"/>
          <w:szCs w:val="21"/>
        </w:rPr>
        <w:t>注：*为油膜前沿漂移距离。</w:t>
      </w:r>
    </w:p>
    <w:p>
      <w:pPr>
        <w:pStyle w:val="78"/>
        <w:spacing w:line="240" w:lineRule="auto"/>
        <w:ind w:firstLine="422"/>
        <w:jc w:val="center"/>
        <w:rPr>
          <w:rFonts w:eastAsiaTheme="minorEastAsia"/>
          <w:b/>
          <w:iCs/>
          <w:color w:val="323232"/>
          <w:sz w:val="21"/>
          <w:szCs w:val="21"/>
        </w:rPr>
      </w:pPr>
      <w:r>
        <w:rPr>
          <w:rFonts w:eastAsiaTheme="minorEastAsia"/>
          <w:b/>
          <w:iCs/>
          <w:color w:val="323232"/>
          <w:sz w:val="21"/>
          <w:szCs w:val="21"/>
        </w:rPr>
        <w:t>表</w:t>
      </w:r>
      <w:r>
        <w:rPr>
          <w:rFonts w:hint="eastAsia" w:eastAsiaTheme="minorEastAsia"/>
          <w:b/>
          <w:iCs/>
          <w:color w:val="323232"/>
          <w:sz w:val="21"/>
          <w:szCs w:val="21"/>
        </w:rPr>
        <w:t xml:space="preserve">6.3-5 </w:t>
      </w:r>
      <w:r>
        <w:rPr>
          <w:rFonts w:eastAsiaTheme="minorEastAsia"/>
          <w:b/>
          <w:iCs/>
          <w:color w:val="323232"/>
          <w:sz w:val="21"/>
          <w:szCs w:val="21"/>
        </w:rPr>
        <w:t xml:space="preserve"> </w:t>
      </w:r>
      <w:r>
        <w:rPr>
          <w:rFonts w:hint="eastAsia" w:eastAsiaTheme="minorEastAsia"/>
          <w:b/>
          <w:iCs/>
          <w:color w:val="323232"/>
          <w:sz w:val="21"/>
          <w:szCs w:val="21"/>
        </w:rPr>
        <w:t>90</w:t>
      </w:r>
      <w:r>
        <w:rPr>
          <w:rFonts w:eastAsiaTheme="minorEastAsia"/>
          <w:b/>
          <w:iCs/>
          <w:color w:val="323232"/>
          <w:sz w:val="21"/>
          <w:szCs w:val="21"/>
        </w:rPr>
        <w:t>t</w:t>
      </w:r>
      <w:r>
        <w:rPr>
          <w:rFonts w:hint="eastAsia" w:eastAsiaTheme="minorEastAsia"/>
          <w:b/>
          <w:iCs/>
          <w:color w:val="323232"/>
          <w:sz w:val="21"/>
          <w:szCs w:val="21"/>
        </w:rPr>
        <w:t>柴油</w:t>
      </w:r>
      <w:r>
        <w:rPr>
          <w:rFonts w:eastAsiaTheme="minorEastAsia"/>
          <w:b/>
          <w:iCs/>
          <w:color w:val="323232"/>
          <w:sz w:val="21"/>
          <w:szCs w:val="21"/>
        </w:rPr>
        <w:t>事故溢油扩延特征值</w:t>
      </w:r>
    </w:p>
    <w:tbl>
      <w:tblPr>
        <w:tblStyle w:val="104"/>
        <w:tblW w:w="9048"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4848"/>
        <w:gridCol w:w="4082"/>
        <w:gridCol w:w="11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tblHeader/>
          <w:jc w:val="center"/>
        </w:trPr>
        <w:tc>
          <w:tcPr>
            <w:tcW w:w="4848" w:type="dxa"/>
            <w:tcBorders>
              <w:top w:val="single" w:color="auto" w:sz="12" w:space="0"/>
              <w:left w:val="nil"/>
              <w:bottom w:val="single" w:color="auto" w:sz="6" w:space="0"/>
              <w:tl2br w:val="single" w:color="auto" w:sz="4" w:space="0"/>
            </w:tcBorders>
            <w:vAlign w:val="center"/>
          </w:tcPr>
          <w:p>
            <w:pPr>
              <w:pStyle w:val="46"/>
              <w:ind w:firstLine="452"/>
              <w:jc w:val="right"/>
              <w:rPr>
                <w:szCs w:val="21"/>
              </w:rPr>
            </w:pPr>
            <w:r>
              <w:rPr>
                <w:szCs w:val="21"/>
              </w:rPr>
              <w:t>污  染  物</w:t>
            </w:r>
          </w:p>
          <w:p>
            <w:pPr>
              <w:pStyle w:val="46"/>
              <w:ind w:firstLine="452"/>
              <w:rPr>
                <w:szCs w:val="21"/>
              </w:rPr>
            </w:pPr>
            <w:r>
              <w:rPr>
                <w:szCs w:val="21"/>
              </w:rPr>
              <w:t>特  征  值</w:t>
            </w:r>
          </w:p>
        </w:tc>
        <w:tc>
          <w:tcPr>
            <w:tcW w:w="4082" w:type="dxa"/>
            <w:tcBorders>
              <w:top w:val="single" w:color="auto" w:sz="12" w:space="0"/>
              <w:bottom w:val="single" w:color="auto" w:sz="6" w:space="0"/>
              <w:right w:val="nil"/>
            </w:tcBorders>
            <w:vAlign w:val="center"/>
          </w:tcPr>
          <w:p>
            <w:pPr>
              <w:pStyle w:val="46"/>
              <w:ind w:firstLine="452"/>
              <w:jc w:val="center"/>
              <w:rPr>
                <w:szCs w:val="21"/>
              </w:rPr>
            </w:pPr>
            <w:r>
              <w:rPr>
                <w:szCs w:val="21"/>
              </w:rPr>
              <w:t>原 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6" w:space="0"/>
            </w:tcBorders>
            <w:vAlign w:val="center"/>
          </w:tcPr>
          <w:p>
            <w:pPr>
              <w:pStyle w:val="46"/>
              <w:ind w:firstLine="452"/>
              <w:jc w:val="center"/>
              <w:rPr>
                <w:szCs w:val="21"/>
              </w:rPr>
            </w:pPr>
            <w:r>
              <w:rPr>
                <w:szCs w:val="21"/>
              </w:rPr>
              <w:t>惯性扩展阶段（s）</w:t>
            </w:r>
          </w:p>
        </w:tc>
        <w:tc>
          <w:tcPr>
            <w:tcW w:w="4082" w:type="dxa"/>
            <w:tcBorders>
              <w:top w:val="single" w:color="auto" w:sz="6" w:space="0"/>
              <w:bottom w:val="single" w:color="auto" w:sz="6" w:space="0"/>
              <w:right w:val="nil"/>
            </w:tcBorders>
            <w:vAlign w:val="center"/>
          </w:tcPr>
          <w:p>
            <w:pPr>
              <w:pStyle w:val="46"/>
              <w:ind w:firstLine="452"/>
              <w:jc w:val="center"/>
              <w:rPr>
                <w:szCs w:val="21"/>
              </w:rPr>
            </w:pPr>
            <w:r>
              <w:rPr>
                <w:szCs w:val="21"/>
              </w:rPr>
              <w:t>0～1</w:t>
            </w:r>
            <w:r>
              <w:rPr>
                <w:rFonts w:hint="eastAsia"/>
                <w:szCs w:val="21"/>
              </w:rPr>
              <w:t>036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6" w:space="0"/>
            </w:tcBorders>
            <w:vAlign w:val="center"/>
          </w:tcPr>
          <w:p>
            <w:pPr>
              <w:pStyle w:val="46"/>
              <w:ind w:firstLine="452"/>
              <w:jc w:val="center"/>
              <w:rPr>
                <w:szCs w:val="21"/>
              </w:rPr>
            </w:pPr>
            <w:r>
              <w:rPr>
                <w:szCs w:val="21"/>
              </w:rPr>
              <w:t>粘性扩展阶段（s）</w:t>
            </w:r>
          </w:p>
        </w:tc>
        <w:tc>
          <w:tcPr>
            <w:tcW w:w="4082" w:type="dxa"/>
            <w:tcBorders>
              <w:top w:val="single" w:color="auto" w:sz="6" w:space="0"/>
              <w:bottom w:val="single" w:color="auto" w:sz="6" w:space="0"/>
              <w:right w:val="nil"/>
            </w:tcBorders>
            <w:vAlign w:val="center"/>
          </w:tcPr>
          <w:p>
            <w:pPr>
              <w:pStyle w:val="46"/>
              <w:ind w:firstLine="452"/>
              <w:jc w:val="center"/>
              <w:rPr>
                <w:szCs w:val="21"/>
              </w:rPr>
            </w:pPr>
            <w:r>
              <w:rPr>
                <w:rFonts w:hint="eastAsia"/>
                <w:szCs w:val="21"/>
              </w:rPr>
              <w:t>1036</w:t>
            </w:r>
            <w:r>
              <w:rPr>
                <w:szCs w:val="21"/>
              </w:rPr>
              <w:t>～7</w:t>
            </w:r>
            <w:r>
              <w:rPr>
                <w:rFonts w:hint="eastAsia"/>
                <w:szCs w:val="21"/>
              </w:rPr>
              <w:t>53</w:t>
            </w:r>
            <w:r>
              <w:rPr>
                <w:szCs w:val="21"/>
              </w:rPr>
              <w:t>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6" w:space="0"/>
            </w:tcBorders>
            <w:vAlign w:val="center"/>
          </w:tcPr>
          <w:p>
            <w:pPr>
              <w:pStyle w:val="46"/>
              <w:ind w:firstLine="452"/>
              <w:jc w:val="center"/>
              <w:rPr>
                <w:szCs w:val="21"/>
              </w:rPr>
            </w:pPr>
            <w:r>
              <w:rPr>
                <w:szCs w:val="21"/>
              </w:rPr>
              <w:t>表面张力扩展阶段（s）</w:t>
            </w:r>
          </w:p>
        </w:tc>
        <w:tc>
          <w:tcPr>
            <w:tcW w:w="4082" w:type="dxa"/>
            <w:tcBorders>
              <w:top w:val="single" w:color="auto" w:sz="6" w:space="0"/>
              <w:bottom w:val="single" w:color="auto" w:sz="6" w:space="0"/>
              <w:right w:val="nil"/>
            </w:tcBorders>
            <w:vAlign w:val="center"/>
          </w:tcPr>
          <w:p>
            <w:pPr>
              <w:pStyle w:val="46"/>
              <w:ind w:firstLine="452"/>
              <w:jc w:val="center"/>
              <w:rPr>
                <w:szCs w:val="21"/>
              </w:rPr>
            </w:pPr>
            <w:r>
              <w:rPr>
                <w:szCs w:val="21"/>
              </w:rPr>
              <w:t>7</w:t>
            </w:r>
            <w:r>
              <w:rPr>
                <w:rFonts w:hint="eastAsia"/>
                <w:szCs w:val="21"/>
              </w:rPr>
              <w:t>53</w:t>
            </w:r>
            <w:r>
              <w:rPr>
                <w:szCs w:val="21"/>
              </w:rPr>
              <w:t>4～60</w:t>
            </w:r>
            <w:r>
              <w:rPr>
                <w:rFonts w:hint="eastAsia"/>
                <w:szCs w:val="21"/>
              </w:rPr>
              <w:t>061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6" w:space="0"/>
            </w:tcBorders>
            <w:vAlign w:val="center"/>
          </w:tcPr>
          <w:p>
            <w:pPr>
              <w:pStyle w:val="46"/>
              <w:ind w:firstLine="452"/>
              <w:jc w:val="center"/>
              <w:rPr>
                <w:szCs w:val="21"/>
              </w:rPr>
            </w:pPr>
            <w:r>
              <w:rPr>
                <w:szCs w:val="21"/>
              </w:rPr>
              <w:t>10分钟等效圆半径（m）</w:t>
            </w:r>
          </w:p>
        </w:tc>
        <w:tc>
          <w:tcPr>
            <w:tcW w:w="4082" w:type="dxa"/>
            <w:tcBorders>
              <w:top w:val="single" w:color="auto" w:sz="6" w:space="0"/>
              <w:bottom w:val="single" w:color="auto" w:sz="6" w:space="0"/>
              <w:right w:val="nil"/>
            </w:tcBorders>
            <w:vAlign w:val="center"/>
          </w:tcPr>
          <w:p>
            <w:pPr>
              <w:pStyle w:val="46"/>
              <w:ind w:firstLine="452"/>
              <w:jc w:val="center"/>
              <w:rPr>
                <w:szCs w:val="21"/>
              </w:rPr>
            </w:pPr>
            <w:r>
              <w:rPr>
                <w:rFonts w:hint="eastAsia"/>
                <w:szCs w:val="21"/>
              </w:rPr>
              <w:t>100.6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6" w:space="0"/>
            </w:tcBorders>
            <w:vAlign w:val="center"/>
          </w:tcPr>
          <w:p>
            <w:pPr>
              <w:pStyle w:val="46"/>
              <w:ind w:firstLine="452"/>
              <w:jc w:val="center"/>
              <w:rPr>
                <w:szCs w:val="21"/>
              </w:rPr>
            </w:pPr>
            <w:r>
              <w:rPr>
                <w:szCs w:val="21"/>
              </w:rPr>
              <w:t>10分钟厚度（mm）</w:t>
            </w:r>
          </w:p>
        </w:tc>
        <w:tc>
          <w:tcPr>
            <w:tcW w:w="4082" w:type="dxa"/>
            <w:tcBorders>
              <w:top w:val="single" w:color="auto" w:sz="6" w:space="0"/>
              <w:bottom w:val="single" w:color="auto" w:sz="6" w:space="0"/>
              <w:right w:val="nil"/>
            </w:tcBorders>
            <w:vAlign w:val="center"/>
          </w:tcPr>
          <w:p>
            <w:pPr>
              <w:pStyle w:val="46"/>
              <w:ind w:firstLine="452"/>
              <w:jc w:val="center"/>
              <w:rPr>
                <w:szCs w:val="21"/>
              </w:rPr>
            </w:pPr>
            <w:r>
              <w:rPr>
                <w:szCs w:val="21"/>
              </w:rPr>
              <w:t>3.</w:t>
            </w:r>
            <w:r>
              <w:rPr>
                <w:rFonts w:hint="eastAsia"/>
                <w:szCs w:val="21"/>
              </w:rPr>
              <w:t>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18" w:type="dxa"/>
          <w:trHeight w:val="20" w:hRule="atLeast"/>
          <w:jc w:val="center"/>
        </w:trPr>
        <w:tc>
          <w:tcPr>
            <w:tcW w:w="4848" w:type="dxa"/>
            <w:tcBorders>
              <w:top w:val="single" w:color="auto" w:sz="6" w:space="0"/>
              <w:left w:val="nil"/>
              <w:bottom w:val="single" w:color="auto" w:sz="12" w:space="0"/>
            </w:tcBorders>
            <w:vAlign w:val="center"/>
          </w:tcPr>
          <w:p>
            <w:pPr>
              <w:pStyle w:val="46"/>
              <w:ind w:firstLine="452"/>
              <w:jc w:val="center"/>
              <w:rPr>
                <w:szCs w:val="21"/>
              </w:rPr>
            </w:pPr>
            <w:r>
              <w:rPr>
                <w:szCs w:val="21"/>
              </w:rPr>
              <w:t>临界厚度（mm）</w:t>
            </w:r>
          </w:p>
        </w:tc>
        <w:tc>
          <w:tcPr>
            <w:tcW w:w="4082" w:type="dxa"/>
            <w:tcBorders>
              <w:top w:val="single" w:color="auto" w:sz="6" w:space="0"/>
              <w:bottom w:val="single" w:color="auto" w:sz="12" w:space="0"/>
              <w:right w:val="nil"/>
            </w:tcBorders>
            <w:vAlign w:val="center"/>
          </w:tcPr>
          <w:p>
            <w:pPr>
              <w:pStyle w:val="46"/>
              <w:ind w:firstLine="452"/>
              <w:jc w:val="center"/>
              <w:rPr>
                <w:szCs w:val="21"/>
              </w:rPr>
            </w:pPr>
            <w:r>
              <w:rPr>
                <w:szCs w:val="21"/>
              </w:rPr>
              <w:t>1.9</w:t>
            </w:r>
            <w:r>
              <w:rPr>
                <w:rFonts w:hint="eastAsia"/>
                <w:szCs w:val="21"/>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4848" w:type="dxa"/>
            <w:tcBorders>
              <w:top w:val="single" w:color="auto" w:sz="6" w:space="0"/>
              <w:left w:val="nil"/>
              <w:bottom w:val="single" w:color="auto" w:sz="12" w:space="0"/>
            </w:tcBorders>
            <w:vAlign w:val="center"/>
          </w:tcPr>
          <w:p>
            <w:pPr>
              <w:pStyle w:val="46"/>
              <w:ind w:firstLine="452"/>
              <w:jc w:val="center"/>
              <w:rPr>
                <w:szCs w:val="21"/>
              </w:rPr>
            </w:pPr>
            <w:r>
              <w:rPr>
                <w:szCs w:val="21"/>
              </w:rPr>
              <w:t>临界厚度（mm）</w:t>
            </w:r>
          </w:p>
        </w:tc>
        <w:tc>
          <w:tcPr>
            <w:tcW w:w="4200" w:type="dxa"/>
            <w:gridSpan w:val="2"/>
            <w:tcBorders>
              <w:top w:val="single" w:color="auto" w:sz="6" w:space="0"/>
              <w:bottom w:val="single" w:color="auto" w:sz="12" w:space="0"/>
              <w:right w:val="nil"/>
            </w:tcBorders>
            <w:vAlign w:val="center"/>
          </w:tcPr>
          <w:p>
            <w:pPr>
              <w:pStyle w:val="46"/>
              <w:ind w:firstLine="452"/>
              <w:jc w:val="center"/>
              <w:rPr>
                <w:szCs w:val="21"/>
              </w:rPr>
            </w:pPr>
            <w:r>
              <w:rPr>
                <w:szCs w:val="21"/>
              </w:rPr>
              <w:t>0.7</w:t>
            </w:r>
            <w:r>
              <w:rPr>
                <w:rFonts w:hint="eastAsia"/>
                <w:szCs w:val="21"/>
              </w:rPr>
              <w:t>2</w:t>
            </w:r>
          </w:p>
        </w:tc>
      </w:tr>
    </w:tbl>
    <w:p>
      <w:pPr>
        <w:pStyle w:val="6"/>
        <w:ind w:hanging="1290"/>
      </w:pPr>
      <w:r>
        <w:t>预测结果分析</w:t>
      </w:r>
    </w:p>
    <w:p>
      <w:pPr>
        <w:pStyle w:val="78"/>
        <w:spacing w:line="360" w:lineRule="auto"/>
        <w:ind w:firstLine="480"/>
      </w:pPr>
      <w:r>
        <w:t>在风速</w:t>
      </w:r>
      <w:r>
        <w:rPr>
          <w:rFonts w:hint="eastAsia"/>
        </w:rPr>
        <w:t>1.9</w:t>
      </w:r>
      <w:r>
        <w:t>m/s，水流速度</w:t>
      </w:r>
      <w:r>
        <w:rPr>
          <w:rFonts w:hint="eastAsia"/>
        </w:rPr>
        <w:t>2.0</w:t>
      </w:r>
      <w:r>
        <w:t>m/s情况下发生溢油时，油膜将在发生事故后约</w:t>
      </w:r>
      <w:r>
        <w:rPr>
          <w:rFonts w:hint="eastAsia"/>
        </w:rPr>
        <w:t>15分钟</w:t>
      </w:r>
      <w:r>
        <w:t>漂浮至码头下游约</w:t>
      </w:r>
      <w:r>
        <w:rPr>
          <w:rFonts w:hint="eastAsia"/>
        </w:rPr>
        <w:t>1.8</w:t>
      </w:r>
      <w:r>
        <w:t>km的</w:t>
      </w:r>
      <w:r>
        <w:rPr>
          <w:rFonts w:hint="eastAsia"/>
        </w:rPr>
        <w:t>陆城二水厂</w:t>
      </w:r>
      <w:r>
        <w:t>取水口水域，此时，油膜直径为</w:t>
      </w:r>
      <w:r>
        <w:rPr>
          <w:rFonts w:hint="eastAsia"/>
        </w:rPr>
        <w:t>246.3</w:t>
      </w:r>
      <w:r>
        <w:t>m，面积为</w:t>
      </w:r>
      <w:r>
        <w:rPr>
          <w:rFonts w:hint="eastAsia"/>
        </w:rPr>
        <w:t>47643.5</w:t>
      </w:r>
      <w:r>
        <w:t>m</w:t>
      </w:r>
      <w:r>
        <w:rPr>
          <w:vertAlign w:val="superscript"/>
        </w:rPr>
        <w:t>2</w:t>
      </w:r>
      <w:r>
        <w:t>。</w:t>
      </w:r>
    </w:p>
    <w:p>
      <w:pPr>
        <w:pStyle w:val="78"/>
        <w:spacing w:line="360" w:lineRule="auto"/>
        <w:ind w:firstLine="480"/>
      </w:pPr>
      <w:r>
        <w:t>油膜将在发生事故后约</w:t>
      </w:r>
      <w:r>
        <w:rPr>
          <w:rFonts w:hint="eastAsia"/>
        </w:rPr>
        <w:t>31分钟</w:t>
      </w:r>
      <w:r>
        <w:t>漂浮至码头下游约</w:t>
      </w:r>
      <w:r>
        <w:rPr>
          <w:rFonts w:hint="eastAsia"/>
        </w:rPr>
        <w:t>3.8</w:t>
      </w:r>
      <w:r>
        <w:t>km的</w:t>
      </w:r>
      <w:r>
        <w:rPr>
          <w:rFonts w:hint="eastAsia"/>
        </w:rPr>
        <w:t>田家河水厂</w:t>
      </w:r>
      <w:r>
        <w:t>取水口水域，此时，油膜直径为</w:t>
      </w:r>
      <w:r>
        <w:rPr>
          <w:rFonts w:hint="eastAsia"/>
        </w:rPr>
        <w:t>305.1</w:t>
      </w:r>
      <w:r>
        <w:t>m，面积为</w:t>
      </w:r>
      <w:r>
        <w:rPr>
          <w:rFonts w:hint="eastAsia"/>
        </w:rPr>
        <w:t>73095.7</w:t>
      </w:r>
      <w:r>
        <w:t>m</w:t>
      </w:r>
      <w:r>
        <w:rPr>
          <w:vertAlign w:val="superscript"/>
        </w:rPr>
        <w:t>2</w:t>
      </w:r>
      <w:r>
        <w:t>。</w:t>
      </w:r>
    </w:p>
    <w:p>
      <w:pPr>
        <w:autoSpaceDE w:val="0"/>
        <w:autoSpaceDN w:val="0"/>
        <w:adjustRightInd w:val="0"/>
        <w:spacing w:line="360" w:lineRule="auto"/>
        <w:ind w:firstLine="480" w:firstLineChars="200"/>
        <w:jc w:val="left"/>
        <w:rPr>
          <w:rFonts w:ascii="宋体" w:hAnsi="TimesNewRomanPSMT" w:cs="宋体"/>
          <w:kern w:val="0"/>
          <w:sz w:val="24"/>
        </w:rPr>
      </w:pPr>
      <w:r>
        <w:rPr>
          <w:rFonts w:hint="eastAsia" w:ascii="宋体" w:hAnsi="TimesNewRomanPSMT" w:cs="宋体"/>
          <w:kern w:val="0"/>
          <w:sz w:val="24"/>
        </w:rPr>
        <w:t>由于码头下游水厂的取水口设置在水面</w:t>
      </w:r>
      <w:r>
        <w:rPr>
          <w:rFonts w:ascii="TimesNewRomanPSMT" w:hAnsi="TimesNewRomanPSMT" w:cs="TimesNewRomanPSMT" w:eastAsiaTheme="minorEastAsia"/>
          <w:kern w:val="0"/>
          <w:sz w:val="24"/>
        </w:rPr>
        <w:t>1.5m</w:t>
      </w:r>
      <w:r>
        <w:rPr>
          <w:rFonts w:hint="eastAsia" w:ascii="宋体" w:hAnsi="TimesNewRomanPSMT" w:cs="宋体"/>
          <w:kern w:val="0"/>
          <w:sz w:val="24"/>
        </w:rPr>
        <w:t>以下，水厂取水时将不会直接吸入漂浮至该取水口处水域的油膜，但将会对其水质造成污染影响。</w:t>
      </w:r>
    </w:p>
    <w:p>
      <w:pPr>
        <w:autoSpaceDE w:val="0"/>
        <w:autoSpaceDN w:val="0"/>
        <w:adjustRightInd w:val="0"/>
        <w:spacing w:line="360" w:lineRule="auto"/>
        <w:ind w:firstLine="480" w:firstLineChars="200"/>
        <w:jc w:val="left"/>
        <w:rPr>
          <w:sz w:val="24"/>
        </w:rPr>
      </w:pPr>
      <w:r>
        <w:rPr>
          <w:sz w:val="24"/>
        </w:rPr>
        <w:t>为保护</w:t>
      </w:r>
      <w:r>
        <w:rPr>
          <w:rFonts w:hint="eastAsia"/>
          <w:sz w:val="24"/>
        </w:rPr>
        <w:t>长江</w:t>
      </w:r>
      <w:r>
        <w:rPr>
          <w:sz w:val="24"/>
        </w:rPr>
        <w:t>水质，必须通过严格的环境管理，尽量杜绝此类事故的发生。并通过建立有关制度、完善设备，提高人员素质和制定溢油应急计划，采取适当的控制溢油事故措施，以控制溢油事故的污染。码头一旦发生风险事故，应立即启动溢油应急计划，采取事故应急措施，降低溢油事故对环境的影响。</w:t>
      </w:r>
    </w:p>
    <w:p>
      <w:pPr>
        <w:pStyle w:val="6"/>
        <w:ind w:hanging="1290"/>
      </w:pPr>
      <w:r>
        <w:rPr>
          <w:rFonts w:hint="eastAsia"/>
        </w:rPr>
        <w:t>风险可接收水平分析</w:t>
      </w:r>
    </w:p>
    <w:p>
      <w:pPr>
        <w:autoSpaceDE w:val="0"/>
        <w:autoSpaceDN w:val="0"/>
        <w:adjustRightInd w:val="0"/>
        <w:spacing w:line="360" w:lineRule="auto"/>
        <w:ind w:firstLine="480" w:firstLineChars="200"/>
        <w:jc w:val="left"/>
        <w:rPr>
          <w:sz w:val="24"/>
        </w:rPr>
      </w:pPr>
      <w:r>
        <w:rPr>
          <w:rFonts w:hint="eastAsia" w:ascii="宋体" w:cs="宋体" w:hAnsiTheme="minorHAnsi"/>
          <w:kern w:val="0"/>
          <w:sz w:val="24"/>
        </w:rPr>
        <w:t>本工程风险来自运输船只泄露，不同于有毒有害和易燃易爆物质的生产、使用、储运等项目的环境风险评价。结合工程货运量预测，风险源仅为概率很低的船舶事故碰撞的溢油，发生事故后基本不会造成人员致死事故。发生溢油事故时，油膜到达现有最近取水口时间为</w:t>
      </w:r>
      <w:r>
        <w:rPr>
          <w:rFonts w:ascii="宋体" w:cs="宋体" w:hAnsiTheme="minorHAnsi"/>
          <w:kern w:val="0"/>
          <w:sz w:val="24"/>
        </w:rPr>
        <w:t>1</w:t>
      </w:r>
      <w:r>
        <w:rPr>
          <w:rFonts w:hint="eastAsia" w:ascii="宋体" w:cs="宋体" w:hAnsiTheme="minorHAnsi"/>
          <w:kern w:val="0"/>
          <w:sz w:val="24"/>
        </w:rPr>
        <w:t>5</w:t>
      </w:r>
      <w:r>
        <w:rPr>
          <w:rFonts w:ascii="宋体" w:cs="宋体" w:hAnsiTheme="minorHAnsi"/>
          <w:kern w:val="0"/>
          <w:sz w:val="24"/>
        </w:rPr>
        <w:t xml:space="preserve"> </w:t>
      </w:r>
      <w:r>
        <w:rPr>
          <w:rFonts w:hint="eastAsia" w:ascii="宋体" w:cs="宋体" w:hAnsiTheme="minorHAnsi"/>
          <w:kern w:val="0"/>
          <w:sz w:val="24"/>
        </w:rPr>
        <w:t>分，到达规划最近取水口的时间为</w:t>
      </w:r>
      <w:r>
        <w:rPr>
          <w:rFonts w:ascii="宋体" w:cs="宋体" w:hAnsiTheme="minorHAnsi"/>
          <w:kern w:val="0"/>
          <w:sz w:val="24"/>
        </w:rPr>
        <w:t>3</w:t>
      </w:r>
      <w:r>
        <w:rPr>
          <w:rFonts w:hint="eastAsia" w:ascii="宋体" w:cs="宋体" w:hAnsiTheme="minorHAnsi"/>
          <w:kern w:val="0"/>
          <w:sz w:val="24"/>
        </w:rPr>
        <w:t>0分，鉴于本工程配置足够的应急设备，事故发生时可以在较短时间内启动应急议案，可以在溢油到达取水口之前实施有效拦截，从而有效控制溢油对长江水污染，因此工程最大可信灾害事故风险值</w:t>
      </w:r>
      <w:r>
        <w:rPr>
          <w:rFonts w:ascii="宋体" w:cs="宋体" w:hAnsiTheme="minorHAnsi"/>
          <w:kern w:val="0"/>
          <w:sz w:val="24"/>
        </w:rPr>
        <w:t xml:space="preserve">Rmax </w:t>
      </w:r>
      <w:r>
        <w:rPr>
          <w:rFonts w:hint="eastAsia" w:ascii="宋体" w:cs="宋体" w:hAnsiTheme="minorHAnsi"/>
          <w:kern w:val="0"/>
          <w:sz w:val="24"/>
        </w:rPr>
        <w:t>小于可接受风险水平</w:t>
      </w:r>
      <w:r>
        <w:rPr>
          <w:rFonts w:ascii="宋体" w:cs="宋体" w:hAnsiTheme="minorHAnsi"/>
          <w:kern w:val="0"/>
          <w:sz w:val="24"/>
        </w:rPr>
        <w:t>Rl</w:t>
      </w:r>
      <w:r>
        <w:rPr>
          <w:rFonts w:hint="eastAsia" w:ascii="宋体" w:cs="宋体" w:hAnsiTheme="minorHAnsi"/>
          <w:kern w:val="0"/>
          <w:sz w:val="24"/>
        </w:rPr>
        <w:t>，本工程建设风险水平是可以接受的。</w:t>
      </w:r>
    </w:p>
    <w:p>
      <w:pPr>
        <w:pStyle w:val="5"/>
        <w:tabs>
          <w:tab w:val="left" w:pos="567"/>
        </w:tabs>
        <w:spacing w:before="62" w:beforeLines="20" w:line="360" w:lineRule="auto"/>
        <w:ind w:left="0" w:firstLine="0"/>
        <w:rPr>
          <w:rFonts w:ascii="宋体" w:hAnsi="宋体" w:eastAsia="宋体"/>
          <w:b/>
          <w:sz w:val="28"/>
          <w:szCs w:val="28"/>
        </w:rPr>
      </w:pPr>
      <w:r>
        <w:rPr>
          <w:rFonts w:ascii="宋体" w:hAnsi="宋体" w:eastAsia="宋体"/>
          <w:b/>
          <w:sz w:val="28"/>
          <w:szCs w:val="28"/>
        </w:rPr>
        <w:tab/>
      </w:r>
      <w:bookmarkStart w:id="188" w:name="_Toc317843083"/>
      <w:bookmarkStart w:id="189" w:name="_Toc350087935"/>
      <w:bookmarkStart w:id="190" w:name="_Toc410895466"/>
      <w:bookmarkStart w:id="191" w:name="_Toc237341017"/>
      <w:bookmarkStart w:id="192" w:name="_Toc442195733"/>
      <w:r>
        <w:rPr>
          <w:rFonts w:ascii="宋体" w:hAnsi="宋体" w:eastAsia="宋体"/>
          <w:b/>
          <w:sz w:val="28"/>
          <w:szCs w:val="28"/>
        </w:rPr>
        <w:t>水生生态风险影响分析</w:t>
      </w:r>
      <w:bookmarkEnd w:id="188"/>
      <w:bookmarkEnd w:id="189"/>
      <w:bookmarkEnd w:id="190"/>
      <w:bookmarkEnd w:id="191"/>
      <w:bookmarkEnd w:id="192"/>
    </w:p>
    <w:p>
      <w:pPr>
        <w:pStyle w:val="78"/>
        <w:spacing w:line="360" w:lineRule="auto"/>
        <w:ind w:firstLine="480"/>
      </w:pPr>
      <w:r>
        <w:t>国内外许多的研究表明高浓度的石油会使鱼卵、仔幼鱼短时间内中毒死亡．低浓度的长期亚急性毒性可干扰鱼类摄食和繁殖，其毒性随石油组分的不同而有差异。</w:t>
      </w:r>
    </w:p>
    <w:p>
      <w:pPr>
        <w:pStyle w:val="78"/>
        <w:spacing w:line="360" w:lineRule="auto"/>
        <w:ind w:firstLine="480"/>
      </w:pPr>
      <w:r>
        <w:t>① 对鱼类的急性毒性测试</w:t>
      </w:r>
    </w:p>
    <w:p>
      <w:pPr>
        <w:pStyle w:val="78"/>
        <w:spacing w:line="360" w:lineRule="auto"/>
        <w:ind w:firstLine="480"/>
      </w:pPr>
      <w:r>
        <w:t>根据近年来对几种不同的汉江鱼类仔鱼的毒性试验结果表明，石油类对鲤鱼仔鱼96h的LC</w:t>
      </w:r>
      <w:r>
        <w:rPr>
          <w:vertAlign w:val="subscript"/>
        </w:rPr>
        <w:t>50</w:t>
      </w:r>
      <w:r>
        <w:t>值为0.5～3.0mg/L，因此污染带瞬时高浓度排放（即事故性排放）可导致急性中毒死鱼事故。</w:t>
      </w:r>
    </w:p>
    <w:p>
      <w:pPr>
        <w:pStyle w:val="78"/>
        <w:spacing w:line="360" w:lineRule="auto"/>
        <w:ind w:firstLine="480"/>
      </w:pPr>
      <w:r>
        <w:t>② 石油类在鱼体内的蓄积残留分析</w:t>
      </w:r>
    </w:p>
    <w:p>
      <w:pPr>
        <w:pStyle w:val="78"/>
        <w:spacing w:line="360" w:lineRule="auto"/>
        <w:ind w:firstLine="480"/>
      </w:pPr>
      <w:r>
        <w:t>污染因子石油类在鱼体中的积累和残留可引起鱼类慢性中毒而带来长效应的污染影响，这种影响不仅可引起鱼类资源的变动，甚至会引起鱼类种质的变异。鱼类一旦与油分子接触就会在短时间内发生油臭，从而影响其食用价值。以20号燃料油为例，当石油类浓度为0.01mg/L时，7天之内就能对大部分的鱼、虾产生油味，30天内会使绝大多数鱼类产生异味。</w:t>
      </w:r>
    </w:p>
    <w:p>
      <w:pPr>
        <w:pStyle w:val="78"/>
        <w:spacing w:line="360" w:lineRule="auto"/>
        <w:ind w:firstLine="480"/>
      </w:pPr>
      <w:r>
        <w:t>③ 石油类对鱼的致突变性分析</w:t>
      </w:r>
    </w:p>
    <w:p>
      <w:pPr>
        <w:pStyle w:val="78"/>
        <w:spacing w:line="360" w:lineRule="auto"/>
        <w:ind w:firstLine="480"/>
      </w:pPr>
      <w:r>
        <w:t>微核的产生是在诱变物作用之下造成染色体损伤而发生变异的一种形式，根据近年来对几种定居性的汉江鱼类仔鱼鱼类外周血微核试验表明，汉江鱼类（主要是定居性鱼类）微核的高检出率是由于江段水环境污染物的高浓度诱变物的诱发作用而引起，而石油类污染物可能是其主要的诱变源。</w:t>
      </w:r>
    </w:p>
    <w:p>
      <w:pPr>
        <w:pStyle w:val="78"/>
        <w:spacing w:line="360" w:lineRule="auto"/>
        <w:ind w:firstLine="480"/>
      </w:pPr>
      <w:r>
        <w:t>④ 对浮游植物的影响</w:t>
      </w:r>
    </w:p>
    <w:p>
      <w:pPr>
        <w:pStyle w:val="78"/>
        <w:spacing w:line="360" w:lineRule="auto"/>
        <w:ind w:firstLine="480"/>
      </w:pPr>
      <w:r>
        <w:t>实验证明石油会破坏浮游植物细胞，损坏叶绿素及干扰气体交换，从而妨碍它们的光合作用。这种破坏作用程度取决于石油的类型、浓度及浮游植物的种类。根据国内外许多毒性实验结果表明，作为鱼、虾类饵料基础的浮游植物，对各类油类的耐受能力都很低。一般浮游植物石油急性中毒致死浓度为0.1～10.0mg/L，一般为1.0～3.6mg/L，对于更敏感的种类，油浓度低于0.1mg/L时，也会妨碍细胞的分裂和生长的速率。</w:t>
      </w:r>
    </w:p>
    <w:p>
      <w:pPr>
        <w:pStyle w:val="78"/>
        <w:spacing w:line="360" w:lineRule="auto"/>
        <w:ind w:firstLine="480"/>
      </w:pPr>
      <w:r>
        <w:t>⑤ 对浮游动物的影响</w:t>
      </w:r>
    </w:p>
    <w:p>
      <w:pPr>
        <w:pStyle w:val="78"/>
        <w:spacing w:line="360" w:lineRule="auto"/>
        <w:ind w:firstLine="480"/>
      </w:pPr>
      <w:r>
        <w:t>浮游动物石油急性中毒致死浓度范围一般为0.1～15mg/L，而且通过不同浓度的石油类环境对桡足类幼体的影响实验表明，永久性（终生性）浮游动物幼体的敏感性大于阶段性（临时性）的底栖生物幼体，而它们各自的幼体的敏感性又大于成体。</w:t>
      </w:r>
    </w:p>
    <w:p>
      <w:pPr>
        <w:pStyle w:val="78"/>
        <w:spacing w:line="360" w:lineRule="auto"/>
        <w:ind w:firstLine="480"/>
        <w:rPr>
          <w:rFonts w:cs="Arial"/>
        </w:rPr>
      </w:pPr>
      <w:r>
        <w:t>根据所述，石油类对水生生物产生中毒影响的浓度阈值普遍较低，因此项目营运期一旦发生溢油污染，将会造成污染水域内鱼类急性中毒和鱼的致突变性等，对浮游植物和动物也会产生一定的中毒影响，严重的影响将会造成部分鱼类、水生动植物中毒死亡事故。</w:t>
      </w:r>
    </w:p>
    <w:p>
      <w:pPr>
        <w:pStyle w:val="5"/>
        <w:tabs>
          <w:tab w:val="left" w:pos="567"/>
        </w:tabs>
        <w:spacing w:before="62" w:beforeLines="20" w:line="360" w:lineRule="auto"/>
        <w:ind w:left="0" w:firstLine="0"/>
        <w:rPr>
          <w:rFonts w:ascii="宋体" w:hAnsi="宋体" w:eastAsia="宋体"/>
          <w:b/>
          <w:color w:val="0000FF"/>
          <w:sz w:val="28"/>
          <w:szCs w:val="28"/>
        </w:rPr>
      </w:pPr>
      <w:bookmarkStart w:id="193" w:name="_Toc442195736"/>
      <w:bookmarkStart w:id="194" w:name="_Toc410895469"/>
      <w:r>
        <w:rPr>
          <w:rFonts w:hint="eastAsia" w:ascii="宋体" w:hAnsi="宋体" w:eastAsia="宋体"/>
          <w:b/>
          <w:color w:val="0000FF"/>
          <w:sz w:val="28"/>
          <w:szCs w:val="28"/>
        </w:rPr>
        <w:t>小结</w:t>
      </w:r>
      <w:bookmarkEnd w:id="193"/>
      <w:bookmarkEnd w:id="194"/>
    </w:p>
    <w:p>
      <w:pPr>
        <w:pStyle w:val="4"/>
        <w:spacing w:line="360" w:lineRule="auto"/>
        <w:ind w:firstLine="480"/>
        <w:rPr>
          <w:rFonts w:ascii="宋体" w:hAnsi="宋体"/>
          <w:kern w:val="0"/>
          <w:sz w:val="24"/>
          <w:shd w:val="clear" w:color="auto" w:fill="FFFFFF"/>
          <w:lang w:val="zh-CN"/>
        </w:rPr>
        <w:sectPr>
          <w:headerReference r:id="rId14" w:type="default"/>
          <w:pgSz w:w="11906" w:h="16838"/>
          <w:pgMar w:top="1440" w:right="1274" w:bottom="1440" w:left="1800" w:header="851" w:footer="992" w:gutter="0"/>
          <w:cols w:space="425" w:num="1"/>
          <w:docGrid w:type="lines" w:linePitch="312" w:charSpace="0"/>
        </w:sectPr>
      </w:pPr>
      <w:r>
        <w:rPr>
          <w:rFonts w:hint="eastAsia" w:ascii="宋体" w:hAnsi="宋体"/>
          <w:kern w:val="0"/>
          <w:sz w:val="24"/>
          <w:shd w:val="clear" w:color="auto" w:fill="FFFFFF"/>
          <w:lang w:val="zh-CN"/>
        </w:rPr>
        <w:t>建设项目存在一定潜在事故风险，建设单位要按有关重大危险源的管理要求加强风险管理，并认真落实各种风险防范措施，通过相应的技术手段尽量降低风险发生概率。在风险事故发生后，应立即启动事故应急预案，使事故得到有效控制，工程在加强风险管理，并确保环境风险防范措施和应急预案落实的条件下，项目的建设从环境风险的角度考虑是可以接受的。</w:t>
      </w:r>
    </w:p>
    <w:p>
      <w:pPr>
        <w:pStyle w:val="2"/>
        <w:tabs>
          <w:tab w:val="left" w:pos="2520"/>
          <w:tab w:val="clear" w:pos="6231"/>
        </w:tabs>
        <w:spacing w:before="468" w:beforeLines="150" w:after="468" w:afterLines="150" w:line="360" w:lineRule="auto"/>
        <w:ind w:left="2881" w:hanging="2342"/>
      </w:pPr>
      <w:bookmarkStart w:id="195" w:name="_Toc440457439"/>
      <w:bookmarkStart w:id="196" w:name="_Toc442195737"/>
      <w:r>
        <w:rPr>
          <w:rFonts w:hint="eastAsia"/>
        </w:rPr>
        <w:t>.</w:t>
      </w:r>
      <w:bookmarkEnd w:id="195"/>
      <w:r>
        <w:rPr>
          <w:rFonts w:hint="eastAsia"/>
        </w:rPr>
        <w:t>累积影响评价</w:t>
      </w:r>
      <w:bookmarkEnd w:id="196"/>
    </w:p>
    <w:p>
      <w:pPr>
        <w:pStyle w:val="3"/>
        <w:tabs>
          <w:tab w:val="clear" w:pos="3695"/>
        </w:tabs>
        <w:ind w:left="567"/>
      </w:pPr>
      <w:bookmarkStart w:id="197" w:name="_Toc442195738"/>
      <w:r>
        <w:rPr>
          <w:rFonts w:hint="eastAsia"/>
        </w:rPr>
        <w:t>累积影响介绍及VEC确定</w:t>
      </w:r>
      <w:bookmarkEnd w:id="197"/>
    </w:p>
    <w:p>
      <w:pPr>
        <w:pStyle w:val="5"/>
        <w:tabs>
          <w:tab w:val="left" w:pos="567"/>
          <w:tab w:val="clear" w:pos="2138"/>
        </w:tabs>
        <w:spacing w:before="62" w:beforeLines="20" w:line="360" w:lineRule="auto"/>
        <w:ind w:left="0" w:firstLine="0"/>
        <w:rPr>
          <w:rFonts w:ascii="宋体" w:hAnsi="宋体" w:eastAsia="宋体"/>
          <w:b/>
          <w:sz w:val="28"/>
          <w:szCs w:val="28"/>
        </w:rPr>
      </w:pPr>
      <w:bookmarkStart w:id="198" w:name="_Toc442195739"/>
      <w:r>
        <w:rPr>
          <w:rFonts w:hint="eastAsia" w:ascii="宋体" w:hAnsi="宋体" w:eastAsia="宋体"/>
          <w:b/>
          <w:sz w:val="28"/>
          <w:szCs w:val="28"/>
        </w:rPr>
        <w:t>累积影响介绍</w:t>
      </w:r>
      <w:bookmarkEnd w:id="198"/>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相对于项目层次的环境影响评价仅考虑简单的因果关系，一级影响、即时效应、某一具体的环境特征和地点，累积影响的特征表现为综合考虑了由多个项目、复杂的因果关系、诱导影响、相互作用过程、临时和空间覆盖等因素所引起的环境变化。美国环境质量委员会（</w:t>
      </w:r>
      <w:r>
        <w:rPr>
          <w:rFonts w:eastAsiaTheme="minorEastAsia"/>
          <w:kern w:val="0"/>
          <w:sz w:val="24"/>
        </w:rPr>
        <w:t>USCEQ</w:t>
      </w:r>
      <w:r>
        <w:rPr>
          <w:rFonts w:hint="eastAsia" w:ascii="宋体" w:cs="宋体"/>
          <w:kern w:val="0"/>
          <w:sz w:val="24"/>
        </w:rPr>
        <w:t>）认为：越来越多的事实表明，灾难性的环境影响往往并非源自直接或是间接的施加作用，而是源于一系列的单独性细微影响在日积月累下施加的压力。比如：长期的乱砍滥伐造成了黄土高原目前严重的水土流失；福州市江心洲湿地在长期房地产开发影响下，湿地生态逐渐消失从而引起福州地区气温升高，都是累积环境影响的典型例证。在</w:t>
      </w:r>
      <w:r>
        <w:rPr>
          <w:rFonts w:eastAsiaTheme="minorEastAsia"/>
          <w:kern w:val="0"/>
          <w:sz w:val="24"/>
        </w:rPr>
        <w:t xml:space="preserve">1978 </w:t>
      </w:r>
      <w:r>
        <w:rPr>
          <w:rFonts w:hint="eastAsia" w:ascii="宋体" w:cs="宋体"/>
          <w:kern w:val="0"/>
          <w:sz w:val="24"/>
        </w:rPr>
        <w:t>年美国环境质量委员会（</w:t>
      </w:r>
      <w:r>
        <w:rPr>
          <w:rFonts w:eastAsiaTheme="minorEastAsia"/>
          <w:kern w:val="0"/>
          <w:sz w:val="24"/>
        </w:rPr>
        <w:t>USCEQ</w:t>
      </w:r>
      <w:r>
        <w:rPr>
          <w:rFonts w:hint="eastAsia" w:ascii="宋体" w:cs="宋体"/>
          <w:kern w:val="0"/>
          <w:sz w:val="24"/>
        </w:rPr>
        <w:t>）关于必须在国家环境政策法案（</w:t>
      </w:r>
      <w:r>
        <w:rPr>
          <w:rFonts w:eastAsiaTheme="minorEastAsia"/>
          <w:kern w:val="0"/>
          <w:sz w:val="24"/>
        </w:rPr>
        <w:t>NEPA</w:t>
      </w:r>
      <w:r>
        <w:rPr>
          <w:rFonts w:hint="eastAsia" w:ascii="宋体" w:cs="宋体"/>
          <w:kern w:val="0"/>
          <w:sz w:val="24"/>
        </w:rPr>
        <w:t>）下考虑累计影响的一个申明中，将累积环境影响定义为</w:t>
      </w:r>
      <w:r>
        <w:rPr>
          <w:rFonts w:hint="eastAsia" w:ascii="TimesNewRoman" w:eastAsia="TimesNewRoman" w:cs="TimesNewRoman"/>
          <w:kern w:val="0"/>
          <w:sz w:val="24"/>
        </w:rPr>
        <w:t>“</w:t>
      </w:r>
      <w:r>
        <w:rPr>
          <w:rFonts w:hint="eastAsia" w:ascii="宋体" w:cs="宋体"/>
          <w:kern w:val="0"/>
          <w:sz w:val="24"/>
        </w:rPr>
        <w:t>当一项活动与其他过去、现在和可以合理遇见的将来的行动结合在一起时所产生的对环境增加的影响</w:t>
      </w:r>
      <w:r>
        <w:rPr>
          <w:rFonts w:hint="eastAsia" w:ascii="TimesNewRoman" w:eastAsia="TimesNewRoman" w:cs="TimesNewRoman"/>
          <w:kern w:val="0"/>
          <w:sz w:val="24"/>
        </w:rPr>
        <w:t>……</w:t>
      </w:r>
      <w:r>
        <w:rPr>
          <w:rFonts w:hint="eastAsia" w:ascii="宋体" w:cs="宋体"/>
          <w:kern w:val="0"/>
          <w:sz w:val="24"/>
        </w:rPr>
        <w:t>累积影响来源于发生在一段时间内，单独的影响很小，但集合起来影响却非常大的行为</w:t>
      </w:r>
      <w:r>
        <w:rPr>
          <w:rFonts w:hint="eastAsia" w:ascii="TimesNewRoman" w:eastAsia="TimesNewRoman" w:cs="TimesNewRoman"/>
          <w:kern w:val="0"/>
          <w:sz w:val="24"/>
        </w:rPr>
        <w:t>”</w:t>
      </w:r>
      <w:r>
        <w:rPr>
          <w:rFonts w:hint="eastAsia" w:ascii="宋体" w:cs="宋体"/>
          <w:kern w:val="0"/>
          <w:sz w:val="24"/>
        </w:rPr>
        <w:t>。</w:t>
      </w:r>
    </w:p>
    <w:p>
      <w:pPr>
        <w:autoSpaceDE w:val="0"/>
        <w:autoSpaceDN w:val="0"/>
        <w:adjustRightInd w:val="0"/>
        <w:spacing w:line="360" w:lineRule="auto"/>
        <w:ind w:firstLine="480" w:firstLineChars="200"/>
        <w:jc w:val="left"/>
        <w:rPr>
          <w:rFonts w:ascii="宋体" w:cs="宋体"/>
          <w:kern w:val="0"/>
          <w:sz w:val="24"/>
        </w:rPr>
      </w:pPr>
      <w:r>
        <w:rPr>
          <w:rFonts w:hint="eastAsia" w:ascii="宋体" w:cs="宋体" w:hAnsiTheme="minorHAnsi"/>
          <w:kern w:val="0"/>
          <w:sz w:val="24"/>
        </w:rPr>
        <w:t>本报告将通过回顾项目上位规划，综合本项目建设影响情况，作出累积影响分析。</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199" w:name="_Toc442195740"/>
      <w:r>
        <w:rPr>
          <w:rFonts w:hint="eastAsia" w:ascii="宋体" w:hAnsi="宋体" w:eastAsia="宋体"/>
          <w:b/>
          <w:sz w:val="28"/>
          <w:szCs w:val="28"/>
        </w:rPr>
        <w:t>累积影响评价方法</w:t>
      </w:r>
      <w:bookmarkEnd w:id="199"/>
    </w:p>
    <w:p>
      <w:pPr>
        <w:autoSpaceDE w:val="0"/>
        <w:autoSpaceDN w:val="0"/>
        <w:adjustRightInd w:val="0"/>
        <w:spacing w:line="360" w:lineRule="auto"/>
        <w:ind w:firstLine="480" w:firstLineChars="200"/>
        <w:jc w:val="left"/>
        <w:rPr>
          <w:rFonts w:ascii="宋体" w:cs="宋体"/>
          <w:kern w:val="0"/>
          <w:sz w:val="24"/>
        </w:rPr>
      </w:pPr>
      <w:r>
        <w:rPr>
          <w:rFonts w:hint="eastAsia" w:ascii="宋体" w:cs="宋体"/>
          <w:kern w:val="0"/>
          <w:sz w:val="24"/>
        </w:rPr>
        <w:t>许多实践工作者针对不同项目的累积影响评价进行了研究，包括评价方法与评价程序。目前，中国的环境评价技术指导要求对累积影响进行考虑，但是尚未提供有关评价方法与评价程序的系统指导。从中华人民共和国《规划环境影响评价技术导则》的规定中研究出一些方法，例如：专家咨询法、矩阵法、网络分析法等。</w:t>
      </w:r>
    </w:p>
    <w:p>
      <w:pPr>
        <w:pStyle w:val="3"/>
        <w:tabs>
          <w:tab w:val="clear" w:pos="3695"/>
        </w:tabs>
        <w:ind w:left="567"/>
      </w:pPr>
      <w:bookmarkStart w:id="200" w:name="_Toc442195741"/>
      <w:r>
        <w:rPr>
          <w:rFonts w:hint="eastAsia"/>
        </w:rPr>
        <w:t>累积影响的范围界定和来源识别</w:t>
      </w:r>
      <w:bookmarkEnd w:id="200"/>
    </w:p>
    <w:p>
      <w:pPr>
        <w:autoSpaceDE w:val="0"/>
        <w:autoSpaceDN w:val="0"/>
        <w:adjustRightInd w:val="0"/>
        <w:spacing w:line="360" w:lineRule="auto"/>
        <w:ind w:firstLine="482" w:firstLineChars="200"/>
        <w:jc w:val="left"/>
        <w:rPr>
          <w:rFonts w:ascii="宋体" w:cs="宋体"/>
          <w:b/>
          <w:kern w:val="0"/>
          <w:sz w:val="24"/>
        </w:rPr>
      </w:pPr>
      <w:r>
        <w:rPr>
          <w:rFonts w:hint="eastAsia" w:ascii="宋体" w:cs="宋体"/>
          <w:b/>
          <w:kern w:val="0"/>
          <w:sz w:val="24"/>
        </w:rPr>
        <w:t>综合本项目建设影响情况以及已有的相关规划，作出累积影响分析。</w:t>
      </w:r>
    </w:p>
    <w:p>
      <w:pPr>
        <w:spacing w:line="360" w:lineRule="auto"/>
        <w:ind w:firstLine="482" w:firstLineChars="200"/>
        <w:rPr>
          <w:b/>
          <w:sz w:val="24"/>
        </w:rPr>
      </w:pPr>
      <w:r>
        <w:rPr>
          <w:rFonts w:hint="eastAsia"/>
          <w:b/>
          <w:sz w:val="24"/>
        </w:rPr>
        <w:t>项目的累计影响分析不仅仅分析对VEC的影响，同时也要从可持续发展的角度分析区域生态承载力状况，根据以上两方面内容来反映累计影响的结果及可接受程度。由于VEC的确定常常根据项目特点及项目区域的特征来确定，而生态承载力国内则有一套较为全面的评价方法（仅按照国内相关规定进行即可），因此VEC确定显得十分重要。</w:t>
      </w:r>
    </w:p>
    <w:p>
      <w:pPr>
        <w:pStyle w:val="5"/>
        <w:tabs>
          <w:tab w:val="left" w:pos="567"/>
          <w:tab w:val="clear" w:pos="2138"/>
        </w:tabs>
        <w:spacing w:before="62" w:beforeLines="20" w:line="360" w:lineRule="auto"/>
        <w:ind w:left="0" w:firstLine="0"/>
        <w:rPr>
          <w:rFonts w:ascii="宋体" w:hAnsi="宋体" w:eastAsia="宋体"/>
          <w:b/>
          <w:sz w:val="28"/>
          <w:szCs w:val="28"/>
        </w:rPr>
      </w:pPr>
      <w:r>
        <w:rPr>
          <w:rFonts w:hint="eastAsia" w:ascii="宋体" w:hAnsi="宋体" w:eastAsia="宋体"/>
          <w:b/>
          <w:sz w:val="28"/>
          <w:szCs w:val="28"/>
        </w:rPr>
        <w:t xml:space="preserve"> </w:t>
      </w:r>
      <w:bookmarkStart w:id="201" w:name="_Toc442195742"/>
      <w:r>
        <w:rPr>
          <w:rFonts w:hint="eastAsia" w:ascii="宋体" w:hAnsi="宋体" w:eastAsia="宋体"/>
          <w:b/>
          <w:sz w:val="28"/>
          <w:szCs w:val="28"/>
        </w:rPr>
        <w:t>VEC确定</w:t>
      </w:r>
      <w:bookmarkEnd w:id="201"/>
    </w:p>
    <w:p>
      <w:pPr>
        <w:spacing w:line="360" w:lineRule="auto"/>
        <w:ind w:firstLine="480" w:firstLineChars="200"/>
        <w:rPr>
          <w:sz w:val="24"/>
        </w:rPr>
      </w:pPr>
      <w:r>
        <w:rPr>
          <w:rFonts w:hint="eastAsia"/>
          <w:sz w:val="24"/>
        </w:rPr>
        <w:t>长江作为中国最为重要的河流，结合项目的特点，选定项目VEC为长江水质、长江岸线和中华鲟（由于前面章节专门对中华鲟进行了分析，此处不在重复）。</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02" w:name="_Toc442195743"/>
      <w:r>
        <w:rPr>
          <w:rFonts w:hint="eastAsia" w:ascii="宋体" w:hAnsi="宋体" w:eastAsia="宋体"/>
          <w:b/>
          <w:sz w:val="28"/>
          <w:szCs w:val="28"/>
        </w:rPr>
        <w:t>生态承载力因子确定</w:t>
      </w:r>
      <w:bookmarkEnd w:id="202"/>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根据国内生态承载力的评价，一般是以土地、地表水、环境空气等为主。</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03" w:name="_Toc442195744"/>
      <w:r>
        <w:rPr>
          <w:rFonts w:hint="eastAsia" w:ascii="宋体" w:hAnsi="宋体" w:eastAsia="宋体"/>
          <w:b/>
          <w:sz w:val="28"/>
          <w:szCs w:val="28"/>
        </w:rPr>
        <w:t>范围界定</w:t>
      </w:r>
      <w:bookmarkEnd w:id="203"/>
    </w:p>
    <w:p>
      <w:pPr>
        <w:autoSpaceDE w:val="0"/>
        <w:autoSpaceDN w:val="0"/>
        <w:adjustRightInd w:val="0"/>
        <w:spacing w:line="360" w:lineRule="auto"/>
        <w:ind w:firstLine="480" w:firstLineChars="200"/>
        <w:jc w:val="left"/>
      </w:pPr>
      <w:r>
        <w:rPr>
          <w:rFonts w:hint="eastAsia" w:ascii="宋体" w:cs="宋体" w:hAnsiTheme="minorHAnsi"/>
          <w:kern w:val="0"/>
          <w:sz w:val="24"/>
        </w:rPr>
        <w:t>与仅针对项目本身所产生的环境影响开展评价不同的是，累积影响评价需要扩大地理界线，并将时间范围延长，使之包含各类资源的叠加影响以及对生态系统和人类群落的叠加影响。本次累积影响评价的第一步是对合理的可预见活动以及累积影响的空间和时间范围作出界定。</w:t>
      </w:r>
    </w:p>
    <w:p>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（1）VEC影响范围及时间确定</w:t>
      </w:r>
    </w:p>
    <w:p>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确定的VEC主要与水有关，按照水系评价十分必要，因此其范围确定为宜昌港的范围（以长江水体为主）。</w:t>
      </w:r>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时间范围根据规划水平年结合当前实际定为</w:t>
      </w:r>
      <w:r>
        <w:rPr>
          <w:rFonts w:asciiTheme="minorEastAsia" w:hAnsiTheme="minorEastAsia" w:eastAsiaTheme="minorEastAsia"/>
          <w:sz w:val="24"/>
        </w:rPr>
        <w:t xml:space="preserve">2020 </w:t>
      </w:r>
      <w:r>
        <w:rPr>
          <w:rFonts w:hint="eastAsia" w:asciiTheme="minorEastAsia" w:hAnsiTheme="minorEastAsia" w:eastAsiaTheme="minorEastAsia"/>
          <w:sz w:val="24"/>
        </w:rPr>
        <w:t>年。</w:t>
      </w:r>
    </w:p>
    <w:p>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（2）生态承载力范围确定</w:t>
      </w:r>
    </w:p>
    <w:p>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根据国内生态承载力的评价，一般是以土地、空气等为主，因此以实际位置区域就显得必要，其空间范围确定为宜昌白洋工业园区，时间范围为2016-2020年。</w:t>
      </w:r>
    </w:p>
    <w:p>
      <w:pPr>
        <w:pStyle w:val="3"/>
        <w:tabs>
          <w:tab w:val="clear" w:pos="3695"/>
        </w:tabs>
        <w:ind w:left="567"/>
      </w:pPr>
      <w:bookmarkStart w:id="204" w:name="_Toc442195745"/>
      <w:r>
        <w:rPr>
          <w:rFonts w:hint="eastAsia"/>
        </w:rPr>
        <w:t>宜昌市港口总体规划</w:t>
      </w:r>
      <w:bookmarkEnd w:id="204"/>
    </w:p>
    <w:p>
      <w:pPr>
        <w:pStyle w:val="5"/>
        <w:tabs>
          <w:tab w:val="left" w:pos="567"/>
          <w:tab w:val="clear" w:pos="2138"/>
        </w:tabs>
        <w:spacing w:before="62" w:beforeLines="20" w:line="360" w:lineRule="auto"/>
        <w:ind w:left="0" w:firstLine="0"/>
        <w:rPr>
          <w:rFonts w:ascii="宋体" w:hAnsi="宋体" w:eastAsia="宋体"/>
          <w:b/>
          <w:sz w:val="28"/>
          <w:szCs w:val="28"/>
        </w:rPr>
      </w:pPr>
      <w:bookmarkStart w:id="205" w:name="_Toc442195746"/>
      <w:r>
        <w:rPr>
          <w:rFonts w:hint="eastAsia" w:ascii="宋体" w:hAnsi="宋体" w:eastAsia="宋体"/>
          <w:b/>
          <w:sz w:val="28"/>
          <w:szCs w:val="28"/>
        </w:rPr>
        <w:t>宜昌港总体规划与本项目关系</w:t>
      </w:r>
      <w:bookmarkEnd w:id="205"/>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根据《宜昌港总体规划》和交规划发［</w:t>
      </w:r>
      <w:r>
        <w:rPr>
          <w:rFonts w:ascii="TimesNewRomanPSMT" w:hAnsi="TimesNewRomanPSMT" w:cs="TimesNewRomanPSMT"/>
          <w:kern w:val="0"/>
          <w:sz w:val="24"/>
        </w:rPr>
        <w:t>2009</w:t>
      </w:r>
      <w:r>
        <w:rPr>
          <w:rFonts w:hint="eastAsia" w:ascii="宋体" w:cs="宋体" w:hAnsiTheme="minorHAnsi"/>
          <w:kern w:val="0"/>
          <w:sz w:val="24"/>
        </w:rPr>
        <w:t>］</w:t>
      </w:r>
      <w:r>
        <w:rPr>
          <w:rFonts w:ascii="TimesNewRomanPSMT" w:hAnsi="TimesNewRomanPSMT" w:cs="TimesNewRomanPSMT"/>
          <w:kern w:val="0"/>
          <w:sz w:val="24"/>
        </w:rPr>
        <w:t xml:space="preserve">320 </w:t>
      </w:r>
      <w:r>
        <w:rPr>
          <w:rFonts w:hint="eastAsia" w:ascii="宋体" w:cs="宋体" w:hAnsiTheme="minorHAnsi"/>
          <w:kern w:val="0"/>
          <w:sz w:val="24"/>
        </w:rPr>
        <w:t>号《关于宜昌港总体规划的批复》，宜昌港将形成主城港区、秭归港区、兴山港区、枝江港区、宜都港区以及长阳港区</w:t>
      </w:r>
      <w:r>
        <w:rPr>
          <w:rFonts w:ascii="TimesNewRomanPSMT" w:hAnsi="TimesNewRomanPSMT" w:cs="TimesNewRomanPSMT"/>
          <w:kern w:val="0"/>
          <w:sz w:val="24"/>
        </w:rPr>
        <w:t xml:space="preserve">6 </w:t>
      </w:r>
      <w:r>
        <w:rPr>
          <w:rFonts w:hint="eastAsia" w:ascii="宋体" w:cs="宋体" w:hAnsiTheme="minorHAnsi"/>
          <w:kern w:val="0"/>
          <w:sz w:val="24"/>
        </w:rPr>
        <w:t>个港区。作为全国内河主要港口和长江中上游地区重要的综合运输枢纽，宜昌港将发展成为以集装箱、大宗干散货、滚装运输和旅游客运为主，具备装卸存储、中转换装、运输组织、临港开发、现代物流、商贸服务等功能的综合性港口。</w:t>
      </w:r>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本工程的水运作业区位于枝江港区的白洋作业区，见图6.3-1。</w:t>
      </w:r>
    </w:p>
    <w:p>
      <w:pPr>
        <w:autoSpaceDE w:val="0"/>
        <w:autoSpaceDN w:val="0"/>
        <w:adjustRightInd w:val="0"/>
        <w:spacing w:line="360" w:lineRule="auto"/>
        <w:ind w:firstLine="480" w:firstLineChars="200"/>
        <w:jc w:val="left"/>
        <w:rPr>
          <w:rFonts w:ascii="宋体" w:cs="宋体" w:hAnsiTheme="minorHAnsi"/>
          <w:kern w:val="0"/>
          <w:sz w:val="24"/>
        </w:rPr>
        <w:sectPr>
          <w:pgSz w:w="11906" w:h="16838"/>
          <w:pgMar w:top="1440" w:right="1274" w:bottom="1440" w:left="1800" w:header="851" w:footer="992" w:gutter="0"/>
          <w:cols w:space="425" w:num="1"/>
          <w:docGrid w:type="lines" w:linePitch="312" w:charSpace="0"/>
        </w:sectPr>
      </w:pPr>
    </w:p>
    <w:p>
      <w:pPr>
        <w:autoSpaceDE w:val="0"/>
        <w:autoSpaceDN w:val="0"/>
        <w:adjustRightInd w:val="0"/>
        <w:spacing w:line="360" w:lineRule="auto"/>
        <w:ind w:firstLine="480" w:firstLineChars="200"/>
        <w:jc w:val="left"/>
        <w:rPr>
          <w:rFonts w:ascii="宋体" w:cs="宋体" w:hAnsiTheme="minorHAnsi"/>
          <w:kern w:val="0"/>
          <w:sz w:val="24"/>
        </w:rPr>
      </w:pPr>
      <w:r>
        <w:rPr>
          <w:rFonts w:ascii="宋体" w:cs="宋体" w:hAnsiTheme="minorHAnsi"/>
          <w:kern w:val="0"/>
          <w:sz w:val="24"/>
        </w:rPr>
        <mc:AlternateContent>
          <mc:Choice Requires="wps">
            <w:drawing>
              <wp:anchor distT="0" distB="0" distL="114300" distR="114300" simplePos="0" relativeHeight="252049408" behindDoc="0" locked="0" layoutInCell="1" allowOverlap="1">
                <wp:simplePos x="0" y="0"/>
                <wp:positionH relativeFrom="column">
                  <wp:posOffset>10179685</wp:posOffset>
                </wp:positionH>
                <wp:positionV relativeFrom="paragraph">
                  <wp:posOffset>22860</wp:posOffset>
                </wp:positionV>
                <wp:extent cx="3590925" cy="4314825"/>
                <wp:effectExtent l="0" t="0" r="28575" b="28575"/>
                <wp:wrapNone/>
                <wp:docPr id="2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590925" cy="4314825"/>
                        </a:xfrm>
                        <a:prstGeom prst="rect">
                          <a:avLst/>
                        </a:prstGeom>
                        <a:solidFill>
                          <a:srgbClr val="FFFFFF">
                            <a:alpha val="0"/>
                          </a:srgbClr>
                        </a:solidFill>
                        <a:ln w="9525">
                          <a:solidFill>
                            <a:srgbClr val="000000"/>
                          </a:solidFill>
                          <a:miter lim="800000"/>
                        </a:ln>
                      </wps:spPr>
                      <wps:txbx>
                        <w:txbxContent>
                          <w:p>
                            <w:pPr/>
                            <w:r>
                              <w:drawing>
                                <wp:inline distT="0" distB="0" distL="0" distR="0">
                                  <wp:extent cx="3390900" cy="43110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6"/>
                                          <a:stretch>
                                            <a:fillRect/>
                                          </a:stretch>
                                        </pic:blipFill>
                                        <pic:spPr>
                                          <a:xfrm>
                                            <a:off x="0" y="0"/>
                                            <a:ext cx="3396536" cy="4318426"/>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801.55pt;margin-top:1.8pt;height:339.75pt;width:282.75pt;z-index:252049408;mso-width-relative:page;mso-height-relative:page;" fillcolor="#FFFFFF" filled="t" stroked="t" coordsize="21600,21600" o:gfxdata="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kxsbt1QAAAAsBAAAPAAAAAAAAAAEAIAAAACIAAABkcnMvZG93bnJldi54bWxQSwECFAAU&#10;AAAACACHTuJAfpYRQC0CAABNBAAADgAAAAAAAAABACAAAAAkAQAAZHJzL2Uyb0RvYy54bWxQSwUG&#10;AAAAAAYABgBZAQAAwwUAAAAA&#10;">
                <v:fill on="t" opacity="0f" focussize="0,0"/>
                <v:stroke color="#000000" miterlimit="8" joinstyle="miter"/>
                <v:imagedata o:title=""/>
                <o:lock v:ext="edit" aspectratio="f"/>
                <v:textbox>
                  <w:txbxContent>
                    <w:p>
                      <w:pPr/>
                      <w:r>
                        <w:drawing>
                          <wp:inline distT="0" distB="0" distL="0" distR="0">
                            <wp:extent cx="3390900" cy="43110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6"/>
                                    <a:stretch>
                                      <a:fillRect/>
                                    </a:stretch>
                                  </pic:blipFill>
                                  <pic:spPr>
                                    <a:xfrm>
                                      <a:off x="0" y="0"/>
                                      <a:ext cx="3396536" cy="4318426"/>
                                    </a:xfrm>
                                    <a:prstGeom prst="rect">
                                      <a:avLst/>
                                    </a:prstGeom>
                                  </pic:spPr>
                                </pic:pic>
                              </a:graphicData>
                            </a:graphic>
                          </wp:inline>
                        </w:drawing>
                      </w:r>
                    </w:p>
                  </w:txbxContent>
                </v:textbox>
              </v:shape>
            </w:pict>
          </mc:Fallback>
        </mc:AlternateContent>
      </w:r>
      <w:r>
        <w:rPr>
          <w:rFonts w:ascii="宋体" w:cs="宋体" w:hAnsiTheme="minorHAnsi"/>
          <w:kern w:val="0"/>
          <w:sz w:val="24"/>
        </w:rPr>
        <mc:AlternateContent>
          <mc:Choice Requires="wps">
            <w:drawing>
              <wp:anchor distT="0" distB="0" distL="114300" distR="114300" simplePos="0" relativeHeight="252051456" behindDoc="0" locked="0" layoutInCell="1" allowOverlap="1">
                <wp:simplePos x="0" y="0"/>
                <wp:positionH relativeFrom="column">
                  <wp:posOffset>9520555</wp:posOffset>
                </wp:positionH>
                <wp:positionV relativeFrom="paragraph">
                  <wp:posOffset>6933565</wp:posOffset>
                </wp:positionV>
                <wp:extent cx="116205" cy="116205"/>
                <wp:effectExtent l="0" t="0" r="17145" b="17145"/>
                <wp:wrapNone/>
                <wp:docPr id="240" name="椭圆 240"/>
                <wp:cNvGraphicFramePr/>
                <a:graphic xmlns:a="http://schemas.openxmlformats.org/drawingml/2006/main">
                  <a:graphicData uri="http://schemas.microsoft.com/office/word/2010/wordprocessingShape">
                    <wps:wsp>
                      <wps:cNvSpPr/>
                      <wps:spPr>
                        <a:xfrm>
                          <a:off x="0" y="0"/>
                          <a:ext cx="116205" cy="11620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749.65pt;margin-top:545.95pt;height:9.15pt;width:9.15pt;z-index:252051456;v-text-anchor:middle;mso-width-relative:page;mso-height-relative:page;" fillcolor="#C0504D [3205]" filled="t" stroked="t" coordsize="21600,21600" o:gfxdata="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ff&#10;+6naAAAADwEAAA8AAAAAAAAAAQAgAAAAIgAAAGRycy9kb3ducmV2LnhtbFBLAQIUABQAAAAIAIdO&#10;4kCquq5sWgIAALYEAAAOAAAAAAAAAAEAIAAAACkBAABkcnMvZTJvRG9jLnhtbFBLBQYAAAAABgAG&#10;AFkBAAD1BQAAAAA=&#10;">
                <v:fill on="t" focussize="0,0"/>
                <v:stroke weight="2pt" color="#8C3836 [3205]" joinstyle="round"/>
                <v:imagedata o:title=""/>
                <o:lock v:ext="edit" aspectratio="f"/>
              </v:shape>
            </w:pict>
          </mc:Fallback>
        </mc:AlternateContent>
      </w:r>
      <w:r>
        <w:rPr>
          <w:rFonts w:ascii="宋体" w:cs="宋体" w:hAnsiTheme="minorHAnsi"/>
          <w:kern w:val="0"/>
          <w:sz w:val="24"/>
        </w:rPr>
        <mc:AlternateContent>
          <mc:Choice Requires="wps">
            <w:drawing>
              <wp:anchor distT="0" distB="0" distL="114300" distR="114300" simplePos="0" relativeHeight="252050432" behindDoc="0" locked="0" layoutInCell="1" allowOverlap="1">
                <wp:simplePos x="0" y="0"/>
                <wp:positionH relativeFrom="column">
                  <wp:posOffset>11007090</wp:posOffset>
                </wp:positionH>
                <wp:positionV relativeFrom="paragraph">
                  <wp:posOffset>5485765</wp:posOffset>
                </wp:positionV>
                <wp:extent cx="914400" cy="612140"/>
                <wp:effectExtent l="1390650" t="19050" r="38100" b="911860"/>
                <wp:wrapNone/>
                <wp:docPr id="239" name="椭圆形标注 239"/>
                <wp:cNvGraphicFramePr/>
                <a:graphic xmlns:a="http://schemas.openxmlformats.org/drawingml/2006/main">
                  <a:graphicData uri="http://schemas.microsoft.com/office/word/2010/wordprocessingShape">
                    <wps:wsp>
                      <wps:cNvSpPr/>
                      <wps:spPr>
                        <a:xfrm>
                          <a:off x="0" y="0"/>
                          <a:ext cx="914400" cy="612140"/>
                        </a:xfrm>
                        <a:prstGeom prst="wedgeEllipseCallout">
                          <a:avLst>
                            <a:gd name="adj1" fmla="val -200620"/>
                            <a:gd name="adj2" fmla="val 194397"/>
                          </a:avLst>
                        </a:prstGeom>
                      </wps:spPr>
                      <wps:style>
                        <a:lnRef idx="2">
                          <a:schemeClr val="accent2"/>
                        </a:lnRef>
                        <a:fillRef idx="1">
                          <a:schemeClr val="lt1"/>
                        </a:fillRef>
                        <a:effectRef idx="0">
                          <a:schemeClr val="accent2"/>
                        </a:effectRef>
                        <a:fontRef idx="minor">
                          <a:schemeClr val="dk1"/>
                        </a:fontRef>
                      </wps:style>
                      <wps:txbx>
                        <w:txbxContent>
                          <w:p>
                            <w:pPr>
                              <w:jc w:val="center"/>
                            </w:pPr>
                            <w:r>
                              <w:rPr>
                                <w:rFonts w:hint="eastAsia"/>
                              </w:rPr>
                              <w:t>本工程</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3" type="#_x0000_t63" style="position:absolute;left:0pt;margin-left:866.7pt;margin-top:431.95pt;height:48.2pt;width:72pt;z-index:252050432;v-text-anchor:middle;mso-width-relative:page;mso-height-relative:page;" fillcolor="#FFFFFF [3201]" filled="t" stroked="t" coordsize="21600,21600" o:gfxdata="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MeGbF3b&#10;AAAADQEAAA8AAAAAAAAAAQAgAAAAIgAAAGRycy9kb3ducmV2LnhtbFBLAQIUABQAAAAIAIdO4kDu&#10;NjxhjwIAAAkFAAAOAAAAAAAAAAEAIAAAACoBAABkcnMvZTJvRG9jLnhtbFBLBQYAAAAABgAGAFkB&#10;AAArBgAAAAA=&#10;" adj="-32534,52790">
                <v:fill on="t" focussize="0,0"/>
                <v:stroke weight="2pt" color="#C0504D [3205]" joinstyle="round"/>
                <v:imagedata o:title=""/>
                <o:lock v:ext="edit" aspectratio="f"/>
                <v:textbox>
                  <w:txbxContent>
                    <w:p>
                      <w:pPr>
                        <w:jc w:val="center"/>
                      </w:pPr>
                      <w:r>
                        <w:rPr>
                          <w:rFonts w:hint="eastAsia"/>
                        </w:rPr>
                        <w:t>本工程</w:t>
                      </w:r>
                    </w:p>
                  </w:txbxContent>
                </v:textbox>
              </v:shape>
            </w:pict>
          </mc:Fallback>
        </mc:AlternateContent>
      </w:r>
      <w:r>
        <w:rPr>
          <w:rFonts w:ascii="宋体" w:cs="宋体" w:hAnsiTheme="minorHAnsi"/>
          <w:kern w:val="0"/>
          <w:sz w:val="24"/>
        </w:rPr>
        <w:drawing>
          <wp:inline distT="0" distB="0" distL="0" distR="0">
            <wp:extent cx="13735050" cy="8842375"/>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13737080" cy="8843619"/>
                    </a:xfrm>
                    <a:prstGeom prst="rect">
                      <a:avLst/>
                    </a:prstGeom>
                    <a:noFill/>
                    <a:ln>
                      <a:noFill/>
                    </a:ln>
                  </pic:spPr>
                </pic:pic>
              </a:graphicData>
            </a:graphic>
          </wp:inline>
        </w:drawing>
      </w:r>
    </w:p>
    <w:p>
      <w:pPr>
        <w:tabs>
          <w:tab w:val="left" w:pos="3784"/>
        </w:tabs>
        <w:autoSpaceDE w:val="0"/>
        <w:autoSpaceDN w:val="0"/>
        <w:adjustRightInd w:val="0"/>
        <w:jc w:val="center"/>
        <w:rPr>
          <w:rFonts w:ascii="宋体" w:cs="宋体" w:hAnsiTheme="minorHAnsi"/>
          <w:b/>
          <w:sz w:val="24"/>
        </w:rPr>
      </w:pPr>
      <w:r>
        <w:rPr>
          <w:rFonts w:hint="eastAsia" w:ascii="宋体" w:cs="宋体" w:hAnsiTheme="minorHAnsi"/>
          <w:b/>
          <w:kern w:val="0"/>
          <w:sz w:val="24"/>
        </w:rPr>
        <w:t>附图6.3-1项目在宜昌港总体规划的位置及与宜昌中华鲟保护区位置关系图</w:t>
      </w:r>
    </w:p>
    <w:p>
      <w:pPr>
        <w:rPr>
          <w:rFonts w:ascii="宋体" w:cs="宋体" w:hAnsiTheme="minorHAnsi"/>
          <w:sz w:val="24"/>
        </w:rPr>
        <w:sectPr>
          <w:pgSz w:w="23820" w:h="16834" w:orient="landscape"/>
          <w:pgMar w:top="851" w:right="536" w:bottom="993" w:left="709" w:header="851" w:footer="992" w:gutter="0"/>
          <w:cols w:space="425" w:num="1"/>
          <w:docGrid w:type="lines" w:linePitch="312" w:charSpace="0"/>
        </w:sectPr>
      </w:pPr>
    </w:p>
    <w:p>
      <w:pPr>
        <w:pStyle w:val="5"/>
        <w:tabs>
          <w:tab w:val="left" w:pos="567"/>
          <w:tab w:val="clear" w:pos="2138"/>
        </w:tabs>
        <w:spacing w:before="62" w:beforeLines="20" w:line="360" w:lineRule="auto"/>
        <w:ind w:left="0" w:firstLine="0"/>
        <w:rPr>
          <w:rFonts w:ascii="宋体" w:hAnsi="宋体" w:eastAsia="宋体"/>
          <w:b/>
          <w:sz w:val="28"/>
          <w:szCs w:val="28"/>
        </w:rPr>
      </w:pPr>
      <w:bookmarkStart w:id="206" w:name="_Toc442195747"/>
      <w:r>
        <w:rPr>
          <w:rFonts w:hint="eastAsia" w:ascii="宋体" w:hAnsi="宋体" w:eastAsia="宋体"/>
          <w:b/>
          <w:sz w:val="28"/>
          <w:szCs w:val="28"/>
        </w:rPr>
        <w:t>宜昌港规划环评</w:t>
      </w:r>
      <w:bookmarkEnd w:id="206"/>
    </w:p>
    <w:p>
      <w:pPr>
        <w:autoSpaceDE w:val="0"/>
        <w:autoSpaceDN w:val="0"/>
        <w:adjustRightInd w:val="0"/>
        <w:spacing w:line="360" w:lineRule="auto"/>
        <w:ind w:firstLine="480" w:firstLineChars="200"/>
        <w:jc w:val="left"/>
        <w:rPr>
          <w:rFonts w:cs="HiddenHorzOCR" w:asciiTheme="minorEastAsia" w:hAnsiTheme="minorEastAsia" w:eastAsiaTheme="minorEastAsia"/>
          <w:color w:val="313434"/>
          <w:kern w:val="0"/>
          <w:sz w:val="24"/>
        </w:rPr>
      </w:pPr>
      <w:r>
        <w:rPr>
          <w:rFonts w:hint="eastAsia" w:cs="HiddenHorzOCR" w:asciiTheme="minorEastAsia" w:hAnsiTheme="minorEastAsia" w:eastAsiaTheme="minorEastAsia"/>
          <w:color w:val="313434"/>
          <w:kern w:val="0"/>
          <w:sz w:val="24"/>
        </w:rPr>
        <w:t>（1）主要环境影响筛选</w:t>
      </w:r>
    </w:p>
    <w:p>
      <w:pPr>
        <w:autoSpaceDE w:val="0"/>
        <w:autoSpaceDN w:val="0"/>
        <w:adjustRightInd w:val="0"/>
        <w:spacing w:line="360" w:lineRule="auto"/>
        <w:ind w:firstLine="480" w:firstLineChars="200"/>
        <w:jc w:val="left"/>
        <w:rPr>
          <w:rFonts w:cs="HiddenHorzOCR" w:asciiTheme="minorEastAsia" w:hAnsiTheme="minorEastAsia" w:eastAsiaTheme="minorEastAsia"/>
          <w:color w:val="313434"/>
          <w:kern w:val="0"/>
          <w:sz w:val="24"/>
        </w:rPr>
      </w:pPr>
      <w:r>
        <w:rPr>
          <w:rFonts w:hint="eastAsia" w:cs="HiddenHorzOCR" w:asciiTheme="minorEastAsia" w:hAnsiTheme="minorEastAsia" w:eastAsiaTheme="minorEastAsia"/>
          <w:color w:val="313434"/>
          <w:kern w:val="0"/>
          <w:sz w:val="24"/>
        </w:rPr>
        <w:t>依据环境及宜</w:t>
      </w:r>
      <w:r>
        <w:rPr>
          <w:rFonts w:hint="eastAsia" w:cs="MS Mincho" w:asciiTheme="minorEastAsia" w:hAnsiTheme="minorEastAsia" w:eastAsiaTheme="minorEastAsia"/>
          <w:color w:val="313434"/>
          <w:kern w:val="0"/>
          <w:sz w:val="24"/>
        </w:rPr>
        <w:t>昌港布局</w:t>
      </w:r>
      <w:r>
        <w:rPr>
          <w:rFonts w:hint="eastAsia" w:cs="宋体" w:asciiTheme="minorEastAsia" w:hAnsiTheme="minorEastAsia" w:eastAsiaTheme="minorEastAsia"/>
          <w:color w:val="313434"/>
          <w:kern w:val="0"/>
          <w:sz w:val="24"/>
        </w:rPr>
        <w:t>筛选</w:t>
      </w:r>
      <w:r>
        <w:rPr>
          <w:rFonts w:hint="eastAsia" w:cs="MS Mincho" w:asciiTheme="minorEastAsia" w:hAnsiTheme="minorEastAsia" w:eastAsiaTheme="minorEastAsia"/>
          <w:color w:val="313434"/>
          <w:kern w:val="0"/>
          <w:sz w:val="24"/>
        </w:rPr>
        <w:t>出重点关注的区域和内</w:t>
      </w:r>
      <w:r>
        <w:rPr>
          <w:rFonts w:hint="eastAsia" w:cs="HiddenHorzOCR" w:asciiTheme="minorEastAsia" w:hAnsiTheme="minorEastAsia" w:eastAsiaTheme="minorEastAsia"/>
          <w:color w:val="313434"/>
          <w:kern w:val="0"/>
          <w:sz w:val="24"/>
        </w:rPr>
        <w:t>容，</w:t>
      </w:r>
      <w:r>
        <w:rPr>
          <w:rFonts w:hint="eastAsia" w:cs="宋体" w:asciiTheme="minorEastAsia" w:hAnsiTheme="minorEastAsia" w:eastAsiaTheme="minorEastAsia"/>
          <w:color w:val="313434"/>
          <w:kern w:val="0"/>
          <w:sz w:val="24"/>
        </w:rPr>
        <w:t>详见</w:t>
      </w:r>
      <w:r>
        <w:rPr>
          <w:rFonts w:hint="eastAsia" w:cs="MS Mincho" w:asciiTheme="minorEastAsia" w:hAnsiTheme="minorEastAsia" w:eastAsiaTheme="minorEastAsia"/>
          <w:color w:val="313434"/>
          <w:kern w:val="0"/>
          <w:sz w:val="24"/>
        </w:rPr>
        <w:t>表</w:t>
      </w:r>
      <w:r>
        <w:rPr>
          <w:rFonts w:hint="eastAsia" w:cs="HiddenHorzOCR" w:asciiTheme="minorEastAsia" w:hAnsiTheme="minorEastAsia" w:eastAsiaTheme="minorEastAsia"/>
          <w:color w:val="313434"/>
          <w:kern w:val="0"/>
          <w:sz w:val="24"/>
        </w:rPr>
        <w:t>6.3-1。</w:t>
      </w:r>
    </w:p>
    <w:p>
      <w:pPr>
        <w:pStyle w:val="4"/>
        <w:ind w:firstLine="422"/>
        <w:jc w:val="center"/>
        <w:rPr>
          <w:rFonts w:asciiTheme="minorEastAsia" w:hAnsiTheme="minorEastAsia" w:eastAsiaTheme="minorEastAsia"/>
          <w:b/>
          <w:szCs w:val="21"/>
        </w:rPr>
      </w:pPr>
      <w:r>
        <w:rPr>
          <w:rFonts w:hint="eastAsia" w:cs="HiddenHorzOCR" w:asciiTheme="minorEastAsia" w:hAnsiTheme="minorEastAsia" w:eastAsiaTheme="minorEastAsia"/>
          <w:b/>
          <w:color w:val="313434"/>
          <w:kern w:val="0"/>
          <w:szCs w:val="21"/>
        </w:rPr>
        <w:t>表6.3-1</w:t>
      </w:r>
      <w:r>
        <w:rPr>
          <w:rFonts w:cs="HiddenHorzOCR" w:asciiTheme="minorEastAsia" w:hAnsiTheme="minorEastAsia" w:eastAsiaTheme="minorEastAsia"/>
          <w:b/>
          <w:color w:val="313434"/>
          <w:kern w:val="0"/>
          <w:szCs w:val="21"/>
        </w:rPr>
        <w:t xml:space="preserve"> </w:t>
      </w:r>
      <w:r>
        <w:rPr>
          <w:rFonts w:hint="eastAsia" w:cs="HiddenHorzOCR" w:asciiTheme="minorEastAsia" w:hAnsiTheme="minorEastAsia" w:eastAsiaTheme="minorEastAsia"/>
          <w:b/>
          <w:color w:val="222424"/>
          <w:kern w:val="0"/>
          <w:szCs w:val="21"/>
        </w:rPr>
        <w:t>主要</w:t>
      </w:r>
      <w:r>
        <w:rPr>
          <w:rFonts w:hint="eastAsia" w:cs="宋体" w:asciiTheme="minorEastAsia" w:hAnsiTheme="minorEastAsia" w:eastAsiaTheme="minorEastAsia"/>
          <w:b/>
          <w:color w:val="222424"/>
          <w:kern w:val="0"/>
          <w:szCs w:val="21"/>
        </w:rPr>
        <w:t>环</w:t>
      </w:r>
      <w:r>
        <w:rPr>
          <w:rFonts w:hint="eastAsia" w:cs="MS Mincho" w:asciiTheme="minorEastAsia" w:hAnsiTheme="minorEastAsia" w:eastAsiaTheme="minorEastAsia"/>
          <w:b/>
          <w:color w:val="222424"/>
          <w:kern w:val="0"/>
          <w:szCs w:val="21"/>
        </w:rPr>
        <w:t>境影响</w:t>
      </w:r>
      <w:r>
        <w:rPr>
          <w:rFonts w:hint="eastAsia" w:cs="宋体" w:asciiTheme="minorEastAsia" w:hAnsiTheme="minorEastAsia" w:eastAsiaTheme="minorEastAsia"/>
          <w:b/>
          <w:color w:val="222424"/>
          <w:kern w:val="0"/>
          <w:szCs w:val="21"/>
        </w:rPr>
        <w:t>筛选</w:t>
      </w:r>
    </w:p>
    <w:tbl>
      <w:tblPr>
        <w:tblStyle w:val="104"/>
        <w:tblW w:w="9087"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
        <w:gridCol w:w="1139"/>
        <w:gridCol w:w="3827"/>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类别</w:t>
            </w: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影响对象</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主要影响内容</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重点关注内容或区域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restart"/>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资源</w:t>
            </w: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岸线资源</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港口规划的实施占用了一定量的岸线:临港工业、服务业的发展更将间接剌激岸线资源的高强度利用和开发</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主城港区、长阳港区、耕归港区岸线的规划功能与城市生活、旅游、相关功能区划之间的差异，功能定位之间的衔接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continue"/>
            <w:shd w:val="clear" w:color="auto" w:fill="auto"/>
            <w:vAlign w:val="center"/>
          </w:tcPr>
          <w:p>
            <w:pPr>
              <w:widowControl/>
              <w:jc w:val="left"/>
              <w:rPr>
                <w:rFonts w:ascii="宋体" w:hAnsi="宋体" w:cs="宋体"/>
                <w:color w:val="000000"/>
                <w:kern w:val="0"/>
                <w:szCs w:val="21"/>
              </w:rPr>
            </w:pP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土地资源</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规划作业区建设和临港工业、服务业的开发建设占用一定量农田、湿地等土地资源</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主城港区、技江港区、宜都港区等所包括的临江坪、古老背、新红花套、楼子河、田家河等作业区和临港工业对土地的占用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continue"/>
            <w:shd w:val="clear" w:color="auto" w:fill="auto"/>
            <w:vAlign w:val="center"/>
          </w:tcPr>
          <w:p>
            <w:pPr>
              <w:widowControl/>
              <w:jc w:val="left"/>
              <w:rPr>
                <w:rFonts w:ascii="宋体" w:hAnsi="宋体" w:cs="宋体"/>
                <w:color w:val="000000"/>
                <w:kern w:val="0"/>
                <w:szCs w:val="21"/>
              </w:rPr>
            </w:pP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水资源</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规划实施直接或间接导致用水量的增加，可能加大宜昌市水资源供给的压力</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重点关注城主城港区、秸归港区的茅坪作业区、技江港区、宜都港区增加的用水量和供水之间的关系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restart"/>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自然环境</w:t>
            </w: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生态环境</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港口工程建设对水域生态有一定影响:改变占用陆域内原有植被覆盖特征、土地景观格局:港口行业及临港产业的发展通过影响水、气、声环境来间接影响水生生态环境:港口风险事故直接和间接影响到生态环境</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主城港区的临江坪、古老背、云池等作业区以及宜都港区新红花套等作业区工程开挖对中华鲟的影响:溢油、化学品等风险事故对水生生态环境和人体安全的影响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continue"/>
            <w:shd w:val="clear" w:color="auto" w:fill="auto"/>
            <w:vAlign w:val="center"/>
          </w:tcPr>
          <w:p>
            <w:pPr>
              <w:widowControl/>
              <w:jc w:val="left"/>
              <w:rPr>
                <w:rFonts w:ascii="宋体" w:hAnsi="宋体" w:cs="宋体"/>
                <w:color w:val="000000"/>
                <w:kern w:val="0"/>
                <w:szCs w:val="21"/>
              </w:rPr>
            </w:pP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水环境</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港区生产、生活、船舶污水的排放对河流水质产生一定影响，进而可能影响地表其他水体:港口风险事故对水环境的影响</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关注港口污染物对河流水质的影响:关注茅坪、临江坪、石鼓、云池等作业区和其他吞吐量较大、事故发生频率较高区域产生的环境风险对水环境的影响，关注主城港区、耕归港区旅客运输可能带来的环境影响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continue"/>
            <w:shd w:val="clear" w:color="auto" w:fill="auto"/>
            <w:vAlign w:val="center"/>
          </w:tcPr>
          <w:p>
            <w:pPr>
              <w:widowControl/>
              <w:jc w:val="left"/>
              <w:rPr>
                <w:rFonts w:ascii="宋体" w:hAnsi="宋体" w:cs="宋体"/>
                <w:color w:val="000000"/>
                <w:kern w:val="0"/>
                <w:szCs w:val="21"/>
              </w:rPr>
            </w:pP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环境空气</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港口日常运营带来的装卸粉尘、堆场扬尘、油气等对环境空气的影响</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重点关注煤炭、矿石散货作业量较大的作业区(临江坪、石鼓、枝城等)的堆场或装卸作业产生的粉尘的环境影响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436" w:type="dxa"/>
            <w:vMerge w:val="continue"/>
            <w:shd w:val="clear" w:color="auto" w:fill="auto"/>
            <w:vAlign w:val="center"/>
          </w:tcPr>
          <w:p>
            <w:pPr>
              <w:widowControl/>
              <w:jc w:val="left"/>
              <w:rPr>
                <w:rFonts w:ascii="宋体" w:hAnsi="宋体" w:cs="宋体"/>
                <w:color w:val="000000"/>
                <w:kern w:val="0"/>
                <w:szCs w:val="21"/>
              </w:rPr>
            </w:pPr>
          </w:p>
        </w:tc>
        <w:tc>
          <w:tcPr>
            <w:tcW w:w="1139"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声环境</w:t>
            </w:r>
          </w:p>
        </w:tc>
        <w:tc>
          <w:tcPr>
            <w:tcW w:w="3827"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码头作业的机械噪声、集疏运的交通噪声对周边区域环境的影响港口行业对临港工业的带动:港区规划</w:t>
            </w:r>
          </w:p>
        </w:tc>
        <w:tc>
          <w:tcPr>
            <w:tcW w:w="3685" w:type="dxa"/>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作业区疏港公路的噪声影响:吞吐量较大的、有集装箱运输的作业区的装卸噪声的影响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575" w:type="dxa"/>
            <w:gridSpan w:val="2"/>
            <w:shd w:val="clear" w:color="auto" w:fill="auto"/>
            <w:vAlign w:val="center"/>
          </w:tcPr>
          <w:p>
            <w:pPr>
              <w:widowControl/>
              <w:jc w:val="left"/>
              <w:rPr>
                <w:rFonts w:ascii="宋体" w:hAnsi="宋体" w:cs="宋体"/>
                <w:color w:val="000000"/>
                <w:kern w:val="0"/>
                <w:szCs w:val="21"/>
              </w:rPr>
            </w:pPr>
            <w:r>
              <w:rPr>
                <w:rFonts w:hint="eastAsia" w:ascii="宋体" w:hAnsi="宋体" w:cs="宋体"/>
                <w:color w:val="000000"/>
                <w:kern w:val="0"/>
                <w:szCs w:val="21"/>
              </w:rPr>
              <w:t>社会经济环境</w:t>
            </w:r>
          </w:p>
        </w:tc>
        <w:tc>
          <w:tcPr>
            <w:tcW w:w="3827" w:type="dxa"/>
            <w:shd w:val="clear" w:color="auto" w:fill="auto"/>
            <w:vAlign w:val="center"/>
          </w:tcPr>
          <w:p>
            <w:pPr>
              <w:autoSpaceDE w:val="0"/>
              <w:autoSpaceDN w:val="0"/>
              <w:adjustRightInd w:val="0"/>
              <w:jc w:val="left"/>
              <w:rPr>
                <w:rFonts w:ascii="宋体" w:hAnsi="宋体" w:cs="宋体"/>
                <w:color w:val="000000"/>
                <w:kern w:val="0"/>
                <w:szCs w:val="21"/>
              </w:rPr>
            </w:pPr>
            <w:r>
              <w:rPr>
                <w:rFonts w:hint="eastAsia" w:ascii="宋体" w:hAnsi="宋体" w:cs="宋体"/>
                <w:color w:val="000000"/>
                <w:kern w:val="0"/>
                <w:szCs w:val="21"/>
              </w:rPr>
              <w:t>港口行业及相关产业的发展对腹地经济、产业结构、居民生活及城市发展方向的影响</w:t>
            </w:r>
          </w:p>
        </w:tc>
        <w:tc>
          <w:tcPr>
            <w:tcW w:w="3685" w:type="dxa"/>
            <w:shd w:val="clear" w:color="auto" w:fill="auto"/>
            <w:vAlign w:val="center"/>
          </w:tcPr>
          <w:p>
            <w:pPr>
              <w:autoSpaceDE w:val="0"/>
              <w:autoSpaceDN w:val="0"/>
              <w:adjustRightInd w:val="0"/>
              <w:jc w:val="left"/>
              <w:rPr>
                <w:rFonts w:ascii="宋体" w:hAnsi="宋体" w:cs="宋体"/>
                <w:color w:val="000000"/>
                <w:kern w:val="0"/>
                <w:szCs w:val="21"/>
              </w:rPr>
            </w:pPr>
            <w:r>
              <w:rPr>
                <w:rFonts w:hint="eastAsia" w:ascii="宋体" w:hAnsi="宋体" w:cs="宋体"/>
                <w:color w:val="000000"/>
                <w:kern w:val="0"/>
                <w:szCs w:val="21"/>
              </w:rPr>
              <w:t>港口行业对临港工业的带动</w:t>
            </w:r>
            <w:r>
              <w:rPr>
                <w:rFonts w:ascii="宋体" w:hAnsi="宋体" w:cs="宋体"/>
                <w:color w:val="000000"/>
                <w:kern w:val="0"/>
                <w:szCs w:val="21"/>
              </w:rPr>
              <w:t>:</w:t>
            </w:r>
            <w:r>
              <w:rPr>
                <w:rFonts w:hint="eastAsia" w:ascii="宋体" w:hAnsi="宋体" w:cs="宋体"/>
                <w:color w:val="000000"/>
                <w:kern w:val="0"/>
                <w:szCs w:val="21"/>
              </w:rPr>
              <w:t>港区规划实施对兴山、精归、长阳等地城镇化的促进，当地交通出行条件的改善以及给宜昌城市空间布局的带来的改变</w:t>
            </w:r>
          </w:p>
        </w:tc>
      </w:tr>
    </w:tbl>
    <w:p>
      <w:pPr>
        <w:autoSpaceDE w:val="0"/>
        <w:autoSpaceDN w:val="0"/>
        <w:adjustRightInd w:val="0"/>
        <w:spacing w:line="360" w:lineRule="auto"/>
        <w:ind w:firstLine="480" w:firstLineChars="200"/>
        <w:jc w:val="left"/>
        <w:rPr>
          <w:rFonts w:ascii="宋体" w:hAnsi="宋体" w:cs="宋体"/>
          <w:color w:val="000000"/>
          <w:kern w:val="0"/>
          <w:sz w:val="24"/>
        </w:rPr>
      </w:pPr>
      <w:r>
        <w:rPr>
          <w:rFonts w:hint="eastAsia" w:ascii="宋体" w:hAnsi="宋体" w:cs="宋体"/>
          <w:color w:val="000000"/>
          <w:kern w:val="0"/>
          <w:sz w:val="24"/>
        </w:rPr>
        <w:t>（2）评价指标体系和参考标杆</w:t>
      </w:r>
    </w:p>
    <w:p>
      <w:pPr>
        <w:autoSpaceDE w:val="0"/>
        <w:autoSpaceDN w:val="0"/>
        <w:adjustRightInd w:val="0"/>
        <w:spacing w:line="360" w:lineRule="auto"/>
        <w:ind w:firstLine="480" w:firstLineChars="200"/>
        <w:jc w:val="left"/>
        <w:rPr>
          <w:rFonts w:ascii="宋体" w:hAnsi="宋体" w:cs="宋体"/>
          <w:color w:val="000000"/>
          <w:kern w:val="0"/>
          <w:sz w:val="24"/>
        </w:rPr>
      </w:pPr>
      <w:r>
        <w:rPr>
          <w:rFonts w:hint="eastAsia" w:ascii="宋体" w:hAnsi="宋体" w:cs="宋体"/>
          <w:color w:val="000000"/>
          <w:kern w:val="0"/>
          <w:sz w:val="24"/>
        </w:rPr>
        <w:t>根据规划重点和区域环境特点，借鉴其他港口规划环评的经验，结合环境影响识别，按照有关的环境保护政策、法规和标准拟定宜昌总体规划环境影响评价的指标体系，确定各评价指标及参考标杆或推荐对比指标，如表6.3-2</w:t>
      </w:r>
      <w:r>
        <w:rPr>
          <w:rFonts w:ascii="宋体" w:hAnsi="宋体" w:cs="宋体"/>
          <w:color w:val="000000"/>
          <w:kern w:val="0"/>
          <w:sz w:val="24"/>
        </w:rPr>
        <w:t xml:space="preserve"> </w:t>
      </w:r>
      <w:r>
        <w:rPr>
          <w:rFonts w:hint="eastAsia" w:ascii="宋体" w:hAnsi="宋体" w:cs="宋体"/>
          <w:color w:val="000000"/>
          <w:kern w:val="0"/>
          <w:sz w:val="24"/>
        </w:rPr>
        <w:t>所示。</w:t>
      </w:r>
    </w:p>
    <w:p>
      <w:pPr>
        <w:pStyle w:val="4"/>
        <w:ind w:firstLine="422"/>
        <w:jc w:val="center"/>
        <w:rPr>
          <w:rFonts w:ascii="宋体" w:hAnsi="宋体" w:cs="宋体"/>
          <w:b/>
          <w:color w:val="000000"/>
          <w:kern w:val="0"/>
          <w:szCs w:val="21"/>
        </w:rPr>
      </w:pPr>
      <w:r>
        <w:rPr>
          <w:rFonts w:hint="eastAsia" w:ascii="宋体" w:hAnsi="宋体" w:cs="宋体"/>
          <w:b/>
          <w:color w:val="000000"/>
          <w:kern w:val="0"/>
          <w:szCs w:val="21"/>
        </w:rPr>
        <w:t>表6.3-2环境目标与评价指标表</w:t>
      </w:r>
    </w:p>
    <w:tbl>
      <w:tblPr>
        <w:tblStyle w:val="104"/>
        <w:tblW w:w="9097"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
        <w:gridCol w:w="98"/>
        <w:gridCol w:w="939"/>
        <w:gridCol w:w="1503"/>
        <w:gridCol w:w="4309"/>
        <w:gridCol w:w="1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433" w:type="dxa"/>
            <w:gridSpan w:val="3"/>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环境要素</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环境目标</w:t>
            </w:r>
          </w:p>
        </w:tc>
        <w:tc>
          <w:tcPr>
            <w:tcW w:w="4309"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评价指标</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标杆或推荐对比指标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494" w:type="dxa"/>
            <w:gridSpan w:val="2"/>
            <w:vMerge w:val="restart"/>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资源利用</w:t>
            </w:r>
          </w:p>
        </w:tc>
        <w:tc>
          <w:tcPr>
            <w:tcW w:w="939"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岸线资源</w:t>
            </w:r>
          </w:p>
        </w:tc>
        <w:tc>
          <w:tcPr>
            <w:tcW w:w="1503" w:type="dxa"/>
            <w:vMerge w:val="restart"/>
            <w:shd w:val="clear" w:color="auto" w:fill="auto"/>
            <w:vAlign w:val="center"/>
          </w:tcPr>
          <w:p>
            <w:pPr>
              <w:spacing w:line="260" w:lineRule="exact"/>
              <w:ind w:left="-107" w:leftChars="-51" w:right="-107" w:rightChars="-51"/>
              <w:jc w:val="left"/>
              <w:rPr>
                <w:rFonts w:ascii="宋体" w:hAnsi="宋体" w:cs="宋体"/>
                <w:color w:val="000000"/>
                <w:kern w:val="0"/>
                <w:sz w:val="18"/>
                <w:szCs w:val="18"/>
              </w:rPr>
            </w:pPr>
            <w:r>
              <w:rPr>
                <w:rFonts w:hint="eastAsia" w:ascii="宋体" w:hAnsi="宋体" w:cs="宋体"/>
                <w:color w:val="000000"/>
                <w:kern w:val="0"/>
                <w:sz w:val="18"/>
                <w:szCs w:val="18"/>
              </w:rPr>
              <w:t>集约化利用区域内体规划用地平衡土地资源·</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港口岸线的占用量及比例(km、%)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各河段规划港口岸线占河段岸线的比例，以10%控制</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与港口现状对比、与各河段岸线利用现状对比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494" w:type="dxa"/>
            <w:gridSpan w:val="2"/>
            <w:vMerge w:val="continue"/>
            <w:shd w:val="clear" w:color="auto" w:fill="auto"/>
            <w:vAlign w:val="center"/>
          </w:tcPr>
          <w:p>
            <w:pPr>
              <w:widowControl/>
              <w:spacing w:line="260" w:lineRule="exact"/>
              <w:jc w:val="left"/>
              <w:rPr>
                <w:rFonts w:ascii="宋体" w:hAnsi="宋体" w:cs="宋体"/>
                <w:color w:val="000000"/>
                <w:kern w:val="0"/>
                <w:sz w:val="18"/>
                <w:szCs w:val="18"/>
              </w:rPr>
            </w:pPr>
          </w:p>
        </w:tc>
        <w:tc>
          <w:tcPr>
            <w:tcW w:w="939"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土地资源</w:t>
            </w:r>
          </w:p>
        </w:tc>
        <w:tc>
          <w:tcPr>
            <w:tcW w:w="1503" w:type="dxa"/>
            <w:vMerge w:val="continue"/>
            <w:shd w:val="clear" w:color="auto" w:fill="auto"/>
            <w:vAlign w:val="center"/>
          </w:tcPr>
          <w:p>
            <w:pPr>
              <w:widowControl/>
              <w:spacing w:line="260" w:lineRule="exact"/>
              <w:ind w:right="-107" w:rightChars="-51"/>
              <w:jc w:val="left"/>
              <w:rPr>
                <w:rFonts w:ascii="宋体" w:hAnsi="宋体" w:cs="宋体"/>
                <w:color w:val="000000"/>
                <w:kern w:val="0"/>
                <w:sz w:val="18"/>
                <w:szCs w:val="18"/>
              </w:rPr>
            </w:pP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规划港区占用土地面积(亩)</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港口新增用地占全市新增建设用地的面积应小于10%</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宜昌市各组团总体规划用地平衡表、按照行业比例取值的数量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494" w:type="dxa"/>
            <w:gridSpan w:val="2"/>
            <w:vMerge w:val="continue"/>
            <w:shd w:val="clear" w:color="auto" w:fill="auto"/>
            <w:vAlign w:val="center"/>
          </w:tcPr>
          <w:p>
            <w:pPr>
              <w:widowControl/>
              <w:spacing w:line="260" w:lineRule="exact"/>
              <w:jc w:val="left"/>
              <w:rPr>
                <w:rFonts w:ascii="宋体" w:hAnsi="宋体" w:cs="宋体"/>
                <w:color w:val="000000"/>
                <w:kern w:val="0"/>
                <w:sz w:val="18"/>
                <w:szCs w:val="18"/>
              </w:rPr>
            </w:pPr>
          </w:p>
        </w:tc>
        <w:tc>
          <w:tcPr>
            <w:tcW w:w="939"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水资源</w:t>
            </w:r>
          </w:p>
        </w:tc>
        <w:tc>
          <w:tcPr>
            <w:tcW w:w="1503" w:type="dxa"/>
            <w:vMerge w:val="continue"/>
            <w:shd w:val="clear" w:color="auto" w:fill="auto"/>
            <w:vAlign w:val="center"/>
          </w:tcPr>
          <w:p>
            <w:pPr>
              <w:widowControl/>
              <w:spacing w:line="260" w:lineRule="exact"/>
              <w:ind w:right="-107" w:rightChars="-51"/>
              <w:jc w:val="left"/>
              <w:rPr>
                <w:rFonts w:ascii="宋体" w:hAnsi="宋体" w:cs="宋体"/>
                <w:color w:val="000000"/>
                <w:kern w:val="0"/>
                <w:sz w:val="18"/>
                <w:szCs w:val="18"/>
              </w:rPr>
            </w:pP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 xml:space="preserve">水资源日耗用量(m3 /d) </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港口用水量占所在区域供水量比水规划以 10%控制，超过30%认为严重不足</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宜昌市(县区)供水规划、港口配套设施规划、类比其他供水比例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433" w:type="dxa"/>
            <w:gridSpan w:val="3"/>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生态环境</w:t>
            </w:r>
          </w:p>
        </w:tc>
        <w:tc>
          <w:tcPr>
            <w:tcW w:w="1503" w:type="dxa"/>
            <w:shd w:val="clear" w:color="auto" w:fill="auto"/>
            <w:vAlign w:val="center"/>
          </w:tcPr>
          <w:p>
            <w:pPr>
              <w:widowControl/>
              <w:spacing w:line="260" w:lineRule="exact"/>
              <w:ind w:left="-107" w:leftChars="-51" w:right="-107" w:rightChars="-51"/>
              <w:jc w:val="left"/>
              <w:rPr>
                <w:rFonts w:ascii="宋体" w:hAnsi="宋体" w:cs="宋体"/>
                <w:color w:val="000000"/>
                <w:kern w:val="0"/>
                <w:sz w:val="18"/>
                <w:szCs w:val="18"/>
              </w:rPr>
            </w:pPr>
            <w:r>
              <w:rPr>
                <w:rFonts w:hint="eastAsia" w:ascii="宋体" w:hAnsi="宋体" w:cs="宋体"/>
                <w:color w:val="000000"/>
                <w:kern w:val="0"/>
                <w:sz w:val="18"/>
                <w:szCs w:val="18"/>
              </w:rPr>
              <w:t>减少可能对敏感资源造成的危害，保护区域自然资源与生态系统</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作业区与自然保护区的最小临近度(km)，按照保护区功能划分提出不同的控制要求</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作业区距下游取水口大于1000m，距上游取水口大于100m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距离饮用水水源地应大于2km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作业区与森林公园、风景名胜区的控制距离大于2km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作业区与其他环境敏感区的最小临近度 (km)</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宜昌市城市总体规划等有关文件、《饮用水水源污染防治管理条例》、《湖北省地表水环境功能类别》、自然保护区的有关规定、作业区污染物影响距离预测值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396" w:type="dxa"/>
            <w:vMerge w:val="restart"/>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亏染 物排放</w:t>
            </w:r>
          </w:p>
        </w:tc>
        <w:tc>
          <w:tcPr>
            <w:tcW w:w="1037" w:type="dxa"/>
            <w:gridSpan w:val="2"/>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水环境</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控制水环境污染，降低水域风险事故的危害，保护近岸水环境</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规划港区建成前后流速流向的变化（m/s）</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主要水域港口污染物的年排放总量(COD、 BOD、 NH3 -N、 SS等) (t/a) 与水环境容量的对比数据，本报告以 5%为控制目标</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非正常状况下，港口排污口排放污水中主要污染物的扩散距离 (m)，以 1000m为控制距离(取水口要求)</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二类水域禁止排放，一类水域污水 处理率应达到 100%</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宜昌市水环境功能区划、宜昌市总量 控制指标、《饮用水水源污染防治管理条例》及对取水口的控制要求、宜昌市环境保护十一五规划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396" w:type="dxa"/>
            <w:vMerge w:val="continue"/>
            <w:shd w:val="clear" w:color="auto" w:fill="auto"/>
            <w:vAlign w:val="center"/>
          </w:tcPr>
          <w:p>
            <w:pPr>
              <w:widowControl/>
              <w:spacing w:line="260" w:lineRule="exact"/>
              <w:jc w:val="left"/>
              <w:rPr>
                <w:rFonts w:ascii="宋体" w:hAnsi="宋体" w:cs="宋体"/>
                <w:color w:val="000000"/>
                <w:kern w:val="0"/>
                <w:sz w:val="18"/>
                <w:szCs w:val="18"/>
              </w:rPr>
            </w:pPr>
          </w:p>
        </w:tc>
        <w:tc>
          <w:tcPr>
            <w:tcW w:w="1037" w:type="dxa"/>
            <w:gridSpan w:val="2"/>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环境空气</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控制大气污染物的排放，保护空气质量和人身安全</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TSP年平均浓度二级标准值的控制范围，以 lkm为控制量(距离最近的风景区)</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油气产生量、下风向最大落地浓度及其下风距离(t/a、 mg/m</w:t>
            </w:r>
            <w:r>
              <w:rPr>
                <w:rFonts w:hint="eastAsia" w:ascii="宋体" w:hAnsi="宋体" w:cs="宋体"/>
                <w:color w:val="000000"/>
                <w:kern w:val="0"/>
                <w:sz w:val="18"/>
                <w:szCs w:val="18"/>
                <w:vertAlign w:val="superscript"/>
              </w:rPr>
              <w:t>3</w:t>
            </w:r>
            <w:r>
              <w:rPr>
                <w:rFonts w:hint="eastAsia" w:ascii="宋体" w:hAnsi="宋体" w:cs="宋体"/>
                <w:color w:val="000000"/>
                <w:kern w:val="0"/>
                <w:sz w:val="18"/>
                <w:szCs w:val="18"/>
              </w:rPr>
              <w:t>、 m)</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 xml:space="preserve"> 《大气污染物综合排放标准》、宜昌市功能区划、以色列国家标准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396" w:type="dxa"/>
            <w:vMerge w:val="restart"/>
            <w:shd w:val="clear" w:color="auto" w:fill="auto"/>
            <w:vAlign w:val="center"/>
          </w:tcPr>
          <w:p>
            <w:pPr>
              <w:widowControl/>
              <w:spacing w:line="260" w:lineRule="exact"/>
              <w:jc w:val="left"/>
              <w:rPr>
                <w:rFonts w:ascii="宋体" w:hAnsi="宋体" w:cs="宋体"/>
                <w:color w:val="000000"/>
                <w:kern w:val="0"/>
                <w:sz w:val="18"/>
                <w:szCs w:val="18"/>
              </w:rPr>
            </w:pPr>
          </w:p>
        </w:tc>
        <w:tc>
          <w:tcPr>
            <w:tcW w:w="1037" w:type="dxa"/>
            <w:gridSpan w:val="2"/>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声环境</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控制区域环境噪声水平，保障声环境质量</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港区噪声安全距离 (m)，以新颁布的允许噪声值为控制目标</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作业区疏港道路噪声两侧达标最小距离 (m)，以新颁布的允许噪声值为控制目标</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《工业企业厂界噪声标准》、《城市区域环境噪声标准》、宜昌市噪声功能区划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396" w:type="dxa"/>
            <w:vMerge w:val="continue"/>
            <w:shd w:val="clear" w:color="auto" w:fill="auto"/>
            <w:vAlign w:val="center"/>
          </w:tcPr>
          <w:p>
            <w:pPr>
              <w:widowControl/>
              <w:spacing w:line="260" w:lineRule="exact"/>
              <w:jc w:val="left"/>
              <w:rPr>
                <w:rFonts w:ascii="宋体" w:hAnsi="宋体" w:cs="宋体"/>
                <w:color w:val="000000"/>
                <w:kern w:val="0"/>
                <w:sz w:val="18"/>
                <w:szCs w:val="18"/>
              </w:rPr>
            </w:pPr>
          </w:p>
        </w:tc>
        <w:tc>
          <w:tcPr>
            <w:tcW w:w="1037" w:type="dxa"/>
            <w:gridSpan w:val="2"/>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固体废弃物</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控制数量，强化处理</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 xml:space="preserve">工业固体废物收集率和转运率，100% </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 xml:space="preserve">生活垃圾收集率和转运率，100% </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危险废弃物无害化处理率，100%</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宜昌市环境保护十一五规划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433" w:type="dxa"/>
            <w:gridSpan w:val="3"/>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环境风险</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提高应对能力，减少可能对水体、生态、敏感目标造成的危害</w:t>
            </w:r>
          </w:p>
        </w:tc>
        <w:tc>
          <w:tcPr>
            <w:tcW w:w="4309" w:type="dxa"/>
            <w:shd w:val="clear" w:color="auto" w:fill="auto"/>
            <w:vAlign w:val="center"/>
          </w:tcPr>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事故性溢油漂移最大距离(km)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水上化学品泄漏污染扩散距离(km)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爆炸污染物（SO</w:t>
            </w:r>
            <w:r>
              <w:rPr>
                <w:rFonts w:hint="eastAsia" w:ascii="宋体" w:hAnsi="宋体" w:cs="宋体"/>
                <w:color w:val="000000"/>
                <w:kern w:val="0"/>
                <w:sz w:val="18"/>
                <w:szCs w:val="18"/>
                <w:vertAlign w:val="subscript"/>
              </w:rPr>
              <w:t>2</w:t>
            </w:r>
            <w:r>
              <w:rPr>
                <w:rFonts w:hint="eastAsia" w:ascii="宋体" w:hAnsi="宋体" w:cs="宋体"/>
                <w:color w:val="000000"/>
                <w:kern w:val="0"/>
                <w:sz w:val="18"/>
                <w:szCs w:val="18"/>
              </w:rPr>
              <w:t>等)最大落地浓度、最大落地距离 (mg/m</w:t>
            </w:r>
            <w:r>
              <w:rPr>
                <w:rFonts w:hint="eastAsia" w:ascii="宋体" w:hAnsi="宋体" w:cs="宋体"/>
                <w:color w:val="000000"/>
                <w:kern w:val="0"/>
                <w:sz w:val="18"/>
                <w:szCs w:val="18"/>
                <w:vertAlign w:val="superscript"/>
              </w:rPr>
              <w:t>3</w:t>
            </w:r>
            <w:r>
              <w:rPr>
                <w:rFonts w:hint="eastAsia" w:ascii="宋体" w:hAnsi="宋体" w:cs="宋体"/>
                <w:color w:val="000000"/>
                <w:kern w:val="0"/>
                <w:sz w:val="18"/>
                <w:szCs w:val="18"/>
              </w:rPr>
              <w:t>、m)</w:t>
            </w:r>
          </w:p>
          <w:p>
            <w:pPr>
              <w:pStyle w:val="162"/>
              <w:widowControl/>
              <w:numPr>
                <w:ilvl w:val="0"/>
                <w:numId w:val="28"/>
              </w:numPr>
              <w:tabs>
                <w:tab w:val="left" w:pos="176"/>
              </w:tabs>
              <w:spacing w:line="260" w:lineRule="exact"/>
              <w:ind w:left="-108" w:right="-107" w:rightChars="-51" w:firstLine="0" w:firstLineChars="0"/>
              <w:jc w:val="left"/>
              <w:rPr>
                <w:rFonts w:ascii="宋体" w:hAnsi="宋体" w:cs="宋体"/>
                <w:color w:val="000000"/>
                <w:kern w:val="0"/>
                <w:sz w:val="18"/>
                <w:szCs w:val="18"/>
              </w:rPr>
            </w:pPr>
            <w:r>
              <w:rPr>
                <w:rFonts w:hint="eastAsia" w:ascii="宋体" w:hAnsi="宋体" w:cs="宋体"/>
                <w:color w:val="000000"/>
                <w:kern w:val="0"/>
                <w:sz w:val="18"/>
                <w:szCs w:val="18"/>
              </w:rPr>
              <w:t>码头火灾爆炸事故影响半径(m)，2km (以主要作业区大小确定)</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先进港口溢油事故应急能力研究报告、常见化工品码头统计数据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433" w:type="dxa"/>
            <w:gridSpan w:val="3"/>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社会经济环境</w:t>
            </w:r>
          </w:p>
        </w:tc>
        <w:tc>
          <w:tcPr>
            <w:tcW w:w="1503"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促进社会就业、影响产业结构变化</w:t>
            </w:r>
          </w:p>
        </w:tc>
        <w:tc>
          <w:tcPr>
            <w:tcW w:w="4309" w:type="dxa"/>
            <w:shd w:val="clear" w:color="auto" w:fill="auto"/>
            <w:vAlign w:val="center"/>
          </w:tcPr>
          <w:p>
            <w:pPr>
              <w:widowControl/>
              <w:spacing w:line="260" w:lineRule="exact"/>
              <w:ind w:right="-107" w:rightChars="-51"/>
              <w:jc w:val="left"/>
              <w:rPr>
                <w:rFonts w:ascii="宋体" w:hAnsi="宋体" w:cs="宋体"/>
                <w:color w:val="000000"/>
                <w:kern w:val="0"/>
                <w:sz w:val="18"/>
                <w:szCs w:val="18"/>
              </w:rPr>
            </w:pPr>
            <w:r>
              <w:rPr>
                <w:rFonts w:hint="eastAsia" w:ascii="宋体" w:hAnsi="宋体" w:cs="宋体"/>
                <w:color w:val="000000"/>
                <w:kern w:val="0"/>
                <w:sz w:val="18"/>
                <w:szCs w:val="18"/>
              </w:rPr>
              <w:t>对港口行业、临港工业及相关产业发展的贡献·对旅游业、投资环境的影响·对居民出行和城市布局的影响</w:t>
            </w:r>
          </w:p>
        </w:tc>
        <w:tc>
          <w:tcPr>
            <w:tcW w:w="1852" w:type="dxa"/>
            <w:shd w:val="clear" w:color="auto" w:fill="auto"/>
            <w:vAlign w:val="center"/>
          </w:tcPr>
          <w:p>
            <w:pPr>
              <w:widowControl/>
              <w:spacing w:line="260" w:lineRule="exact"/>
              <w:jc w:val="left"/>
              <w:rPr>
                <w:rFonts w:ascii="宋体" w:hAnsi="宋体" w:cs="宋体"/>
                <w:color w:val="000000"/>
                <w:kern w:val="0"/>
                <w:sz w:val="18"/>
                <w:szCs w:val="18"/>
              </w:rPr>
            </w:pPr>
            <w:r>
              <w:rPr>
                <w:rFonts w:hint="eastAsia" w:ascii="宋体" w:hAnsi="宋体" w:cs="宋体"/>
                <w:color w:val="000000"/>
                <w:kern w:val="0"/>
                <w:sz w:val="18"/>
                <w:szCs w:val="18"/>
              </w:rPr>
              <w:t>宜昌市国民经济和社会发展十一五规划、相关行业规划</w:t>
            </w:r>
          </w:p>
        </w:tc>
      </w:tr>
    </w:tbl>
    <w:p>
      <w:pPr>
        <w:autoSpaceDE w:val="0"/>
        <w:autoSpaceDN w:val="0"/>
        <w:adjustRightInd w:val="0"/>
        <w:spacing w:line="360" w:lineRule="auto"/>
        <w:ind w:firstLine="480" w:firstLineChars="200"/>
        <w:jc w:val="left"/>
        <w:rPr>
          <w:rFonts w:ascii="宋体" w:hAnsi="宋体" w:cs="宋体"/>
          <w:color w:val="000000"/>
          <w:kern w:val="0"/>
          <w:sz w:val="24"/>
        </w:rPr>
      </w:pPr>
      <w:r>
        <w:rPr>
          <w:rFonts w:hint="eastAsia" w:ascii="宋体" w:hAnsi="宋体" w:cs="宋体"/>
          <w:color w:val="000000"/>
          <w:kern w:val="0"/>
          <w:sz w:val="24"/>
        </w:rPr>
        <w:t>（3）评价方法</w:t>
      </w:r>
    </w:p>
    <w:p>
      <w:pPr>
        <w:autoSpaceDE w:val="0"/>
        <w:autoSpaceDN w:val="0"/>
        <w:adjustRightInd w:val="0"/>
        <w:spacing w:line="360" w:lineRule="auto"/>
        <w:ind w:firstLine="480" w:firstLineChars="200"/>
        <w:jc w:val="left"/>
        <w:rPr>
          <w:rFonts w:ascii="宋体" w:hAnsi="宋体" w:cs="宋体"/>
          <w:color w:val="000000"/>
          <w:kern w:val="0"/>
          <w:sz w:val="24"/>
        </w:rPr>
      </w:pPr>
      <w:r>
        <w:rPr>
          <w:rFonts w:hint="eastAsia" w:ascii="宋体" w:hAnsi="宋体" w:cs="宋体"/>
          <w:color w:val="000000"/>
          <w:kern w:val="0"/>
          <w:sz w:val="24"/>
        </w:rPr>
        <w:t>评价过程中将采用图形叠置法、有无对比法、类比分析法、案例分析法、环境数学模型法、核查表法、矩阵法等。</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07" w:name="_Toc442195748"/>
      <w:r>
        <w:rPr>
          <w:rFonts w:hint="eastAsia" w:ascii="宋体" w:hAnsi="宋体" w:eastAsia="宋体"/>
          <w:b/>
          <w:sz w:val="28"/>
          <w:szCs w:val="28"/>
        </w:rPr>
        <w:t>宜昌港规划环评批复情况</w:t>
      </w:r>
      <w:bookmarkEnd w:id="207"/>
    </w:p>
    <w:p>
      <w:pPr>
        <w:autoSpaceDE w:val="0"/>
        <w:autoSpaceDN w:val="0"/>
        <w:adjustRightInd w:val="0"/>
        <w:spacing w:line="360" w:lineRule="auto"/>
        <w:ind w:firstLine="480" w:firstLineChars="200"/>
        <w:jc w:val="left"/>
        <w:rPr>
          <w:rFonts w:ascii="宋体" w:cs="宋体" w:hAnsiTheme="minorHAnsi"/>
          <w:kern w:val="0"/>
          <w:sz w:val="24"/>
        </w:rPr>
      </w:pPr>
      <w:r>
        <w:rPr>
          <w:rFonts w:hint="eastAsia" w:ascii="宋体" w:cs="宋体" w:hAnsiTheme="minorHAnsi"/>
          <w:kern w:val="0"/>
          <w:sz w:val="24"/>
        </w:rPr>
        <w:t>《宜昌港总体规划环境影响报告书》以鄂环函［</w:t>
      </w:r>
      <w:r>
        <w:rPr>
          <w:rFonts w:ascii="宋体" w:cs="宋体" w:hAnsiTheme="minorHAnsi"/>
          <w:kern w:val="0"/>
          <w:sz w:val="24"/>
        </w:rPr>
        <w:t>2008</w:t>
      </w:r>
      <w:r>
        <w:rPr>
          <w:rFonts w:hint="eastAsia" w:ascii="宋体" w:cs="宋体" w:hAnsiTheme="minorHAnsi"/>
          <w:kern w:val="0"/>
          <w:sz w:val="24"/>
        </w:rPr>
        <w:t>］</w:t>
      </w:r>
      <w:r>
        <w:rPr>
          <w:rFonts w:ascii="宋体" w:cs="宋体" w:hAnsiTheme="minorHAnsi"/>
          <w:kern w:val="0"/>
          <w:sz w:val="24"/>
        </w:rPr>
        <w:t xml:space="preserve">948 </w:t>
      </w:r>
      <w:r>
        <w:rPr>
          <w:rFonts w:hint="eastAsia" w:ascii="宋体" w:cs="宋体" w:hAnsiTheme="minorHAnsi"/>
          <w:kern w:val="0"/>
          <w:sz w:val="24"/>
        </w:rPr>
        <w:t>号《省环保局关于宜昌港总体规划环境影响报告书审查意见的函》（见附件四）形式批复。</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08" w:name="_Toc442195749"/>
      <w:r>
        <w:rPr>
          <w:rFonts w:hint="eastAsia" w:ascii="宋体" w:hAnsi="宋体" w:eastAsia="宋体"/>
          <w:b/>
          <w:sz w:val="28"/>
          <w:szCs w:val="28"/>
        </w:rPr>
        <w:t>水环境合理性分析</w:t>
      </w:r>
      <w:bookmarkEnd w:id="208"/>
    </w:p>
    <w:p>
      <w:pPr>
        <w:autoSpaceDE w:val="0"/>
        <w:autoSpaceDN w:val="0"/>
        <w:adjustRightInd w:val="0"/>
        <w:spacing w:line="360" w:lineRule="auto"/>
        <w:ind w:firstLine="480" w:firstLineChars="200"/>
        <w:jc w:val="left"/>
        <w:rPr>
          <w:rFonts w:eastAsiaTheme="minorEastAsia"/>
          <w:color w:val="242728"/>
          <w:kern w:val="0"/>
          <w:sz w:val="24"/>
        </w:rPr>
      </w:pPr>
      <w:r>
        <w:rPr>
          <w:rFonts w:eastAsiaTheme="minorEastAsia"/>
          <w:color w:val="242728"/>
          <w:kern w:val="0"/>
          <w:sz w:val="24"/>
        </w:rPr>
        <w:t>结合宜昌市水环境容量来看，宜昌港规划实施后，港口COD、氨氮的排放总量占全市主要流域水环境容量(不含兴山县和姊归县的水环境容量〉的比例很小(表</w:t>
      </w:r>
      <w:r>
        <w:rPr>
          <w:rFonts w:hint="eastAsia" w:eastAsiaTheme="minorEastAsia"/>
          <w:color w:val="242728"/>
          <w:kern w:val="0"/>
          <w:sz w:val="24"/>
        </w:rPr>
        <w:t>6</w:t>
      </w:r>
      <w:r>
        <w:rPr>
          <w:rFonts w:eastAsiaTheme="minorEastAsia"/>
          <w:color w:val="242728"/>
          <w:kern w:val="0"/>
          <w:sz w:val="24"/>
        </w:rPr>
        <w:t>.3-</w:t>
      </w:r>
      <w:r>
        <w:rPr>
          <w:rFonts w:hint="eastAsia" w:eastAsiaTheme="minorEastAsia"/>
          <w:color w:val="242728"/>
          <w:kern w:val="0"/>
          <w:sz w:val="24"/>
        </w:rPr>
        <w:t>3</w:t>
      </w:r>
      <w:r>
        <w:rPr>
          <w:rFonts w:eastAsiaTheme="minorEastAsia"/>
          <w:color w:val="242728"/>
          <w:kern w:val="0"/>
          <w:sz w:val="24"/>
        </w:rPr>
        <w:t xml:space="preserve">)。其中，除葛洲坝~云池(左) </w:t>
      </w:r>
      <w:r>
        <w:rPr>
          <w:rFonts w:eastAsiaTheme="minorEastAsia"/>
          <w:color w:val="0C0C0D"/>
          <w:kern w:val="0"/>
          <w:sz w:val="24"/>
        </w:rPr>
        <w:t>一</w:t>
      </w:r>
      <w:r>
        <w:rPr>
          <w:rFonts w:eastAsiaTheme="minorEastAsia"/>
          <w:color w:val="242728"/>
          <w:kern w:val="0"/>
          <w:sz w:val="24"/>
        </w:rPr>
        <w:t>段长江干流外，其余各流域的港区COD 、氨氮的排放量占所在流域的环境容量比例一般在1% 以下，通常仅在0.01 %~0 .29% 。但在葛洲坝~云池(左)一段，随着规划实施后各作业区的规模增长，预计到2010 年港口的氨氮排放量约占该段流域水环境容量的1.62% ，而到2020 年将达到该段流域水环境容量的3 .3 2%左右。</w:t>
      </w:r>
    </w:p>
    <w:p>
      <w:pPr>
        <w:autoSpaceDE w:val="0"/>
        <w:autoSpaceDN w:val="0"/>
        <w:adjustRightInd w:val="0"/>
        <w:ind w:firstLine="422" w:firstLineChars="200"/>
        <w:jc w:val="center"/>
        <w:rPr>
          <w:rFonts w:cs="MS Mincho" w:asciiTheme="minorEastAsia" w:hAnsiTheme="minorEastAsia" w:eastAsiaTheme="minorEastAsia"/>
          <w:b/>
          <w:color w:val="242728"/>
          <w:kern w:val="0"/>
          <w:szCs w:val="21"/>
        </w:rPr>
      </w:pPr>
      <w:r>
        <w:rPr>
          <w:rFonts w:hint="eastAsia" w:cs="MS Mincho" w:asciiTheme="minorEastAsia" w:hAnsiTheme="minorEastAsia" w:eastAsiaTheme="minorEastAsia"/>
          <w:b/>
          <w:color w:val="242728"/>
          <w:kern w:val="0"/>
          <w:szCs w:val="21"/>
        </w:rPr>
        <w:t>表6.3-3</w:t>
      </w:r>
      <w:r>
        <w:rPr>
          <w:rFonts w:cs="MS Mincho" w:asciiTheme="minorEastAsia" w:hAnsiTheme="minorEastAsia" w:eastAsiaTheme="minorEastAsia"/>
          <w:b/>
          <w:color w:val="242728"/>
          <w:kern w:val="0"/>
          <w:szCs w:val="21"/>
        </w:rPr>
        <w:t xml:space="preserve"> </w:t>
      </w:r>
      <w:r>
        <w:rPr>
          <w:rFonts w:hint="eastAsia" w:cs="MS Mincho" w:asciiTheme="minorEastAsia" w:hAnsiTheme="minorEastAsia" w:eastAsiaTheme="minorEastAsia"/>
          <w:b/>
          <w:color w:val="242728"/>
          <w:kern w:val="0"/>
          <w:szCs w:val="21"/>
        </w:rPr>
        <w:t>宜昌港主要污染物排放量与环境容量的比较</w:t>
      </w:r>
    </w:p>
    <w:tbl>
      <w:tblPr>
        <w:tblStyle w:val="104"/>
        <w:tblW w:w="8236" w:type="dxa"/>
        <w:jc w:val="center"/>
        <w:tblInd w:w="-5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13"/>
        <w:gridCol w:w="1246"/>
        <w:gridCol w:w="1059"/>
        <w:gridCol w:w="1059"/>
        <w:gridCol w:w="10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813" w:type="dxa"/>
            <w:vMerge w:val="restart"/>
            <w:tcBorders>
              <w:top w:val="single" w:color="auto" w:sz="4" w:space="0"/>
              <w:left w:val="single" w:color="auto" w:sz="4" w:space="0"/>
              <w:bottom w:val="single" w:color="auto" w:sz="4" w:space="0"/>
              <w:right w:val="single" w:color="auto" w:sz="4" w:space="0"/>
              <w:tl2br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 xml:space="preserve">                         时间</w:t>
            </w:r>
          </w:p>
          <w:p>
            <w:pPr>
              <w:widowControl/>
              <w:rPr>
                <w:rFonts w:ascii="宋体" w:hAnsi="宋体" w:cs="宋体"/>
                <w:color w:val="000000"/>
                <w:kern w:val="0"/>
                <w:sz w:val="22"/>
                <w:szCs w:val="22"/>
              </w:rPr>
            </w:pPr>
            <w:r>
              <w:rPr>
                <w:rFonts w:hint="eastAsia" w:ascii="宋体" w:hAnsi="宋体" w:cs="宋体"/>
                <w:color w:val="000000"/>
                <w:kern w:val="0"/>
                <w:sz w:val="22"/>
                <w:szCs w:val="22"/>
              </w:rPr>
              <w:t xml:space="preserve">污染物                   </w:t>
            </w:r>
          </w:p>
        </w:tc>
        <w:tc>
          <w:tcPr>
            <w:tcW w:w="23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2010</w:t>
            </w:r>
          </w:p>
        </w:tc>
        <w:tc>
          <w:tcPr>
            <w:tcW w:w="211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813" w:type="dxa"/>
            <w:vMerge w:val="continue"/>
            <w:tcBorders>
              <w:top w:val="single" w:color="auto" w:sz="4" w:space="0"/>
              <w:left w:val="single" w:color="auto" w:sz="4" w:space="0"/>
              <w:bottom w:val="single" w:color="auto" w:sz="4" w:space="0"/>
              <w:right w:val="single" w:color="auto" w:sz="4" w:space="0"/>
              <w:tl2br w:val="single" w:color="auto" w:sz="4" w:space="0"/>
            </w:tcBorders>
            <w:shd w:val="clear" w:color="auto" w:fill="auto"/>
            <w:vAlign w:val="center"/>
          </w:tcPr>
          <w:p>
            <w:pPr>
              <w:widowControl/>
              <w:jc w:val="center"/>
              <w:rPr>
                <w:rFonts w:ascii="宋体" w:hAnsi="宋体" w:cs="宋体"/>
                <w:color w:val="000000"/>
                <w:kern w:val="0"/>
                <w:sz w:val="22"/>
                <w:szCs w:val="22"/>
              </w:rPr>
            </w:pPr>
          </w:p>
        </w:tc>
        <w:tc>
          <w:tcPr>
            <w:tcW w:w="124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COD</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NH3-N</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COD</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NH3-N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8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港口污染物预测排放量 (t/a)</w:t>
            </w:r>
          </w:p>
        </w:tc>
        <w:tc>
          <w:tcPr>
            <w:tcW w:w="124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31.6</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5.2</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63</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8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占水环境容量的比例(%)</w:t>
            </w:r>
          </w:p>
        </w:tc>
        <w:tc>
          <w:tcPr>
            <w:tcW w:w="124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0.02</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0.05</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0.04</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8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占污染物最大允许排放量的比例(%)</w:t>
            </w:r>
          </w:p>
        </w:tc>
        <w:tc>
          <w:tcPr>
            <w:tcW w:w="124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0.03</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0.1</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0.05</w:t>
            </w:r>
          </w:p>
        </w:tc>
        <w:tc>
          <w:tcPr>
            <w:tcW w:w="10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2"/>
                <w:szCs w:val="22"/>
              </w:rPr>
            </w:pPr>
            <w:r>
              <w:rPr>
                <w:rFonts w:hint="eastAsia" w:ascii="宋体" w:hAnsi="宋体" w:cs="宋体"/>
                <w:color w:val="000000"/>
                <w:kern w:val="0"/>
                <w:sz w:val="22"/>
                <w:szCs w:val="22"/>
              </w:rPr>
              <w:t>0.2</w:t>
            </w:r>
          </w:p>
        </w:tc>
      </w:tr>
    </w:tbl>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可见，按照现有规划方案的规模进行港区建设，采用本次规划环评的污水处理排放利用推荐方案，在正常条件下，规划期内宜昌港大部分作业区的运营不会对港口周围水环境、敏感目标以及地表水环境容量造成不利影响，但葛洲坝</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云池</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左</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一段需缩减部分作业区规模以满足保护区的水环境要求。</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09" w:name="_Toc442195750"/>
      <w:r>
        <w:rPr>
          <w:rFonts w:hint="eastAsia" w:ascii="宋体" w:hAnsi="宋体" w:eastAsia="宋体"/>
          <w:b/>
          <w:sz w:val="28"/>
          <w:szCs w:val="28"/>
        </w:rPr>
        <w:t>长江（宜昌段）水质现状分析</w:t>
      </w:r>
      <w:bookmarkEnd w:id="209"/>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根据宜昌市环境保护局2015年11月水环境质量月报，长江水质能够满足功能区域Ⅱ类，距离本项目最近的云池削减断面，水质也能够满足Ⅱ类地表水功能规划需求。可见宜昌港规划实施后，并没有改变长江水质的功能区划。详细见截图6.3-2（宜昌市环境监测站）。</w:t>
      </w:r>
    </w:p>
    <w:p>
      <w:pPr>
        <w:autoSpaceDE w:val="0"/>
        <w:autoSpaceDN w:val="0"/>
        <w:adjustRightInd w:val="0"/>
        <w:spacing w:line="360" w:lineRule="auto"/>
        <w:jc w:val="center"/>
        <w:rPr>
          <w:rFonts w:cs="宋体" w:asciiTheme="minorEastAsia" w:hAnsiTheme="minorEastAsia" w:eastAsiaTheme="minorEastAsia"/>
          <w:color w:val="242728"/>
          <w:kern w:val="0"/>
          <w:sz w:val="24"/>
        </w:rPr>
      </w:pPr>
      <w:r>
        <w:drawing>
          <wp:inline distT="0" distB="0" distL="0" distR="0">
            <wp:extent cx="5486400" cy="42202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8"/>
                    <a:stretch>
                      <a:fillRect/>
                    </a:stretch>
                  </pic:blipFill>
                  <pic:spPr>
                    <a:xfrm>
                      <a:off x="0" y="0"/>
                      <a:ext cx="5486400" cy="4220210"/>
                    </a:xfrm>
                    <a:prstGeom prst="rect">
                      <a:avLst/>
                    </a:prstGeom>
                  </pic:spPr>
                </pic:pic>
              </a:graphicData>
            </a:graphic>
          </wp:inline>
        </w:drawing>
      </w:r>
    </w:p>
    <w:p>
      <w:pPr>
        <w:autoSpaceDE w:val="0"/>
        <w:autoSpaceDN w:val="0"/>
        <w:adjustRightInd w:val="0"/>
        <w:spacing w:line="360" w:lineRule="auto"/>
        <w:jc w:val="center"/>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图6.3-2 长江（宜昌）段十一月水质监测数据截图</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10" w:name="_Toc442195751"/>
      <w:r>
        <w:rPr>
          <w:rFonts w:hint="eastAsia" w:ascii="宋体" w:hAnsi="宋体" w:eastAsia="宋体"/>
          <w:b/>
          <w:sz w:val="28"/>
          <w:szCs w:val="28"/>
        </w:rPr>
        <w:t>岸线资源支撑能力分析</w:t>
      </w:r>
      <w:bookmarkEnd w:id="210"/>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根据宜昌市岸线利用的现状统计，全市己利用港口岸线长度约</w:t>
      </w:r>
      <w:r>
        <w:rPr>
          <w:rFonts w:cs="宋体" w:asciiTheme="minorEastAsia" w:hAnsiTheme="minorEastAsia" w:eastAsiaTheme="minorEastAsia"/>
          <w:color w:val="242728"/>
          <w:kern w:val="0"/>
          <w:sz w:val="24"/>
        </w:rPr>
        <w:t>32 .3 6</w:t>
      </w:r>
      <w:r>
        <w:rPr>
          <w:rFonts w:hint="eastAsia" w:cs="宋体" w:asciiTheme="minorEastAsia" w:hAnsiTheme="minorEastAsia" w:eastAsiaTheme="minorEastAsia"/>
          <w:color w:val="242728"/>
          <w:kern w:val="0"/>
          <w:sz w:val="24"/>
        </w:rPr>
        <w:t>km，现有码头泊位主要分布在长江干线、香溪河、黄柏河和清江等航道。就岸线的资源条件而言，各航道的差异较大。其中，三峡库区河段水域条件优越，但受陆域地形、地质条件、依托条件等多因素的限制，宜港岸线具有点多、分散等特点</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清江岸线较长，但普遍陆域狭窄，并且在部分河段存在地质不稳定岸线</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长江葛洲</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坝以下河段河势稳定，陆域、水深条件较好，分布有数段适宜建设规模化港口的深水岸线。</w:t>
      </w:r>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本次共规划港口岸线</w:t>
      </w:r>
      <w:r>
        <w:rPr>
          <w:rFonts w:cs="宋体" w:asciiTheme="minorEastAsia" w:hAnsiTheme="minorEastAsia" w:eastAsiaTheme="minorEastAsia"/>
          <w:color w:val="242728"/>
          <w:kern w:val="0"/>
          <w:sz w:val="24"/>
        </w:rPr>
        <w:t xml:space="preserve">69 </w:t>
      </w:r>
      <w:r>
        <w:rPr>
          <w:rFonts w:hint="eastAsia" w:cs="宋体" w:asciiTheme="minorEastAsia" w:hAnsiTheme="minorEastAsia" w:eastAsiaTheme="minorEastAsia"/>
          <w:color w:val="242728"/>
          <w:kern w:val="0"/>
          <w:sz w:val="24"/>
        </w:rPr>
        <w:t>段，总长约</w:t>
      </w:r>
      <w:r>
        <w:rPr>
          <w:rFonts w:cs="宋体" w:asciiTheme="minorEastAsia" w:hAnsiTheme="minorEastAsia" w:eastAsiaTheme="minorEastAsia"/>
          <w:color w:val="242728"/>
          <w:kern w:val="0"/>
          <w:sz w:val="24"/>
        </w:rPr>
        <w:t>94.68km</w:t>
      </w:r>
      <w:r>
        <w:rPr>
          <w:rFonts w:hint="eastAsia" w:cs="宋体" w:asciiTheme="minorEastAsia" w:hAnsiTheme="minorEastAsia" w:eastAsiaTheme="minorEastAsia"/>
          <w:color w:val="242728"/>
          <w:kern w:val="0"/>
          <w:sz w:val="24"/>
        </w:rPr>
        <w:t>，仍以长江干线、香溪河、清江、黄柏河等航道为主，占所在河段岸线总长度的</w:t>
      </w:r>
      <w:r>
        <w:rPr>
          <w:rFonts w:cs="宋体" w:asciiTheme="minorEastAsia" w:hAnsiTheme="minorEastAsia" w:eastAsiaTheme="minorEastAsia"/>
          <w:color w:val="242728"/>
          <w:kern w:val="0"/>
          <w:sz w:val="24"/>
        </w:rPr>
        <w:t>9.6%</w:t>
      </w:r>
      <w:r>
        <w:rPr>
          <w:rFonts w:hint="eastAsia" w:cs="宋体" w:asciiTheme="minorEastAsia" w:hAnsiTheme="minorEastAsia" w:eastAsiaTheme="minorEastAsia"/>
          <w:color w:val="242728"/>
          <w:kern w:val="0"/>
          <w:sz w:val="24"/>
        </w:rPr>
        <w:t>左右，其中规划新增港口岸线长度62.32</w:t>
      </w:r>
      <w:r>
        <w:rPr>
          <w:rFonts w:cs="宋体" w:asciiTheme="minorEastAsia" w:hAnsiTheme="minorEastAsia" w:eastAsiaTheme="minorEastAsia"/>
          <w:color w:val="242728"/>
          <w:kern w:val="0"/>
          <w:sz w:val="24"/>
        </w:rPr>
        <w:t xml:space="preserve"> </w:t>
      </w:r>
      <w:r>
        <w:rPr>
          <w:rFonts w:hint="eastAsia" w:cs="宋体" w:asciiTheme="minorEastAsia" w:hAnsiTheme="minorEastAsia" w:eastAsiaTheme="minorEastAsia"/>
          <w:color w:val="242728"/>
          <w:kern w:val="0"/>
          <w:sz w:val="24"/>
        </w:rPr>
        <w:t>km，约占规划岸线总长度的</w:t>
      </w:r>
      <w:r>
        <w:rPr>
          <w:rFonts w:cs="宋体" w:asciiTheme="minorEastAsia" w:hAnsiTheme="minorEastAsia" w:eastAsiaTheme="minorEastAsia"/>
          <w:color w:val="242728"/>
          <w:kern w:val="0"/>
          <w:sz w:val="24"/>
        </w:rPr>
        <w:t xml:space="preserve">63.9% </w:t>
      </w:r>
      <w:r>
        <w:rPr>
          <w:rFonts w:hint="eastAsia" w:cs="宋体" w:asciiTheme="minorEastAsia" w:hAnsiTheme="minorEastAsia" w:eastAsiaTheme="minorEastAsia"/>
          <w:color w:val="242728"/>
          <w:kern w:val="0"/>
          <w:sz w:val="24"/>
        </w:rPr>
        <w:t>。符合港口岸线的占用量10%以内规划指标。</w:t>
      </w:r>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各航道上的规划港口岸线见图6.3-3。</w:t>
      </w:r>
    </w:p>
    <w:p>
      <w:pPr>
        <w:widowControl/>
        <w:tabs>
          <w:tab w:val="left" w:pos="176"/>
        </w:tabs>
        <w:spacing w:line="260" w:lineRule="exact"/>
        <w:ind w:right="-107" w:rightChars="-51"/>
        <w:jc w:val="left"/>
        <w:rPr>
          <w:rFonts w:cs="宋体" w:asciiTheme="minorEastAsia" w:hAnsiTheme="minorEastAsia" w:eastAsiaTheme="minorEastAsia"/>
          <w:color w:val="242728"/>
          <w:kern w:val="0"/>
          <w:sz w:val="24"/>
        </w:rPr>
      </w:pPr>
    </w:p>
    <w:p>
      <w:pPr>
        <w:autoSpaceDE w:val="0"/>
        <w:autoSpaceDN w:val="0"/>
        <w:adjustRightInd w:val="0"/>
        <w:spacing w:line="360" w:lineRule="auto"/>
        <w:jc w:val="center"/>
        <w:rPr>
          <w:rFonts w:ascii="HiddenHorzOCR" w:cs="HiddenHorzOCR" w:hAnsiTheme="minorHAnsi" w:eastAsiaTheme="minorEastAsia"/>
          <w:color w:val="2B2D2E"/>
          <w:kern w:val="0"/>
          <w:sz w:val="20"/>
          <w:szCs w:val="20"/>
        </w:rPr>
      </w:pPr>
      <w:r>
        <w:drawing>
          <wp:inline distT="0" distB="0" distL="0" distR="0">
            <wp:extent cx="5200650" cy="40481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9"/>
                    <a:srcRect t="6181"/>
                    <a:stretch>
                      <a:fillRect/>
                    </a:stretch>
                  </pic:blipFill>
                  <pic:spPr>
                    <a:xfrm>
                      <a:off x="0" y="0"/>
                      <a:ext cx="5200650" cy="4048125"/>
                    </a:xfrm>
                    <a:prstGeom prst="rect">
                      <a:avLst/>
                    </a:prstGeom>
                    <a:ln>
                      <a:noFill/>
                    </a:ln>
                  </pic:spPr>
                </pic:pic>
              </a:graphicData>
            </a:graphic>
          </wp:inline>
        </w:drawing>
      </w:r>
    </w:p>
    <w:p>
      <w:pPr>
        <w:autoSpaceDE w:val="0"/>
        <w:autoSpaceDN w:val="0"/>
        <w:adjustRightInd w:val="0"/>
        <w:spacing w:line="360" w:lineRule="auto"/>
        <w:jc w:val="center"/>
        <w:rPr>
          <w:rFonts w:cs="宋体" w:asciiTheme="minorEastAsia" w:hAnsiTheme="minorEastAsia" w:eastAsiaTheme="minorEastAsia"/>
          <w:color w:val="242728"/>
          <w:kern w:val="0"/>
          <w:sz w:val="28"/>
          <w:szCs w:val="28"/>
        </w:rPr>
      </w:pPr>
      <w:r>
        <w:rPr>
          <w:rFonts w:hint="eastAsia" w:cs="HiddenHorzOCR" w:asciiTheme="minorEastAsia" w:hAnsiTheme="minorEastAsia" w:eastAsiaTheme="minorEastAsia"/>
          <w:color w:val="2B2D2E"/>
          <w:kern w:val="0"/>
          <w:sz w:val="28"/>
          <w:szCs w:val="28"/>
        </w:rPr>
        <w:t>图6.3-3岸线分布利用情况图</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11" w:name="_Toc442195752"/>
      <w:r>
        <w:rPr>
          <w:rFonts w:hint="eastAsia" w:ascii="宋体" w:hAnsi="宋体" w:eastAsia="宋体"/>
          <w:b/>
          <w:sz w:val="28"/>
          <w:szCs w:val="28"/>
        </w:rPr>
        <w:t>水陆域布局环境合理性分析</w:t>
      </w:r>
      <w:bookmarkEnd w:id="211"/>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本次宜昌港总体规划在规划阶段考虑了生态环保原则，对中华鲟保护区、饮用水源保护区、重要旅游区等生态敏感目标进行了一定避让。为了避免和减缓宜昌港总体规划的实施对港口水域及港区周边陆域环境的不良影响，规划特别注意使规划港区布局符合相应水陆域的环境功能要求，最大限度的减少对水陆域环境敏感区的影响。同时，充分考虑利用岸线和航道资源，通过整合原有港口岸线资源，集约开发宜港岸线，尽量减少对岸线资源的消耗。</w:t>
      </w:r>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从陆域布局上看，规划的主要作业区港区新增陆域面积占全市新增建设用地的比例很小，并且未占用保护性区域，现有的建设用地后备资源基本能够满足港口建设的需求。规划的各作业区的土地利用现状类型基本不涉及耕地，因此未来各作业区的建设与宜昌境内规划实施的各流域土地开发整理工程不相冲突。此外，港区的规划布局中充分考虑了城市规划与发展的用地需求，通过调整港区布局等措施避免了港口与其他功能的建设用地相冲突以及对城市功能的干扰。总体上，本规划的陆域布局基本具有环境合理性。</w:t>
      </w:r>
    </w:p>
    <w:p>
      <w:pPr>
        <w:autoSpaceDE w:val="0"/>
        <w:autoSpaceDN w:val="0"/>
        <w:adjustRightInd w:val="0"/>
        <w:spacing w:line="360" w:lineRule="auto"/>
        <w:ind w:firstLine="480" w:firstLineChars="200"/>
        <w:jc w:val="left"/>
        <w:rPr>
          <w:rFonts w:cs="宋体" w:asciiTheme="minorEastAsia" w:hAnsiTheme="minorEastAsia" w:eastAsiaTheme="minorEastAsia"/>
          <w:color w:val="242728"/>
          <w:kern w:val="0"/>
          <w:sz w:val="24"/>
        </w:rPr>
      </w:pPr>
      <w:r>
        <w:rPr>
          <w:rFonts w:hint="eastAsia" w:cs="宋体" w:asciiTheme="minorEastAsia" w:hAnsiTheme="minorEastAsia" w:eastAsiaTheme="minorEastAsia"/>
          <w:color w:val="242728"/>
          <w:kern w:val="0"/>
          <w:sz w:val="24"/>
        </w:rPr>
        <w:t>从水域布局上看，新规划的临江坪作业区、古老背作业区、红花套新作业区位于长江湖北宜昌中华鲟自然保护区内</w:t>
      </w:r>
      <w:r>
        <w:rPr>
          <w:rFonts w:cs="宋体" w:asciiTheme="minorEastAsia" w:hAnsiTheme="minorEastAsia" w:eastAsiaTheme="minorEastAsia"/>
          <w:color w:val="242728"/>
          <w:kern w:val="0"/>
          <w:sz w:val="24"/>
        </w:rPr>
        <w:t>;</w:t>
      </w:r>
      <w:r>
        <w:rPr>
          <w:rFonts w:hint="eastAsia" w:cs="宋体" w:asciiTheme="minorEastAsia" w:hAnsiTheme="minorEastAsia" w:eastAsiaTheme="minorEastAsia"/>
          <w:color w:val="242728"/>
          <w:kern w:val="0"/>
          <w:sz w:val="24"/>
        </w:rPr>
        <w:t>另外，原有的部分作业区也位于保护区内。因此水域布局上与我国现行的自然保护区管理条例相冲突，需要对作业区功能进行调整，并取消部分码头。</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12" w:name="_Toc442195753"/>
      <w:r>
        <w:rPr>
          <w:rFonts w:hint="eastAsia" w:ascii="宋体" w:hAnsi="宋体" w:eastAsia="宋体"/>
          <w:b/>
          <w:sz w:val="28"/>
          <w:szCs w:val="28"/>
        </w:rPr>
        <w:t>规划调整情况</w:t>
      </w:r>
      <w:bookmarkEnd w:id="212"/>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宜昌港总体规划环境影响评价实现了与规划之间的良好互动</w:t>
      </w:r>
      <w:r>
        <w:rPr>
          <w:rFonts w:asciiTheme="minorEastAsia" w:hAnsiTheme="minorEastAsia" w:eastAsiaTheme="minorEastAsia"/>
          <w:sz w:val="24"/>
        </w:rPr>
        <w:t>:</w:t>
      </w:r>
      <w:r>
        <w:rPr>
          <w:rFonts w:hint="eastAsia" w:asciiTheme="minorEastAsia" w:hAnsiTheme="minorEastAsia" w:eastAsiaTheme="minorEastAsia"/>
          <w:sz w:val="24"/>
        </w:rPr>
        <w:t>为了体现早期介入、早期预防的原则，规划与环评基本实现了同时调研、同时编制、同步调整。规划编制过程中，环评项目组根据宜昌市环境资源特点和敏感目标分布，于</w:t>
      </w:r>
      <w:r>
        <w:rPr>
          <w:rFonts w:asciiTheme="minorEastAsia" w:hAnsiTheme="minorEastAsia" w:eastAsiaTheme="minorEastAsia"/>
          <w:sz w:val="24"/>
        </w:rPr>
        <w:t>2005</w:t>
      </w:r>
      <w:r>
        <w:rPr>
          <w:rFonts w:hint="eastAsia" w:asciiTheme="minorEastAsia" w:hAnsiTheme="minorEastAsia" w:eastAsiaTheme="minorEastAsia"/>
          <w:sz w:val="24"/>
        </w:rPr>
        <w:t>年、</w:t>
      </w:r>
      <w:r>
        <w:rPr>
          <w:rFonts w:asciiTheme="minorEastAsia" w:hAnsiTheme="minorEastAsia" w:eastAsiaTheme="minorEastAsia"/>
          <w:sz w:val="24"/>
        </w:rPr>
        <w:t xml:space="preserve">2006 </w:t>
      </w:r>
      <w:r>
        <w:rPr>
          <w:rFonts w:hint="eastAsia" w:asciiTheme="minorEastAsia" w:hAnsiTheme="minorEastAsia" w:eastAsiaTheme="minorEastAsia"/>
          <w:sz w:val="24"/>
        </w:rPr>
        <w:t>年先后与规划编制组进行了数次讨论，正式提交了多份调整意见。规划编制部门部分采纳了环评的初步意见，缩减了兴山港区、长阳港区、枝江港区的部分作业区规模，调整了主城港区的古老背作业区、临江坪作业区的功能，取消了江南作业区等位于中华鲟自然保护区核心区的码头，并体现了逐步取消保护区内码头的思路。</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13" w:name="_Toc442195754"/>
      <w:r>
        <w:rPr>
          <w:rFonts w:hint="eastAsia" w:ascii="宋体" w:hAnsi="宋体" w:eastAsia="宋体"/>
          <w:b/>
          <w:sz w:val="28"/>
          <w:szCs w:val="28"/>
        </w:rPr>
        <w:t>本次活动的增量影响</w:t>
      </w:r>
      <w:bookmarkEnd w:id="213"/>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世行宜昌三峡物流中心基础设施项目其码头占用岸线1036m，符合宜昌港总体规划，为其岸线规划的一部分。码头产生的污染物由于进入沙湾污水处理厂，不会增加码头段长江水质污染负荷，基本不会对长江水体产生污染。</w:t>
      </w:r>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由于本项目的增量为原规划的一部分，而在规划环评评价中，其占用岸线、对水质影响等均能满足规划指标，另外，通过对长江（宜昌段）2015年11月份水质分析，其水质现状与规划环评基本一致，规划的实施没有改变水体功能区划。</w:t>
      </w:r>
    </w:p>
    <w:p>
      <w:pPr>
        <w:autoSpaceDE w:val="0"/>
        <w:autoSpaceDN w:val="0"/>
        <w:adjustRightIn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因此本项目产生的对岸线资源、水质的影响均在可接受范围内。</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14" w:name="_Toc442195755"/>
      <w:r>
        <w:rPr>
          <w:rFonts w:hint="eastAsia" w:ascii="宋体" w:hAnsi="宋体" w:eastAsia="宋体"/>
          <w:b/>
          <w:sz w:val="28"/>
          <w:szCs w:val="28"/>
        </w:rPr>
        <w:t>措施情况</w:t>
      </w:r>
      <w:bookmarkEnd w:id="214"/>
    </w:p>
    <w:p>
      <w:pPr>
        <w:autoSpaceDE w:val="0"/>
        <w:autoSpaceDN w:val="0"/>
        <w:adjustRightInd w:val="0"/>
        <w:spacing w:line="360" w:lineRule="auto"/>
        <w:ind w:firstLine="480" w:firstLineChars="200"/>
        <w:jc w:val="left"/>
        <w:rPr>
          <w:rFonts w:eastAsiaTheme="minorEastAsia"/>
          <w:color w:val="292B2C"/>
          <w:kern w:val="0"/>
          <w:sz w:val="24"/>
        </w:rPr>
      </w:pPr>
      <w:r>
        <w:rPr>
          <w:rFonts w:hint="eastAsia" w:eastAsiaTheme="minorEastAsia"/>
          <w:color w:val="292B2C"/>
          <w:kern w:val="0"/>
          <w:sz w:val="24"/>
        </w:rPr>
        <w:t>（1）</w:t>
      </w:r>
      <w:r>
        <w:rPr>
          <w:rFonts w:eastAsiaTheme="minorEastAsia"/>
          <w:color w:val="292B2C"/>
          <w:kern w:val="0"/>
          <w:sz w:val="24"/>
        </w:rPr>
        <w:t>水环境污染减缓措施与对策</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1 )根据估算， 2010 年和2020 年，宜昌港各主要作业区将产生生活污水总量约27.5万t/a 和45.9 万t/a ，生活污水日排放量分别是0.089 万吨和O~ 148 万吨。根据宜昌市相关规划，届时全市的污水处理厂将具有足够的处理能力，建议随着港区的建设，增加管网接口，实现全部纳管。</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2) 建议精归港区、兴山港区依托库区污水处理系统，改造各作业区附近污水收集处理系统;建议在高阳、水田坝、花桥、资丘和隔河岩作业区建设污水收集处理系统，在其他码头停靠点配备简单的污水收集和处理装置，100% 的接收港区污水和船舶生活污水。</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3) 为保护三峡库区水质，建议旅游客运船舶配备足够的存储空间，并铅封污水排放口，所有旅客产生的废水均应运送到岸上处理。</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4 )进出港船舶应遵守MARPOL73/78 公约和《中华人民共和国防治船舶污染水域环境管理规定))，并严格执行湖北省有关船舶防污染的规定，禁止船舶向水域排放废油、残油等.船舶航行、停泊、作业以及维修等有关活动，向水域排放含油污水的，应当符合国家和省规定的排放标准和要求。</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5 )建议主城港区的云池作业区，尽量避免在港区内洗箱。</w:t>
      </w:r>
    </w:p>
    <w:p>
      <w:pPr>
        <w:autoSpaceDE w:val="0"/>
        <w:autoSpaceDN w:val="0"/>
        <w:adjustRightInd w:val="0"/>
        <w:spacing w:line="360" w:lineRule="auto"/>
        <w:ind w:firstLine="480" w:firstLineChars="200"/>
        <w:jc w:val="left"/>
        <w:rPr>
          <w:rFonts w:eastAsiaTheme="minorEastAsia"/>
          <w:color w:val="292B2C"/>
          <w:kern w:val="0"/>
          <w:sz w:val="24"/>
        </w:rPr>
      </w:pPr>
      <w:r>
        <w:rPr>
          <w:rFonts w:eastAsiaTheme="minorEastAsia"/>
          <w:color w:val="292B2C"/>
          <w:kern w:val="0"/>
          <w:sz w:val="24"/>
        </w:rPr>
        <w:t>6 )含煤、矿粉污水主要来自机房、码头、廊道冲洗水和洗车污水，以及煤、矿石堆场降雨径流产生的雨污水.这些污水含煤粉、矿粉较多，一般大于1000mg/L ，禁止直排。根据宜昌港总体规划，港区应实行雨污分流.对分流的含煤、矿粉的污水应进行处理。一般采用斜板、平流式二次沉淀法处理，处理后排入水中的浓度应小于150mg/L 。</w:t>
      </w:r>
    </w:p>
    <w:p>
      <w:pPr>
        <w:autoSpaceDE w:val="0"/>
        <w:autoSpaceDN w:val="0"/>
        <w:adjustRightInd w:val="0"/>
        <w:spacing w:line="360" w:lineRule="auto"/>
        <w:ind w:firstLine="480" w:firstLineChars="200"/>
        <w:jc w:val="left"/>
        <w:rPr>
          <w:rFonts w:eastAsiaTheme="minorEastAsia"/>
          <w:sz w:val="24"/>
        </w:rPr>
      </w:pPr>
      <w:r>
        <w:rPr>
          <w:rFonts w:eastAsiaTheme="minorEastAsia"/>
          <w:color w:val="282B2C"/>
          <w:kern w:val="0"/>
          <w:sz w:val="24"/>
        </w:rPr>
        <w:t>7 )建议在云池作业区改造和田家河作业区建设过程中，建设危险品废水回收装置，将这部分废水全部收集，并排入污水处理系统或市政管网进行处理。</w:t>
      </w:r>
    </w:p>
    <w:p>
      <w:pPr>
        <w:autoSpaceDE w:val="0"/>
        <w:autoSpaceDN w:val="0"/>
        <w:adjustRightInd w:val="0"/>
        <w:spacing w:line="360" w:lineRule="auto"/>
        <w:ind w:firstLine="480" w:firstLineChars="200"/>
        <w:jc w:val="left"/>
        <w:rPr>
          <w:rFonts w:eastAsiaTheme="minorEastAsia"/>
          <w:color w:val="282B2C"/>
          <w:kern w:val="0"/>
          <w:sz w:val="24"/>
        </w:rPr>
      </w:pPr>
      <w:r>
        <w:rPr>
          <w:rFonts w:hint="eastAsia" w:eastAsiaTheme="minorEastAsia"/>
          <w:color w:val="282B2C"/>
          <w:kern w:val="0"/>
          <w:sz w:val="24"/>
        </w:rPr>
        <w:t>8</w:t>
      </w:r>
      <w:r>
        <w:rPr>
          <w:rFonts w:eastAsiaTheme="minorEastAsia"/>
          <w:color w:val="282B2C"/>
          <w:kern w:val="0"/>
          <w:sz w:val="24"/>
        </w:rPr>
        <w:t xml:space="preserve">) </w:t>
      </w:r>
      <w:r>
        <w:rPr>
          <w:rFonts w:hint="eastAsia" w:eastAsiaTheme="minorEastAsia"/>
          <w:color w:val="282B2C"/>
          <w:kern w:val="0"/>
          <w:sz w:val="24"/>
        </w:rPr>
        <w:t>环境监测与监督管理</w:t>
      </w:r>
    </w:p>
    <w:p>
      <w:pPr>
        <w:autoSpaceDE w:val="0"/>
        <w:autoSpaceDN w:val="0"/>
        <w:adjustRightInd w:val="0"/>
        <w:spacing w:line="360" w:lineRule="auto"/>
        <w:ind w:firstLine="480" w:firstLineChars="200"/>
        <w:jc w:val="left"/>
        <w:rPr>
          <w:rFonts w:eastAsiaTheme="minorEastAsia"/>
          <w:color w:val="282B2C"/>
          <w:kern w:val="0"/>
          <w:sz w:val="24"/>
        </w:rPr>
      </w:pPr>
      <w:r>
        <w:rPr>
          <w:rFonts w:hint="eastAsia" w:eastAsiaTheme="minorEastAsia"/>
          <w:color w:val="282B2C"/>
          <w:kern w:val="0"/>
          <w:sz w:val="24"/>
        </w:rPr>
        <w:t>各作业区的环境监测工作均由各市环境监测站定期进行。各港区成立环保管理机构，配备专职环保管理人员，建立环境保护培训制度，使作业区环境保护管理水平达到国际先进水平。</w:t>
      </w:r>
    </w:p>
    <w:p>
      <w:pPr>
        <w:pStyle w:val="3"/>
        <w:tabs>
          <w:tab w:val="clear" w:pos="3695"/>
        </w:tabs>
        <w:ind w:left="567"/>
      </w:pPr>
      <w:bookmarkStart w:id="215" w:name="_Toc207443982"/>
      <w:bookmarkStart w:id="216" w:name="_Toc271725894"/>
      <w:bookmarkStart w:id="217" w:name="_Toc143401702"/>
      <w:bookmarkStart w:id="218" w:name="_Toc442195756"/>
      <w:bookmarkStart w:id="219" w:name="_Toc205976366"/>
      <w:bookmarkStart w:id="220" w:name="_Toc245528728"/>
      <w:bookmarkStart w:id="221" w:name="_Toc144193633"/>
      <w:bookmarkStart w:id="222" w:name="_Toc154477673"/>
      <w:bookmarkStart w:id="223" w:name="_Toc181058988"/>
      <w:bookmarkStart w:id="224" w:name="_Toc144191908"/>
      <w:bookmarkStart w:id="225" w:name="_Toc144183521"/>
      <w:bookmarkStart w:id="226" w:name="_Toc143446956"/>
      <w:bookmarkStart w:id="227" w:name="_Toc143401698"/>
      <w:bookmarkStart w:id="228" w:name="_Toc139262341"/>
      <w:r>
        <w:t>资源承载力分析</w:t>
      </w:r>
      <w:bookmarkEnd w:id="215"/>
      <w:bookmarkEnd w:id="216"/>
      <w:bookmarkEnd w:id="217"/>
      <w:bookmarkEnd w:id="218"/>
      <w:bookmarkEnd w:id="219"/>
      <w:bookmarkEnd w:id="220"/>
    </w:p>
    <w:p>
      <w:pPr>
        <w:pStyle w:val="4"/>
        <w:spacing w:line="360" w:lineRule="auto"/>
        <w:ind w:firstLine="480"/>
        <w:rPr>
          <w:sz w:val="24"/>
        </w:rPr>
      </w:pPr>
      <w:r>
        <w:rPr>
          <w:rFonts w:hint="eastAsia"/>
          <w:sz w:val="24"/>
        </w:rPr>
        <w:t>资源承载力主要与区域的环境有关，由于本项目的上位规划为宜昌市白洋工业园区，因此资源承载力范围分析也就仅限于此，该节生态内容摘自已经批复《宜昌市白洋工业园区规划环评》。</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29" w:name="_Toc442195757"/>
      <w:r>
        <w:rPr>
          <w:rFonts w:ascii="宋体" w:hAnsi="宋体" w:eastAsia="宋体"/>
          <w:b/>
          <w:sz w:val="28"/>
          <w:szCs w:val="28"/>
        </w:rPr>
        <w:t>水资源承载能力分析</w:t>
      </w:r>
      <w:bookmarkEnd w:id="229"/>
    </w:p>
    <w:p>
      <w:pPr>
        <w:autoSpaceDE w:val="0"/>
        <w:autoSpaceDN w:val="0"/>
        <w:spacing w:line="500" w:lineRule="exact"/>
        <w:ind w:firstLine="480" w:firstLineChars="200"/>
        <w:rPr>
          <w:rFonts w:eastAsia="新宋体"/>
          <w:sz w:val="24"/>
        </w:rPr>
      </w:pPr>
      <w:r>
        <w:rPr>
          <w:rFonts w:eastAsia="新宋体"/>
          <w:sz w:val="24"/>
        </w:rPr>
        <w:t>工业区建设过程中需消耗大量新水，因此，为了维持工业区的可持续发展，须对工业区的水资源承载能力进行分析。</w:t>
      </w:r>
    </w:p>
    <w:p>
      <w:pPr>
        <w:autoSpaceDE w:val="0"/>
        <w:autoSpaceDN w:val="0"/>
        <w:spacing w:line="500" w:lineRule="exact"/>
        <w:ind w:firstLine="480" w:firstLineChars="200"/>
        <w:rPr>
          <w:rFonts w:eastAsia="新宋体"/>
          <w:sz w:val="24"/>
        </w:rPr>
      </w:pPr>
      <w:r>
        <w:rPr>
          <w:rFonts w:hint="eastAsia" w:eastAsia="新宋体"/>
          <w:sz w:val="24"/>
        </w:rPr>
        <w:t>水资源承载力是指在规划的流（区）域空间范围内和时间跨度下，在可预见的技术生产水平和科技管理水平条件下，以维护生态环境良性循环发展为基本条件，结合规划时段针对规划各时段的社会经济水平，动态地分析一个流（区）域的可再生利用水资源量对规划的人口规模、社会经济系统发展规模、产业结构、生产力布局的支撑能力。</w:t>
      </w:r>
    </w:p>
    <w:p>
      <w:pPr>
        <w:autoSpaceDE w:val="0"/>
        <w:autoSpaceDN w:val="0"/>
        <w:spacing w:line="500" w:lineRule="exact"/>
        <w:ind w:firstLine="480" w:firstLineChars="200"/>
        <w:rPr>
          <w:rFonts w:eastAsia="新宋体"/>
          <w:sz w:val="24"/>
        </w:rPr>
      </w:pPr>
      <w:r>
        <w:rPr>
          <w:rFonts w:hint="eastAsia" w:eastAsia="新宋体"/>
          <w:sz w:val="24"/>
        </w:rPr>
        <w:t>（1）区域水资源供给承载力分析</w:t>
      </w:r>
    </w:p>
    <w:p>
      <w:pPr>
        <w:spacing w:line="520" w:lineRule="exact"/>
        <w:ind w:firstLine="480" w:firstLineChars="200"/>
        <w:rPr>
          <w:sz w:val="24"/>
        </w:rPr>
      </w:pPr>
      <w:r>
        <w:rPr>
          <w:rFonts w:hint="eastAsia"/>
          <w:sz w:val="24"/>
        </w:rPr>
        <w:t>长江宜昌城区段和枝江段水资源丰富，在国家实施节能减排、实行饮用水源地保护和对三峡库区及其影响区水质进行专项治理的背景下，长江水质安全和供水水量均可得到有效的保障。</w:t>
      </w:r>
    </w:p>
    <w:p>
      <w:pPr>
        <w:autoSpaceDE w:val="0"/>
        <w:autoSpaceDN w:val="0"/>
        <w:spacing w:line="500" w:lineRule="exact"/>
        <w:ind w:firstLine="480" w:firstLineChars="200"/>
        <w:rPr>
          <w:rFonts w:eastAsia="新宋体"/>
          <w:sz w:val="24"/>
        </w:rPr>
      </w:pPr>
      <w:r>
        <w:rPr>
          <w:rFonts w:hint="eastAsia" w:eastAsia="新宋体"/>
          <w:sz w:val="24"/>
        </w:rPr>
        <w:t>（2）区域水资源综合协调承载力分析</w:t>
      </w:r>
    </w:p>
    <w:p>
      <w:pPr>
        <w:autoSpaceDE w:val="0"/>
        <w:autoSpaceDN w:val="0"/>
        <w:spacing w:line="500" w:lineRule="exact"/>
        <w:ind w:firstLine="480" w:firstLineChars="200"/>
        <w:rPr>
          <w:rFonts w:eastAsia="新宋体"/>
          <w:sz w:val="24"/>
        </w:rPr>
      </w:pPr>
      <w:r>
        <w:rPr>
          <w:rFonts w:hint="eastAsia" w:eastAsia="新宋体"/>
          <w:sz w:val="24"/>
        </w:rPr>
        <w:t>水资源承载力综合指标由协调指数（</w:t>
      </w:r>
      <w:r>
        <w:rPr>
          <w:rFonts w:eastAsia="新宋体"/>
          <w:sz w:val="24"/>
        </w:rPr>
        <w:t>CHI</w:t>
      </w:r>
      <w:r>
        <w:rPr>
          <w:rFonts w:hint="eastAsia" w:eastAsia="新宋体"/>
          <w:sz w:val="24"/>
        </w:rPr>
        <w:t>）表示，用来反映水资源系统承载的规划方案压力和本身水资源系统支持力的相对关系，协调指数表示为：</w:t>
      </w:r>
    </w:p>
    <w:p>
      <w:pPr>
        <w:autoSpaceDE w:val="0"/>
        <w:autoSpaceDN w:val="0"/>
        <w:spacing w:line="500" w:lineRule="exact"/>
        <w:ind w:firstLine="960" w:firstLineChars="400"/>
        <w:rPr>
          <w:rFonts w:eastAsia="新宋体"/>
          <w:sz w:val="24"/>
        </w:rPr>
      </w:pPr>
      <w:r>
        <w:rPr>
          <w:rFonts w:eastAsia="新宋体"/>
          <w:sz w:val="24"/>
        </w:rPr>
        <w:t>CHI=CCP/CCS</w:t>
      </w:r>
    </w:p>
    <w:p>
      <w:pPr>
        <w:autoSpaceDE w:val="0"/>
        <w:autoSpaceDN w:val="0"/>
        <w:spacing w:line="500" w:lineRule="exact"/>
        <w:ind w:firstLine="480" w:firstLineChars="200"/>
        <w:rPr>
          <w:rFonts w:eastAsia="新宋体"/>
          <w:sz w:val="24"/>
        </w:rPr>
      </w:pPr>
      <w:r>
        <w:rPr>
          <w:rFonts w:hint="eastAsia" w:eastAsia="新宋体"/>
          <w:sz w:val="24"/>
        </w:rPr>
        <w:t>其中，</w:t>
      </w:r>
      <w:r>
        <w:rPr>
          <w:rFonts w:eastAsia="新宋体"/>
          <w:sz w:val="24"/>
        </w:rPr>
        <w:t>CCP</w:t>
      </w:r>
      <w:r>
        <w:rPr>
          <w:rFonts w:hint="eastAsia" w:eastAsia="新宋体"/>
          <w:sz w:val="24"/>
        </w:rPr>
        <w:t>－压力指数；</w:t>
      </w:r>
      <w:r>
        <w:rPr>
          <w:rFonts w:eastAsia="新宋体"/>
          <w:sz w:val="24"/>
        </w:rPr>
        <w:t>CCS</w:t>
      </w:r>
      <w:r>
        <w:rPr>
          <w:rFonts w:hint="eastAsia" w:eastAsia="新宋体"/>
          <w:sz w:val="24"/>
        </w:rPr>
        <w:t>－支持力指数。</w:t>
      </w:r>
    </w:p>
    <w:p>
      <w:pPr>
        <w:autoSpaceDE w:val="0"/>
        <w:autoSpaceDN w:val="0"/>
        <w:spacing w:line="500" w:lineRule="exact"/>
        <w:ind w:firstLine="480" w:firstLineChars="200"/>
        <w:rPr>
          <w:rFonts w:eastAsia="新宋体"/>
          <w:sz w:val="24"/>
        </w:rPr>
      </w:pPr>
      <w:r>
        <w:rPr>
          <w:rFonts w:hint="eastAsia" w:eastAsia="新宋体"/>
          <w:sz w:val="24"/>
        </w:rPr>
        <w:t>协调指数反映规划方案所带来的社会经济环境巨系统的变化与水资源系统之间的协调状况。为了实现可持续反展的目标，应保证</w:t>
      </w:r>
      <w:r>
        <w:rPr>
          <w:rFonts w:eastAsia="新宋体"/>
          <w:sz w:val="24"/>
        </w:rPr>
        <w:t>CHI</w:t>
      </w:r>
      <w:r>
        <w:rPr>
          <w:rFonts w:hint="eastAsia" w:eastAsia="新宋体"/>
          <w:sz w:val="24"/>
        </w:rPr>
        <w:t>≤</w:t>
      </w:r>
      <w:r>
        <w:rPr>
          <w:rFonts w:eastAsia="新宋体"/>
          <w:sz w:val="24"/>
        </w:rPr>
        <w:t>1</w:t>
      </w:r>
      <w:r>
        <w:rPr>
          <w:rFonts w:hint="eastAsia" w:eastAsia="新宋体"/>
          <w:sz w:val="24"/>
        </w:rPr>
        <w:t>。</w:t>
      </w:r>
    </w:p>
    <w:p>
      <w:pPr>
        <w:autoSpaceDE w:val="0"/>
        <w:autoSpaceDN w:val="0"/>
        <w:spacing w:line="500" w:lineRule="exact"/>
        <w:ind w:firstLine="480" w:firstLineChars="200"/>
        <w:rPr>
          <w:rFonts w:eastAsia="新宋体"/>
          <w:sz w:val="24"/>
        </w:rPr>
      </w:pPr>
      <w:r>
        <w:rPr>
          <w:rFonts w:hint="eastAsia" w:eastAsia="新宋体"/>
          <w:sz w:val="24"/>
        </w:rPr>
        <w:t>一般描述水资源系统支持力的指数包括水资源综合利用率、水质综合达标率、人均水资源分配量以及单位面积水资源量等，而水资源承载力压力指数则包括区域水资源开发利用对人口水资源利用和开发强度、满足工农业生产承载力的社会经济指数以及维持生态系统稳定性、生物多样性生态需水量等生态环境指标。宜昌市白洋工业园全部以水量和水质都较好的长江和善溪冲水库做为其水资源供给源，可供利用水资源极为丰富，具有很强的水资源支持力。而工业区和区域规划人口密度、人均用水量适宜，加上集中式生活污水处理厂和远期中水回用设施的建设，水资源对人口压力有限。区域农业灌溉用水以及植被生态系统则依赖于境内现有水库，随着园区的开发建设，农业灌溉用水将大幅度减少，宜昌市城区雨水充沛，水资源有保障，可完全满足农业和生态系统良性循环需水量。</w:t>
      </w:r>
    </w:p>
    <w:p>
      <w:pPr>
        <w:autoSpaceDE w:val="0"/>
        <w:autoSpaceDN w:val="0"/>
        <w:spacing w:line="500" w:lineRule="exact"/>
        <w:ind w:firstLine="480" w:firstLineChars="200"/>
        <w:rPr>
          <w:rFonts w:eastAsia="新宋体"/>
          <w:sz w:val="24"/>
        </w:rPr>
      </w:pPr>
      <w:r>
        <w:rPr>
          <w:rFonts w:hint="eastAsia" w:eastAsia="新宋体"/>
          <w:sz w:val="24"/>
        </w:rPr>
        <w:t>综合分析，区域水资源系统承载规划的压力方案和水资源系统支持力所反映的协调指数为较小，说明工业区建设水资源综合协调承载力较好。</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30" w:name="_Toc442195758"/>
      <w:r>
        <w:rPr>
          <w:rFonts w:ascii="宋体" w:hAnsi="宋体" w:eastAsia="宋体"/>
          <w:b/>
          <w:sz w:val="28"/>
          <w:szCs w:val="28"/>
        </w:rPr>
        <w:t>土地承载力</w:t>
      </w:r>
      <w:r>
        <w:rPr>
          <w:rFonts w:hint="eastAsia" w:ascii="宋体" w:hAnsi="宋体" w:eastAsia="宋体"/>
          <w:b/>
          <w:sz w:val="28"/>
          <w:szCs w:val="28"/>
        </w:rPr>
        <w:t>分析</w:t>
      </w:r>
      <w:bookmarkEnd w:id="230"/>
    </w:p>
    <w:p>
      <w:pPr>
        <w:autoSpaceDE w:val="0"/>
        <w:autoSpaceDN w:val="0"/>
        <w:spacing w:line="360" w:lineRule="auto"/>
        <w:ind w:firstLine="480" w:firstLineChars="200"/>
        <w:rPr>
          <w:rFonts w:eastAsia="新宋体"/>
          <w:sz w:val="24"/>
        </w:rPr>
      </w:pPr>
      <w:r>
        <w:rPr>
          <w:rFonts w:hint="eastAsia" w:eastAsia="新宋体"/>
          <w:sz w:val="24"/>
        </w:rPr>
        <w:t>土地资源承载力分析是指在规划涉及的空间和时间范围内，对区域土地资源所能持续承受规划引起的人口规模、土地利用方式、经济增长以及污染排放、生态干扰的能力进行分析与评价。同时，通过土地可持续利用指数分析，综合表征区域土地资源承载力水平，反映土地可持续利用水平。</w:t>
      </w:r>
    </w:p>
    <w:p>
      <w:pPr>
        <w:autoSpaceDE w:val="0"/>
        <w:autoSpaceDN w:val="0"/>
        <w:spacing w:line="360" w:lineRule="auto"/>
        <w:ind w:firstLine="480" w:firstLineChars="200"/>
        <w:rPr>
          <w:rFonts w:eastAsia="新宋体"/>
          <w:sz w:val="24"/>
        </w:rPr>
      </w:pPr>
      <w:r>
        <w:rPr>
          <w:rFonts w:eastAsia="新宋体"/>
          <w:sz w:val="24"/>
        </w:rPr>
        <w:t>对于一个小区域的开放型区域而言，粮食、蔬菜等生物消费品不存在自给自足的问题，绝大多数是依靠外围的支持。工业区内是主要作为社会经济活动的重点区域，对于工业区内的自然资源主要存在水、光、热、能等基础资源的问题，工业区内基础资源较丰富，依照规划对区内进行开发，可以达到可持续利用的目标。因此，从生物生产和粮食农产品供应方面研究宜昌市白洋工业园的资源承载力意义不大。但是从区域生态良性循环，各类用地合理配置，尤其是绿地用地的保证方面来说，一个适宜生活居住和工作的区域生态环境，必须确定一个合理的人口容量</w:t>
      </w:r>
      <w:r>
        <w:rPr>
          <w:rFonts w:hint="eastAsia" w:eastAsia="新宋体"/>
          <w:sz w:val="24"/>
        </w:rPr>
        <w:t>、土地经济产能区动力和环境承载力</w:t>
      </w:r>
      <w:r>
        <w:rPr>
          <w:rFonts w:eastAsia="新宋体"/>
          <w:sz w:val="24"/>
        </w:rPr>
        <w:t>。人口规模过大和人口密度过高，区域生态压力超载，必然带来许多生态问题</w:t>
      </w:r>
      <w:r>
        <w:rPr>
          <w:rFonts w:hint="eastAsia" w:eastAsia="新宋体"/>
          <w:sz w:val="24"/>
        </w:rPr>
        <w:t>；土地开发使得土地产值提升对于持续开发具有驱动作用，但土地开发带来的环境污染负荷和生态环境偏离将制约其可持续发展。</w:t>
      </w:r>
    </w:p>
    <w:p>
      <w:pPr>
        <w:autoSpaceDE w:val="0"/>
        <w:autoSpaceDN w:val="0"/>
        <w:spacing w:line="360" w:lineRule="auto"/>
        <w:ind w:firstLine="480" w:firstLineChars="200"/>
        <w:rPr>
          <w:rFonts w:eastAsia="新宋体"/>
          <w:sz w:val="24"/>
        </w:rPr>
      </w:pPr>
      <w:r>
        <w:rPr>
          <w:rFonts w:eastAsia="新宋体"/>
          <w:sz w:val="24"/>
        </w:rPr>
        <w:t>宜昌市白洋工业园</w:t>
      </w:r>
      <w:r>
        <w:rPr>
          <w:rFonts w:hint="eastAsia" w:eastAsia="新宋体"/>
          <w:sz w:val="24"/>
        </w:rPr>
        <w:t>依照城市总体规划要求，</w:t>
      </w:r>
      <w:r>
        <w:rPr>
          <w:rFonts w:eastAsia="新宋体"/>
          <w:sz w:val="24"/>
        </w:rPr>
        <mc:AlternateContent>
          <mc:Choice Requires="wps">
            <w:drawing>
              <wp:anchor distT="0" distB="0" distL="114300" distR="114300" simplePos="0" relativeHeight="252046336" behindDoc="0" locked="0" layoutInCell="1" allowOverlap="1">
                <wp:simplePos x="0" y="0"/>
                <wp:positionH relativeFrom="column">
                  <wp:posOffset>-7397750</wp:posOffset>
                </wp:positionH>
                <wp:positionV relativeFrom="paragraph">
                  <wp:posOffset>1783080</wp:posOffset>
                </wp:positionV>
                <wp:extent cx="822325" cy="297180"/>
                <wp:effectExtent l="1905" t="3810" r="4445" b="3810"/>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822325" cy="297180"/>
                        </a:xfrm>
                        <a:prstGeom prst="rect">
                          <a:avLst/>
                        </a:prstGeom>
                        <a:noFill/>
                        <a:ln>
                          <a:noFill/>
                        </a:ln>
                        <a:effectLst/>
                      </wps:spPr>
                      <wps:txbx>
                        <w:txbxContent>
                          <w:p>
                            <w:pPr>
                              <w:spacing w:before="60"/>
                              <w:ind w:firstLine="482"/>
                              <w:rPr>
                                <w:b/>
                                <w:color w:val="FFFFFF"/>
                              </w:rPr>
                            </w:pPr>
                            <w:r>
                              <w:rPr>
                                <w:rFonts w:hint="eastAsia"/>
                                <w:b/>
                                <w:color w:val="FFFFFF"/>
                              </w:rPr>
                              <w:t>沙河公园</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582.5pt;margin-top:140.4pt;height:23.4pt;width:64.75pt;z-index:252046336;mso-width-relative:page;mso-height-relative:page;" filled="f" stroked="f" coordsize="21600,21600" o:gfxdata="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&#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ZYKHa3AAAAA8BAAAPAAAAAAAAAAEAIAAAACIAAABk&#10;cnMvZG93bnJldi54bWxQSwECFAAUAAAACACHTuJAtiI4ngICAADWAwAADgAAAAAAAAABACAAAAAr&#10;AQAAZHJzL2Uyb0RvYy54bWxQSwUGAAAAAAYABgBZAQAAnwUAAAAA&#10;">
                <v:fill on="f" focussize="0,0"/>
                <v:stroke on="f"/>
                <v:imagedata o:title=""/>
                <o:lock v:ext="edit" aspectratio="f"/>
                <v:textbox>
                  <w:txbxContent>
                    <w:p>
                      <w:pPr>
                        <w:spacing w:before="60"/>
                        <w:ind w:firstLine="482"/>
                        <w:rPr>
                          <w:b/>
                          <w:color w:val="FFFFFF"/>
                        </w:rPr>
                      </w:pPr>
                      <w:r>
                        <w:rPr>
                          <w:rFonts w:hint="eastAsia"/>
                          <w:b/>
                          <w:color w:val="FFFFFF"/>
                        </w:rPr>
                        <w:t>沙河公园</w:t>
                      </w:r>
                    </w:p>
                  </w:txbxContent>
                </v:textbox>
              </v:shape>
            </w:pict>
          </mc:Fallback>
        </mc:AlternateContent>
      </w:r>
      <w:r>
        <w:rPr>
          <w:rFonts w:hint="eastAsia" w:eastAsia="新宋体"/>
          <w:sz w:val="24"/>
        </w:rPr>
        <w:t>从“尊重自然、体现特色”的角度出发，将江河、水系、山体、森林溶为一体，形成“圈-轴”的布局结构，建立生态型工业区的空间形象。营造“城中有水，山林相伴”的景观形象，构筑“山体、水系、工业区”相互交融的生态格局，形成自然、田园、舒适、宜人的人居气氛。</w:t>
      </w:r>
      <w:r>
        <w:rPr>
          <w:rFonts w:eastAsia="新宋体"/>
          <w:sz w:val="24"/>
        </w:rPr>
        <mc:AlternateContent>
          <mc:Choice Requires="wps">
            <w:drawing>
              <wp:anchor distT="0" distB="0" distL="114300" distR="114300" simplePos="0" relativeHeight="252048384" behindDoc="0" locked="0" layoutInCell="1" allowOverlap="1">
                <wp:simplePos x="0" y="0"/>
                <wp:positionH relativeFrom="column">
                  <wp:posOffset>-5165725</wp:posOffset>
                </wp:positionH>
                <wp:positionV relativeFrom="paragraph">
                  <wp:posOffset>396240</wp:posOffset>
                </wp:positionV>
                <wp:extent cx="704850" cy="594360"/>
                <wp:effectExtent l="0" t="0" r="4445" b="0"/>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704850" cy="594360"/>
                        </a:xfrm>
                        <a:prstGeom prst="rect">
                          <a:avLst/>
                        </a:prstGeom>
                        <a:noFill/>
                        <a:ln>
                          <a:noFill/>
                        </a:ln>
                        <a:effectLst/>
                      </wps:spPr>
                      <wps:txbx>
                        <w:txbxContent>
                          <w:p>
                            <w:pPr>
                              <w:spacing w:before="60"/>
                              <w:ind w:firstLine="482"/>
                              <w:jc w:val="center"/>
                              <w:rPr>
                                <w:b/>
                                <w:color w:val="FFFFFF"/>
                              </w:rPr>
                            </w:pPr>
                            <w:r>
                              <w:rPr>
                                <w:rFonts w:hint="eastAsia"/>
                                <w:b/>
                                <w:color w:val="FFFFFF"/>
                              </w:rPr>
                              <w:t>刘蓝</w:t>
                            </w:r>
                          </w:p>
                          <w:p>
                            <w:pPr>
                              <w:spacing w:before="60"/>
                              <w:ind w:firstLine="482"/>
                              <w:jc w:val="center"/>
                              <w:rPr>
                                <w:b/>
                                <w:color w:val="FFFFFF"/>
                              </w:rPr>
                            </w:pPr>
                            <w:r>
                              <w:rPr>
                                <w:rFonts w:hint="eastAsia"/>
                                <w:b/>
                                <w:color w:val="FFFFFF"/>
                              </w:rPr>
                              <w:t>生态核</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406.75pt;margin-top:31.2pt;height:46.8pt;width:55.5pt;z-index:252048384;mso-width-relative:page;mso-height-relative:page;" filled="f" stroked="f" coordsize="21600,21600" o:gfxdata="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FK/N3YAAAADAEAAA8AAAAAAAAAAQAgAAAAIgAAAGRycy9k&#10;b3ducmV2LnhtbFBLAQIUABQAAAAIAIdO4kBtycu9AgIAANYDAAAOAAAAAAAAAAEAIAAAACcBAABk&#10;cnMvZTJvRG9jLnhtbFBLBQYAAAAABgAGAFkBAACbBQAAAAA=&#10;">
                <v:fill on="f" focussize="0,0"/>
                <v:stroke on="f"/>
                <v:imagedata o:title=""/>
                <o:lock v:ext="edit" aspectratio="f"/>
                <v:textbox>
                  <w:txbxContent>
                    <w:p>
                      <w:pPr>
                        <w:spacing w:before="60"/>
                        <w:ind w:firstLine="482"/>
                        <w:jc w:val="center"/>
                        <w:rPr>
                          <w:b/>
                          <w:color w:val="FFFFFF"/>
                        </w:rPr>
                      </w:pPr>
                      <w:r>
                        <w:rPr>
                          <w:rFonts w:hint="eastAsia"/>
                          <w:b/>
                          <w:color w:val="FFFFFF"/>
                        </w:rPr>
                        <w:t>刘蓝</w:t>
                      </w:r>
                    </w:p>
                    <w:p>
                      <w:pPr>
                        <w:spacing w:before="60"/>
                        <w:ind w:firstLine="482"/>
                        <w:jc w:val="center"/>
                        <w:rPr>
                          <w:b/>
                          <w:color w:val="FFFFFF"/>
                        </w:rPr>
                      </w:pPr>
                      <w:r>
                        <w:rPr>
                          <w:rFonts w:hint="eastAsia"/>
                          <w:b/>
                          <w:color w:val="FFFFFF"/>
                        </w:rPr>
                        <w:t>生态核</w:t>
                      </w:r>
                    </w:p>
                  </w:txbxContent>
                </v:textbox>
              </v:shape>
            </w:pict>
          </mc:Fallback>
        </mc:AlternateContent>
      </w:r>
      <w:r>
        <w:rPr>
          <w:rFonts w:eastAsia="新宋体"/>
          <w:sz w:val="24"/>
        </w:rPr>
        <mc:AlternateContent>
          <mc:Choice Requires="wps">
            <w:drawing>
              <wp:anchor distT="0" distB="0" distL="114300" distR="114300" simplePos="0" relativeHeight="252047360" behindDoc="0" locked="0" layoutInCell="1" allowOverlap="1">
                <wp:simplePos x="0" y="0"/>
                <wp:positionH relativeFrom="column">
                  <wp:posOffset>-2463800</wp:posOffset>
                </wp:positionH>
                <wp:positionV relativeFrom="paragraph">
                  <wp:posOffset>198120</wp:posOffset>
                </wp:positionV>
                <wp:extent cx="822325" cy="297180"/>
                <wp:effectExtent l="1905" t="0" r="4445" b="0"/>
                <wp:wrapNone/>
                <wp:docPr id="28" name="文本框 28"/>
                <wp:cNvGraphicFramePr/>
                <a:graphic xmlns:a="http://schemas.openxmlformats.org/drawingml/2006/main">
                  <a:graphicData uri="http://schemas.microsoft.com/office/word/2010/wordprocessingShape">
                    <wps:wsp>
                      <wps:cNvSpPr txBox="1">
                        <a:spLocks noChangeArrowheads="1"/>
                      </wps:cNvSpPr>
                      <wps:spPr bwMode="auto">
                        <a:xfrm>
                          <a:off x="0" y="0"/>
                          <a:ext cx="822325" cy="297180"/>
                        </a:xfrm>
                        <a:prstGeom prst="rect">
                          <a:avLst/>
                        </a:prstGeom>
                        <a:noFill/>
                        <a:ln>
                          <a:noFill/>
                        </a:ln>
                        <a:effectLst/>
                      </wps:spPr>
                      <wps:txbx>
                        <w:txbxContent>
                          <w:p>
                            <w:pPr>
                              <w:spacing w:before="60"/>
                              <w:ind w:firstLine="482"/>
                              <w:rPr>
                                <w:b/>
                                <w:color w:val="FFFFFF"/>
                              </w:rPr>
                            </w:pPr>
                            <w:r>
                              <w:rPr>
                                <w:rFonts w:hint="eastAsia"/>
                                <w:b/>
                                <w:color w:val="FFFFFF"/>
                              </w:rPr>
                              <w:t>杨仙岭</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94pt;margin-top:15.6pt;height:23.4pt;width:64.75pt;z-index:252047360;mso-width-relative:page;mso-height-relative:page;" filled="f" stroked="f" coordsize="21600,21600" o:gfxdata="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ihdCdgAAAALAQAADwAAAAAAAAABACAAAAAiAAAAZHJzL2Rv&#10;d25yZXYueG1sUEsBAhQAFAAAAAgAh07iQLSPFEkBAgAA1gMAAA4AAAAAAAAAAQAgAAAAJwEAAGRy&#10;cy9lMm9Eb2MueG1sUEsFBgAAAAAGAAYAWQEAAJoFAAAAAA==&#10;">
                <v:fill on="f" focussize="0,0"/>
                <v:stroke on="f"/>
                <v:imagedata o:title=""/>
                <o:lock v:ext="edit" aspectratio="f"/>
                <v:textbox>
                  <w:txbxContent>
                    <w:p>
                      <w:pPr>
                        <w:spacing w:before="60"/>
                        <w:ind w:firstLine="482"/>
                        <w:rPr>
                          <w:b/>
                          <w:color w:val="FFFFFF"/>
                        </w:rPr>
                      </w:pPr>
                      <w:r>
                        <w:rPr>
                          <w:rFonts w:hint="eastAsia"/>
                          <w:b/>
                          <w:color w:val="FFFFFF"/>
                        </w:rPr>
                        <w:t>杨仙岭</w:t>
                      </w:r>
                    </w:p>
                  </w:txbxContent>
                </v:textbox>
              </v:shape>
            </w:pict>
          </mc:Fallback>
        </mc:AlternateContent>
      </w:r>
      <w:r>
        <w:rPr>
          <w:rFonts w:hint="eastAsia" w:eastAsia="新宋体"/>
          <w:sz w:val="24"/>
        </w:rPr>
        <w:t>外部生态绿圈：从规划区范围考虑，把工业区建设区外围的自然田野、山林、水系作为生态要素控制，形成工业区外部生态绿圈。园区山水相拥，外围生态圈生态环境良好，有利于形成外围良好的生态型工业区。</w:t>
      </w:r>
    </w:p>
    <w:p>
      <w:pPr>
        <w:autoSpaceDE w:val="0"/>
        <w:autoSpaceDN w:val="0"/>
        <w:spacing w:line="360" w:lineRule="auto"/>
        <w:ind w:firstLine="480" w:firstLineChars="200"/>
        <w:rPr>
          <w:rFonts w:eastAsia="新宋体"/>
          <w:sz w:val="24"/>
        </w:rPr>
      </w:pPr>
      <w:r>
        <w:rPr>
          <w:rFonts w:hint="eastAsia" w:eastAsia="新宋体"/>
          <w:sz w:val="24"/>
        </w:rPr>
        <w:t>规划到2020年工业区规划的绿地面积达到</w:t>
      </w:r>
      <w:r>
        <w:rPr>
          <w:rFonts w:hint="eastAsia"/>
          <w:bCs/>
          <w:sz w:val="24"/>
        </w:rPr>
        <w:t>1926.35</w:t>
      </w:r>
      <w:r>
        <w:rPr>
          <w:rFonts w:hint="eastAsia" w:eastAsia="新宋体"/>
          <w:sz w:val="24"/>
        </w:rPr>
        <w:t>公顷，占工业区建设总用地的</w:t>
      </w:r>
      <w:r>
        <w:rPr>
          <w:rFonts w:hint="eastAsia"/>
          <w:bCs/>
          <w:sz w:val="24"/>
        </w:rPr>
        <w:t>25.79</w:t>
      </w:r>
      <w:r>
        <w:rPr>
          <w:rFonts w:hint="eastAsia" w:eastAsia="新宋体"/>
          <w:sz w:val="24"/>
        </w:rPr>
        <w:t>。为工业区的可持续发展提供了较好的人居环境。工业区现以农业生产体系为主，其土地综合产值较低，根据统计数据，</w:t>
      </w:r>
      <w:r>
        <w:rPr>
          <w:rFonts w:eastAsia="新宋体"/>
          <w:sz w:val="24"/>
        </w:rPr>
        <w:t>2007年</w:t>
      </w:r>
      <w:r>
        <w:rPr>
          <w:rFonts w:hint="eastAsia" w:eastAsia="新宋体"/>
          <w:sz w:val="24"/>
        </w:rPr>
        <w:t>全国</w:t>
      </w:r>
      <w:r>
        <w:rPr>
          <w:rFonts w:eastAsia="新宋体"/>
          <w:sz w:val="24"/>
        </w:rPr>
        <w:t>54个国家级经济技术开发区</w:t>
      </w:r>
      <w:r>
        <w:rPr>
          <w:rFonts w:hint="eastAsia" w:eastAsia="新宋体"/>
          <w:sz w:val="24"/>
        </w:rPr>
        <w:t>，</w:t>
      </w:r>
      <w:r>
        <w:rPr>
          <w:rFonts w:eastAsia="新宋体"/>
          <w:sz w:val="24"/>
        </w:rPr>
        <w:t>平均每平方公里建成投产企业数超过90家，平均每平方公里</w:t>
      </w:r>
      <w:r>
        <w:rPr>
          <w:rFonts w:hint="eastAsia" w:eastAsia="新宋体"/>
          <w:sz w:val="24"/>
        </w:rPr>
        <w:t>工业</w:t>
      </w:r>
      <w:r>
        <w:rPr>
          <w:rFonts w:eastAsia="新宋体"/>
          <w:sz w:val="24"/>
        </w:rPr>
        <w:t>用地实现了工业总产值51亿元</w:t>
      </w:r>
      <w:r>
        <w:rPr>
          <w:rFonts w:hint="eastAsia" w:eastAsia="新宋体"/>
          <w:sz w:val="24"/>
        </w:rPr>
        <w:t>，而农业土地增加值一般不超过2000元</w:t>
      </w:r>
      <w:r>
        <w:rPr>
          <w:rFonts w:eastAsia="新宋体"/>
          <w:sz w:val="24"/>
        </w:rPr>
        <w:t>。由此可以看出，</w:t>
      </w:r>
      <w:r>
        <w:rPr>
          <w:rFonts w:hint="eastAsia" w:eastAsia="新宋体"/>
          <w:sz w:val="24"/>
        </w:rPr>
        <w:t>工业区建设使土地经济建设产值大幅度提升，使得单位土地经济承载力驱动力得到加强。</w:t>
      </w:r>
    </w:p>
    <w:p>
      <w:pPr>
        <w:autoSpaceDE w:val="0"/>
        <w:autoSpaceDN w:val="0"/>
        <w:spacing w:line="360" w:lineRule="auto"/>
        <w:ind w:firstLine="480" w:firstLineChars="200"/>
        <w:rPr>
          <w:sz w:val="24"/>
        </w:rPr>
      </w:pPr>
      <w:r>
        <w:rPr>
          <w:rFonts w:hint="eastAsia"/>
          <w:bCs/>
          <w:sz w:val="24"/>
        </w:rPr>
        <w:t>《宜昌市白洋工业园总体规划》未明确工业区经济发展规模，参考</w:t>
      </w:r>
      <w:r>
        <w:rPr>
          <w:rFonts w:eastAsia="新宋体"/>
          <w:sz w:val="24"/>
        </w:rPr>
        <w:t>国家级经济技术开发区</w:t>
      </w:r>
      <w:r>
        <w:rPr>
          <w:rFonts w:hint="eastAsia" w:eastAsia="新宋体"/>
          <w:sz w:val="24"/>
        </w:rPr>
        <w:t>数据，结合中西部开发区经济发展现状，</w:t>
      </w:r>
      <w:r>
        <w:rPr>
          <w:rFonts w:eastAsia="新宋体"/>
          <w:sz w:val="24"/>
        </w:rPr>
        <w:t>宜昌市白洋工业园</w:t>
      </w:r>
      <w:r>
        <w:rPr>
          <w:rFonts w:hint="eastAsia"/>
          <w:bCs/>
          <w:sz w:val="24"/>
        </w:rPr>
        <w:t>工业区开发强度以</w:t>
      </w:r>
      <w:r>
        <w:rPr>
          <w:rFonts w:eastAsia="新宋体"/>
          <w:sz w:val="24"/>
        </w:rPr>
        <w:t>每平方公里</w:t>
      </w:r>
      <w:r>
        <w:rPr>
          <w:rFonts w:hint="eastAsia" w:eastAsia="新宋体"/>
          <w:sz w:val="24"/>
        </w:rPr>
        <w:t>工业</w:t>
      </w:r>
      <w:r>
        <w:rPr>
          <w:rFonts w:eastAsia="新宋体"/>
          <w:sz w:val="24"/>
        </w:rPr>
        <w:t>用地工业总产值</w:t>
      </w:r>
      <w:r>
        <w:rPr>
          <w:rFonts w:hint="eastAsia" w:eastAsia="新宋体"/>
          <w:sz w:val="24"/>
        </w:rPr>
        <w:t>近期30</w:t>
      </w:r>
      <w:r>
        <w:rPr>
          <w:rFonts w:eastAsia="新宋体"/>
          <w:sz w:val="24"/>
        </w:rPr>
        <w:t>亿元</w:t>
      </w:r>
      <w:r>
        <w:rPr>
          <w:rFonts w:hint="eastAsia" w:eastAsia="新宋体"/>
          <w:sz w:val="24"/>
        </w:rPr>
        <w:t>、远期60亿元考虑。</w:t>
      </w:r>
      <w:r>
        <w:rPr>
          <w:rFonts w:eastAsia="新宋体"/>
          <w:sz w:val="24"/>
        </w:rPr>
        <w:t>宜昌市白洋工业园</w:t>
      </w:r>
      <w:r>
        <w:rPr>
          <w:rFonts w:hint="eastAsia" w:eastAsia="新宋体"/>
          <w:sz w:val="24"/>
        </w:rPr>
        <w:t>规划</w:t>
      </w:r>
      <w:r>
        <w:rPr>
          <w:rFonts w:hint="eastAsia"/>
          <w:bCs/>
          <w:sz w:val="24"/>
        </w:rPr>
        <w:t>工业总用地32.07平方公里，其中近期8.39平方公里，</w:t>
      </w:r>
      <w:r>
        <w:rPr>
          <w:rFonts w:hint="eastAsia" w:eastAsia="新宋体"/>
          <w:sz w:val="24"/>
        </w:rPr>
        <w:t>以此计算，则</w:t>
      </w:r>
      <w:r>
        <w:rPr>
          <w:rFonts w:hint="eastAsia"/>
          <w:bCs/>
          <w:sz w:val="24"/>
        </w:rPr>
        <w:t>宜昌市白洋工业园较为合理的经济发展规模为：</w:t>
      </w:r>
      <w:r>
        <w:rPr>
          <w:rFonts w:hint="eastAsia"/>
          <w:sz w:val="24"/>
        </w:rPr>
        <w:t>工业区</w:t>
      </w:r>
      <w:r>
        <w:rPr>
          <w:rFonts w:hint="eastAsia"/>
          <w:bCs/>
          <w:sz w:val="24"/>
        </w:rPr>
        <w:t>工业总产值分别控制在近期250亿元/年和远期2000亿元/年以内</w:t>
      </w:r>
      <w:r>
        <w:rPr>
          <w:rFonts w:hint="eastAsia" w:eastAsia="新宋体"/>
          <w:sz w:val="24"/>
        </w:rPr>
        <w:t>。</w:t>
      </w:r>
    </w:p>
    <w:p>
      <w:pPr>
        <w:autoSpaceDE w:val="0"/>
        <w:autoSpaceDN w:val="0"/>
        <w:spacing w:line="360" w:lineRule="auto"/>
        <w:ind w:firstLine="480" w:firstLineChars="200"/>
        <w:rPr>
          <w:rFonts w:eastAsia="新宋体"/>
          <w:sz w:val="24"/>
        </w:rPr>
      </w:pPr>
      <w:r>
        <w:rPr>
          <w:rFonts w:hint="eastAsia" w:eastAsia="新宋体"/>
          <w:sz w:val="24"/>
        </w:rPr>
        <w:t>从整体上看，工业区建设虽然使得区域主要污染物（</w:t>
      </w:r>
      <w:r>
        <w:rPr>
          <w:rFonts w:eastAsia="新宋体"/>
          <w:sz w:val="24"/>
        </w:rPr>
        <w:t>SO</w:t>
      </w:r>
      <w:r>
        <w:rPr>
          <w:rFonts w:eastAsia="新宋体"/>
          <w:sz w:val="24"/>
          <w:vertAlign w:val="subscript"/>
        </w:rPr>
        <w:t>2</w:t>
      </w:r>
      <w:r>
        <w:rPr>
          <w:rFonts w:hint="eastAsia" w:eastAsia="新宋体"/>
          <w:sz w:val="24"/>
        </w:rPr>
        <w:t>、烟尘、COD、氨氮）排放量增加，但都在国家相应标准范围内，土地可持续开发利用度较高，只要综合考虑区域经济建设和环境保护的协调发展，可控制在区域土地资源承载力范围内。</w:t>
      </w:r>
    </w:p>
    <w:bookmarkEnd w:id="221"/>
    <w:bookmarkEnd w:id="222"/>
    <w:bookmarkEnd w:id="223"/>
    <w:bookmarkEnd w:id="224"/>
    <w:bookmarkEnd w:id="225"/>
    <w:bookmarkEnd w:id="226"/>
    <w:bookmarkEnd w:id="227"/>
    <w:p>
      <w:pPr>
        <w:pStyle w:val="5"/>
        <w:tabs>
          <w:tab w:val="left" w:pos="567"/>
          <w:tab w:val="clear" w:pos="2138"/>
        </w:tabs>
        <w:spacing w:before="62" w:beforeLines="20" w:line="360" w:lineRule="auto"/>
        <w:ind w:left="0" w:firstLine="0"/>
        <w:rPr>
          <w:rFonts w:ascii="宋体" w:hAnsi="宋体" w:eastAsia="宋体"/>
          <w:b/>
          <w:sz w:val="28"/>
          <w:szCs w:val="28"/>
        </w:rPr>
      </w:pPr>
      <w:bookmarkStart w:id="231" w:name="_Toc245528729"/>
      <w:bookmarkStart w:id="232" w:name="_Toc271725895"/>
      <w:bookmarkStart w:id="233" w:name="_Toc205976367"/>
      <w:bookmarkStart w:id="234" w:name="_Toc207443983"/>
      <w:bookmarkStart w:id="235" w:name="_Toc144183522"/>
      <w:bookmarkStart w:id="236" w:name="_Toc144191909"/>
      <w:bookmarkStart w:id="237" w:name="_Toc181058989"/>
      <w:bookmarkStart w:id="238" w:name="_Toc442195759"/>
      <w:bookmarkStart w:id="239" w:name="_Toc144193634"/>
      <w:bookmarkStart w:id="240" w:name="_Toc154477674"/>
      <w:bookmarkStart w:id="241" w:name="_Toc143446957"/>
      <w:r>
        <w:rPr>
          <w:rFonts w:ascii="宋体" w:hAnsi="宋体" w:eastAsia="宋体"/>
          <w:b/>
          <w:sz w:val="28"/>
          <w:szCs w:val="28"/>
        </w:rPr>
        <w:t>水环境容量</w:t>
      </w:r>
      <w:r>
        <w:rPr>
          <w:rFonts w:hint="eastAsia" w:ascii="宋体" w:hAnsi="宋体" w:eastAsia="宋体"/>
          <w:b/>
          <w:sz w:val="28"/>
          <w:szCs w:val="28"/>
        </w:rPr>
        <w:t>计算</w:t>
      </w:r>
      <w:r>
        <w:rPr>
          <w:rFonts w:ascii="宋体" w:hAnsi="宋体" w:eastAsia="宋体"/>
          <w:b/>
          <w:sz w:val="28"/>
          <w:szCs w:val="28"/>
        </w:rPr>
        <w:t>及</w:t>
      </w:r>
      <w:r>
        <w:rPr>
          <w:rFonts w:hint="eastAsia" w:ascii="宋体" w:hAnsi="宋体" w:eastAsia="宋体"/>
          <w:b/>
          <w:sz w:val="28"/>
          <w:szCs w:val="28"/>
        </w:rPr>
        <w:t>承载力分析</w:t>
      </w:r>
      <w:bookmarkEnd w:id="228"/>
      <w:bookmarkEnd w:id="231"/>
      <w:bookmarkEnd w:id="232"/>
      <w:bookmarkEnd w:id="233"/>
      <w:bookmarkEnd w:id="234"/>
      <w:bookmarkEnd w:id="235"/>
      <w:bookmarkEnd w:id="236"/>
      <w:bookmarkEnd w:id="237"/>
      <w:bookmarkEnd w:id="238"/>
      <w:bookmarkEnd w:id="239"/>
      <w:bookmarkEnd w:id="240"/>
      <w:bookmarkEnd w:id="241"/>
    </w:p>
    <w:p>
      <w:pPr>
        <w:spacing w:line="520" w:lineRule="exact"/>
        <w:ind w:firstLine="480" w:firstLineChars="200"/>
        <w:rPr>
          <w:b/>
          <w:sz w:val="24"/>
        </w:rPr>
      </w:pPr>
      <w:bookmarkStart w:id="242" w:name="_Toc139262342"/>
      <w:r>
        <w:rPr>
          <w:rFonts w:hint="eastAsia"/>
          <w:sz w:val="24"/>
        </w:rPr>
        <w:t>宜昌市白洋工业园近期7.48万吨/日废水污染物排放量为</w:t>
      </w:r>
      <w:r>
        <w:rPr>
          <w:sz w:val="24"/>
        </w:rPr>
        <w:t>CODCr1638.12t/a</w:t>
      </w:r>
      <w:r>
        <w:rPr>
          <w:rFonts w:hint="eastAsia"/>
          <w:sz w:val="24"/>
        </w:rPr>
        <w:t>、</w:t>
      </w:r>
      <w:r>
        <w:rPr>
          <w:sz w:val="24"/>
        </w:rPr>
        <w:t>氨氮</w:t>
      </w:r>
      <w:r>
        <w:rPr>
          <w:rFonts w:hint="eastAsia"/>
          <w:sz w:val="24"/>
        </w:rPr>
        <w:t>218.42</w:t>
      </w:r>
      <w:r>
        <w:rPr>
          <w:sz w:val="24"/>
        </w:rPr>
        <w:t>t/a</w:t>
      </w:r>
      <w:r>
        <w:rPr>
          <w:rFonts w:hint="eastAsia"/>
          <w:sz w:val="24"/>
        </w:rPr>
        <w:t>，宜昌市白洋工业园近期</w:t>
      </w:r>
      <w:r>
        <w:rPr>
          <w:sz w:val="24"/>
        </w:rPr>
        <w:t>24.8</w:t>
      </w:r>
      <w:r>
        <w:rPr>
          <w:rFonts w:hint="eastAsia"/>
          <w:sz w:val="24"/>
        </w:rPr>
        <w:t>万吨/日废水污染物排放量为</w:t>
      </w:r>
      <w:r>
        <w:rPr>
          <w:sz w:val="24"/>
        </w:rPr>
        <w:t>CODCr5431.2t/a</w:t>
      </w:r>
      <w:r>
        <w:rPr>
          <w:rFonts w:hint="eastAsia"/>
          <w:sz w:val="24"/>
        </w:rPr>
        <w:t>、</w:t>
      </w:r>
      <w:r>
        <w:rPr>
          <w:sz w:val="24"/>
        </w:rPr>
        <w:t>氨氮</w:t>
      </w:r>
      <w:r>
        <w:rPr>
          <w:rFonts w:hint="eastAsia"/>
          <w:sz w:val="24"/>
        </w:rPr>
        <w:t>724.16</w:t>
      </w:r>
      <w:r>
        <w:rPr>
          <w:sz w:val="24"/>
        </w:rPr>
        <w:t>t/a</w:t>
      </w:r>
      <w:r>
        <w:rPr>
          <w:rFonts w:hint="eastAsia"/>
          <w:sz w:val="24"/>
        </w:rPr>
        <w:t>，白洋组团大工业环境40万吨/日废水污染物排放量为</w:t>
      </w:r>
      <w:r>
        <w:rPr>
          <w:sz w:val="24"/>
        </w:rPr>
        <w:t>CODCr8760t/a</w:t>
      </w:r>
      <w:r>
        <w:rPr>
          <w:rFonts w:hint="eastAsia"/>
          <w:sz w:val="24"/>
        </w:rPr>
        <w:t>、</w:t>
      </w:r>
      <w:r>
        <w:rPr>
          <w:sz w:val="24"/>
        </w:rPr>
        <w:t>氨氮1168t/a</w:t>
      </w:r>
      <w:r>
        <w:rPr>
          <w:rFonts w:hint="eastAsia"/>
          <w:sz w:val="24"/>
        </w:rPr>
        <w:t>，与前估算的长江工业区河段地表水</w:t>
      </w:r>
      <w:r>
        <w:rPr>
          <w:sz w:val="24"/>
        </w:rPr>
        <w:t>环境容量COD</w:t>
      </w:r>
      <w:r>
        <w:rPr>
          <w:rFonts w:hint="eastAsia"/>
          <w:sz w:val="24"/>
        </w:rPr>
        <w:t>16882</w:t>
      </w:r>
      <w:r>
        <w:rPr>
          <w:sz w:val="24"/>
        </w:rPr>
        <w:t>t/a，氨氮</w:t>
      </w:r>
      <w:r>
        <w:rPr>
          <w:rFonts w:hint="eastAsia"/>
          <w:sz w:val="24"/>
        </w:rPr>
        <w:t>1862</w:t>
      </w:r>
      <w:r>
        <w:rPr>
          <w:sz w:val="24"/>
        </w:rPr>
        <w:t>t/a</w:t>
      </w:r>
      <w:r>
        <w:rPr>
          <w:rFonts w:hint="eastAsia"/>
          <w:sz w:val="24"/>
        </w:rPr>
        <w:t>比较，水环境容量可基本满足要求。</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43" w:name="_Toc205976368"/>
      <w:bookmarkStart w:id="244" w:name="_Toc442195760"/>
      <w:bookmarkStart w:id="245" w:name="_Toc271725896"/>
      <w:bookmarkStart w:id="246" w:name="_Toc245528730"/>
      <w:bookmarkStart w:id="247" w:name="_Toc143401700"/>
      <w:bookmarkStart w:id="248" w:name="_Toc207443984"/>
      <w:r>
        <w:rPr>
          <w:rFonts w:ascii="宋体" w:hAnsi="宋体" w:eastAsia="宋体"/>
          <w:b/>
          <w:sz w:val="28"/>
          <w:szCs w:val="28"/>
        </w:rPr>
        <w:t>环境空气容量计算及承载能力分析</w:t>
      </w:r>
      <w:bookmarkEnd w:id="243"/>
      <w:bookmarkEnd w:id="244"/>
      <w:bookmarkEnd w:id="245"/>
      <w:bookmarkEnd w:id="246"/>
      <w:bookmarkEnd w:id="247"/>
      <w:bookmarkEnd w:id="248"/>
    </w:p>
    <w:p>
      <w:pPr>
        <w:autoSpaceDE w:val="0"/>
        <w:autoSpaceDN w:val="0"/>
        <w:spacing w:line="500" w:lineRule="exact"/>
        <w:ind w:firstLine="480" w:firstLineChars="200"/>
        <w:rPr>
          <w:rFonts w:eastAsia="新宋体"/>
          <w:sz w:val="24"/>
        </w:rPr>
      </w:pPr>
      <w:r>
        <w:rPr>
          <w:rFonts w:eastAsia="新宋体"/>
          <w:sz w:val="24"/>
        </w:rPr>
        <w:t>根据</w:t>
      </w:r>
      <w:r>
        <w:rPr>
          <w:rFonts w:hint="eastAsia" w:eastAsia="新宋体"/>
          <w:sz w:val="24"/>
        </w:rPr>
        <w:t>工业区产业定位和</w:t>
      </w:r>
      <w:r>
        <w:rPr>
          <w:rFonts w:eastAsia="新宋体"/>
          <w:sz w:val="24"/>
        </w:rPr>
        <w:t>特点，</w:t>
      </w:r>
      <w:r>
        <w:rPr>
          <w:rFonts w:hint="eastAsia" w:eastAsia="新宋体"/>
          <w:sz w:val="24"/>
        </w:rPr>
        <w:t>工业区</w:t>
      </w:r>
      <w:r>
        <w:rPr>
          <w:rFonts w:eastAsia="新宋体"/>
          <w:sz w:val="24"/>
        </w:rPr>
        <w:t>环境空气容量及大气污染物允许排放总量以常规大气污染物SO</w:t>
      </w:r>
      <w:r>
        <w:rPr>
          <w:rFonts w:eastAsia="新宋体"/>
          <w:sz w:val="24"/>
          <w:vertAlign w:val="subscript"/>
        </w:rPr>
        <w:t>2</w:t>
      </w:r>
      <w:r>
        <w:rPr>
          <w:rFonts w:eastAsia="新宋体"/>
          <w:sz w:val="24"/>
        </w:rPr>
        <w:t>和TSP进行计算。</w:t>
      </w:r>
    </w:p>
    <w:p>
      <w:pPr>
        <w:autoSpaceDE w:val="0"/>
        <w:autoSpaceDN w:val="0"/>
        <w:spacing w:line="500" w:lineRule="exact"/>
        <w:ind w:firstLine="480" w:firstLineChars="200"/>
        <w:rPr>
          <w:rFonts w:eastAsia="新宋体"/>
          <w:sz w:val="24"/>
        </w:rPr>
      </w:pPr>
      <w:r>
        <w:rPr>
          <w:rFonts w:eastAsia="新宋体"/>
          <w:sz w:val="24"/>
        </w:rPr>
        <w:t>根据污染源分析，</w:t>
      </w:r>
      <w:r>
        <w:rPr>
          <w:rFonts w:hint="eastAsia" w:eastAsia="新宋体"/>
          <w:sz w:val="24"/>
        </w:rPr>
        <w:t>宜昌市白洋工业园</w:t>
      </w:r>
      <w:r>
        <w:rPr>
          <w:rFonts w:eastAsia="新宋体"/>
          <w:sz w:val="24"/>
        </w:rPr>
        <w:t>近期大气污染物排放量为SO</w:t>
      </w:r>
      <w:r>
        <w:rPr>
          <w:rFonts w:eastAsia="新宋体"/>
          <w:sz w:val="24"/>
          <w:vertAlign w:val="subscript"/>
        </w:rPr>
        <w:t>2</w:t>
      </w:r>
      <w:r>
        <w:rPr>
          <w:rFonts w:hint="eastAsia" w:eastAsia="新宋体"/>
          <w:sz w:val="24"/>
        </w:rPr>
        <w:t>3599（3599）</w:t>
      </w:r>
      <w:r>
        <w:rPr>
          <w:rFonts w:eastAsia="新宋体"/>
          <w:sz w:val="24"/>
        </w:rPr>
        <w:t>t/a，TSP</w:t>
      </w:r>
      <w:r>
        <w:rPr>
          <w:rFonts w:hint="eastAsia" w:eastAsia="新宋体"/>
          <w:sz w:val="24"/>
        </w:rPr>
        <w:t>2424</w:t>
      </w:r>
      <w:r>
        <w:rPr>
          <w:rFonts w:eastAsia="新宋体"/>
          <w:sz w:val="24"/>
        </w:rPr>
        <w:t>t/a</w:t>
      </w:r>
      <w:r>
        <w:rPr>
          <w:rFonts w:hint="eastAsia" w:eastAsia="新宋体"/>
          <w:sz w:val="24"/>
        </w:rPr>
        <w:t>，</w:t>
      </w:r>
      <w:r>
        <w:rPr>
          <w:rFonts w:eastAsia="新宋体"/>
          <w:sz w:val="24"/>
        </w:rPr>
        <w:t>将排放污染物量与前述</w:t>
      </w:r>
      <w:r>
        <w:rPr>
          <w:rFonts w:hint="eastAsia" w:eastAsia="新宋体"/>
          <w:sz w:val="24"/>
        </w:rPr>
        <w:t>估算</w:t>
      </w:r>
      <w:r>
        <w:rPr>
          <w:rFonts w:eastAsia="新宋体"/>
          <w:sz w:val="24"/>
        </w:rPr>
        <w:t>大气污染物最大允许排放量限值SO</w:t>
      </w:r>
      <w:r>
        <w:rPr>
          <w:rFonts w:eastAsia="新宋体"/>
          <w:sz w:val="24"/>
          <w:vertAlign w:val="subscript"/>
        </w:rPr>
        <w:t>2</w:t>
      </w:r>
      <w:r>
        <w:rPr>
          <w:rFonts w:eastAsia="新宋体"/>
          <w:sz w:val="24"/>
        </w:rPr>
        <w:t xml:space="preserve"> </w:t>
      </w:r>
      <w:r>
        <w:rPr>
          <w:rFonts w:hint="eastAsia" w:eastAsia="新宋体"/>
          <w:sz w:val="24"/>
        </w:rPr>
        <w:t>4636（1159）</w:t>
      </w:r>
      <w:r>
        <w:rPr>
          <w:rFonts w:eastAsia="新宋体"/>
          <w:sz w:val="24"/>
        </w:rPr>
        <w:t>t/a，TSP</w:t>
      </w:r>
      <w:r>
        <w:rPr>
          <w:rFonts w:hint="eastAsia" w:eastAsia="新宋体"/>
          <w:sz w:val="24"/>
        </w:rPr>
        <w:t xml:space="preserve"> 15046（3762）</w:t>
      </w:r>
      <w:r>
        <w:rPr>
          <w:rFonts w:eastAsia="新宋体"/>
          <w:sz w:val="24"/>
        </w:rPr>
        <w:t>t/a比较</w:t>
      </w:r>
      <w:r>
        <w:rPr>
          <w:rFonts w:hint="eastAsia" w:eastAsia="新宋体"/>
          <w:sz w:val="24"/>
        </w:rPr>
        <w:t>可知</w:t>
      </w:r>
      <w:r>
        <w:rPr>
          <w:rFonts w:eastAsia="新宋体"/>
          <w:sz w:val="24"/>
        </w:rPr>
        <w:t>，</w:t>
      </w:r>
      <w:r>
        <w:rPr>
          <w:rFonts w:hint="eastAsia" w:eastAsia="新宋体"/>
          <w:sz w:val="24"/>
        </w:rPr>
        <w:t>TSP</w:t>
      </w:r>
      <w:r>
        <w:rPr>
          <w:rFonts w:eastAsia="新宋体"/>
          <w:sz w:val="24"/>
        </w:rPr>
        <w:t>排放量</w:t>
      </w:r>
      <w:r>
        <w:rPr>
          <w:rFonts w:hint="eastAsia" w:eastAsia="新宋体"/>
          <w:sz w:val="24"/>
        </w:rPr>
        <w:t>低于容许排放</w:t>
      </w:r>
      <w:r>
        <w:rPr>
          <w:rFonts w:eastAsia="新宋体"/>
          <w:sz w:val="24"/>
        </w:rPr>
        <w:t>限值</w:t>
      </w:r>
      <w:r>
        <w:rPr>
          <w:rFonts w:hint="eastAsia" w:eastAsia="新宋体"/>
          <w:sz w:val="24"/>
        </w:rPr>
        <w:t>，但在非集中供热情况下</w:t>
      </w:r>
      <w:r>
        <w:rPr>
          <w:rFonts w:eastAsia="新宋体"/>
          <w:sz w:val="24"/>
        </w:rPr>
        <w:t>SO</w:t>
      </w:r>
      <w:r>
        <w:rPr>
          <w:rFonts w:eastAsia="新宋体"/>
          <w:sz w:val="24"/>
          <w:vertAlign w:val="subscript"/>
        </w:rPr>
        <w:t>2</w:t>
      </w:r>
      <w:r>
        <w:rPr>
          <w:rFonts w:eastAsia="新宋体"/>
          <w:sz w:val="24"/>
        </w:rPr>
        <w:t>排放量</w:t>
      </w:r>
      <w:r>
        <w:rPr>
          <w:rFonts w:hint="eastAsia" w:eastAsia="新宋体"/>
          <w:sz w:val="24"/>
        </w:rPr>
        <w:t>降超过</w:t>
      </w:r>
      <w:r>
        <w:rPr>
          <w:rFonts w:eastAsia="新宋体"/>
          <w:sz w:val="24"/>
        </w:rPr>
        <w:t>低架源</w:t>
      </w:r>
      <w:r>
        <w:rPr>
          <w:rFonts w:hint="eastAsia" w:eastAsia="新宋体"/>
          <w:sz w:val="24"/>
        </w:rPr>
        <w:t>1159</w:t>
      </w:r>
      <w:r>
        <w:rPr>
          <w:rFonts w:eastAsia="新宋体"/>
          <w:sz w:val="24"/>
        </w:rPr>
        <w:t>t/a</w:t>
      </w:r>
      <w:r>
        <w:rPr>
          <w:rFonts w:hint="eastAsia" w:eastAsia="新宋体"/>
          <w:sz w:val="24"/>
        </w:rPr>
        <w:t>的容许排放</w:t>
      </w:r>
      <w:r>
        <w:rPr>
          <w:rFonts w:eastAsia="新宋体"/>
          <w:sz w:val="24"/>
        </w:rPr>
        <w:t>限值</w:t>
      </w:r>
      <w:r>
        <w:rPr>
          <w:rFonts w:hint="eastAsia" w:eastAsia="新宋体"/>
          <w:sz w:val="24"/>
        </w:rPr>
        <w:t>，这与大气环境预测显示的近期工业区局部区域</w:t>
      </w:r>
      <w:r>
        <w:rPr>
          <w:rFonts w:eastAsia="新宋体"/>
          <w:sz w:val="24"/>
        </w:rPr>
        <w:t>SO</w:t>
      </w:r>
      <w:r>
        <w:rPr>
          <w:rFonts w:eastAsia="新宋体"/>
          <w:sz w:val="24"/>
          <w:vertAlign w:val="subscript"/>
        </w:rPr>
        <w:t>2</w:t>
      </w:r>
      <w:r>
        <w:rPr>
          <w:rFonts w:hint="eastAsia" w:eastAsia="新宋体"/>
          <w:sz w:val="24"/>
        </w:rPr>
        <w:t>浓度超标结果相吻合，因此建议加快猇亭热电厂项目实施进度，使工业区近期尽快实现集中供热。</w:t>
      </w:r>
    </w:p>
    <w:p>
      <w:pPr>
        <w:autoSpaceDE w:val="0"/>
        <w:autoSpaceDN w:val="0"/>
        <w:spacing w:line="500" w:lineRule="exact"/>
        <w:ind w:firstLine="480" w:firstLineChars="200"/>
        <w:rPr>
          <w:rFonts w:eastAsia="新宋体"/>
          <w:sz w:val="24"/>
        </w:rPr>
      </w:pPr>
      <w:r>
        <w:rPr>
          <w:rFonts w:hint="eastAsia" w:eastAsia="新宋体"/>
          <w:sz w:val="24"/>
        </w:rPr>
        <w:t>远期</w:t>
      </w:r>
      <w:r>
        <w:rPr>
          <w:rFonts w:eastAsia="新宋体"/>
          <w:sz w:val="24"/>
        </w:rPr>
        <w:t>大气污染物排放量为SO</w:t>
      </w:r>
      <w:r>
        <w:rPr>
          <w:rFonts w:eastAsia="新宋体"/>
          <w:sz w:val="24"/>
          <w:vertAlign w:val="subscript"/>
        </w:rPr>
        <w:t>2</w:t>
      </w:r>
      <w:r>
        <w:rPr>
          <w:rFonts w:eastAsia="新宋体"/>
          <w:sz w:val="24"/>
        </w:rPr>
        <w:t xml:space="preserve"> </w:t>
      </w:r>
      <w:r>
        <w:rPr>
          <w:sz w:val="24"/>
        </w:rPr>
        <w:t>3001.64</w:t>
      </w:r>
      <w:r>
        <w:rPr>
          <w:rFonts w:hint="eastAsia" w:eastAsia="新宋体"/>
          <w:sz w:val="24"/>
        </w:rPr>
        <w:t>（600）</w:t>
      </w:r>
      <w:r>
        <w:rPr>
          <w:rFonts w:eastAsia="新宋体"/>
          <w:sz w:val="24"/>
        </w:rPr>
        <w:t>t/a，TSP</w:t>
      </w:r>
      <w:r>
        <w:rPr>
          <w:sz w:val="24"/>
        </w:rPr>
        <w:t>503.94</w:t>
      </w:r>
      <w:r>
        <w:rPr>
          <w:rFonts w:eastAsia="新宋体"/>
          <w:sz w:val="24"/>
        </w:rPr>
        <w:t>t/a。将排放污染物量与前述</w:t>
      </w:r>
      <w:r>
        <w:rPr>
          <w:rFonts w:hint="eastAsia" w:eastAsia="新宋体"/>
          <w:sz w:val="24"/>
        </w:rPr>
        <w:t>估算</w:t>
      </w:r>
      <w:r>
        <w:rPr>
          <w:rFonts w:eastAsia="新宋体"/>
          <w:sz w:val="24"/>
        </w:rPr>
        <w:t>大气污染物最大允许排放量限值SO</w:t>
      </w:r>
      <w:r>
        <w:rPr>
          <w:rFonts w:eastAsia="新宋体"/>
          <w:sz w:val="24"/>
          <w:vertAlign w:val="subscript"/>
        </w:rPr>
        <w:t>2</w:t>
      </w:r>
      <w:r>
        <w:rPr>
          <w:rFonts w:eastAsia="新宋体"/>
          <w:sz w:val="24"/>
        </w:rPr>
        <w:t xml:space="preserve"> </w:t>
      </w:r>
      <w:r>
        <w:rPr>
          <w:rFonts w:hint="eastAsia" w:eastAsia="新宋体"/>
          <w:sz w:val="24"/>
        </w:rPr>
        <w:t>4636（1159）</w:t>
      </w:r>
      <w:r>
        <w:rPr>
          <w:rFonts w:eastAsia="新宋体"/>
          <w:sz w:val="24"/>
        </w:rPr>
        <w:t>t/a，TSP</w:t>
      </w:r>
      <w:r>
        <w:rPr>
          <w:rFonts w:hint="eastAsia" w:eastAsia="新宋体"/>
          <w:sz w:val="24"/>
        </w:rPr>
        <w:t xml:space="preserve"> 15046（3762）</w:t>
      </w:r>
      <w:r>
        <w:rPr>
          <w:rFonts w:eastAsia="新宋体"/>
          <w:sz w:val="24"/>
        </w:rPr>
        <w:t>t/a比较</w:t>
      </w:r>
      <w:r>
        <w:rPr>
          <w:rFonts w:hint="eastAsia" w:eastAsia="新宋体"/>
          <w:sz w:val="24"/>
        </w:rPr>
        <w:t>可知</w:t>
      </w:r>
      <w:r>
        <w:rPr>
          <w:rFonts w:eastAsia="新宋体"/>
          <w:sz w:val="24"/>
        </w:rPr>
        <w:t>，</w:t>
      </w:r>
      <w:r>
        <w:rPr>
          <w:rFonts w:hint="eastAsia" w:eastAsia="新宋体"/>
          <w:sz w:val="24"/>
        </w:rPr>
        <w:t>大气主要污染物</w:t>
      </w:r>
      <w:r>
        <w:rPr>
          <w:rFonts w:eastAsia="新宋体"/>
          <w:sz w:val="24"/>
        </w:rPr>
        <w:t>排放量</w:t>
      </w:r>
      <w:r>
        <w:rPr>
          <w:rFonts w:hint="eastAsia" w:eastAsia="新宋体"/>
          <w:sz w:val="24"/>
        </w:rPr>
        <w:t>均低于容许排放</w:t>
      </w:r>
      <w:r>
        <w:rPr>
          <w:rFonts w:eastAsia="新宋体"/>
          <w:sz w:val="24"/>
        </w:rPr>
        <w:t>限值，</w:t>
      </w:r>
      <w:r>
        <w:rPr>
          <w:rFonts w:hint="eastAsia" w:eastAsia="新宋体"/>
          <w:sz w:val="24"/>
        </w:rPr>
        <w:t>满足工业区发展要求。</w:t>
      </w:r>
    </w:p>
    <w:bookmarkEnd w:id="242"/>
    <w:p>
      <w:pPr>
        <w:pStyle w:val="3"/>
        <w:tabs>
          <w:tab w:val="clear" w:pos="3695"/>
        </w:tabs>
        <w:ind w:left="567"/>
      </w:pPr>
      <w:bookmarkStart w:id="249" w:name="_Toc442195761"/>
      <w:r>
        <w:rPr>
          <w:rFonts w:hint="eastAsia"/>
        </w:rPr>
        <w:t>水环境影响评价</w:t>
      </w:r>
      <w:bookmarkEnd w:id="249"/>
    </w:p>
    <w:p>
      <w:pPr>
        <w:pStyle w:val="5"/>
        <w:tabs>
          <w:tab w:val="left" w:pos="567"/>
          <w:tab w:val="clear" w:pos="2138"/>
        </w:tabs>
        <w:spacing w:before="62" w:beforeLines="20" w:line="360" w:lineRule="auto"/>
        <w:ind w:left="0" w:firstLine="0"/>
        <w:rPr>
          <w:rFonts w:ascii="宋体" w:hAnsi="宋体" w:eastAsia="宋体"/>
          <w:b/>
          <w:sz w:val="28"/>
          <w:szCs w:val="28"/>
        </w:rPr>
      </w:pPr>
      <w:bookmarkStart w:id="250" w:name="_Toc442195762"/>
      <w:r>
        <w:rPr>
          <w:rFonts w:hint="eastAsia" w:ascii="宋体" w:hAnsi="宋体" w:eastAsia="宋体"/>
          <w:b/>
          <w:sz w:val="28"/>
          <w:szCs w:val="28"/>
        </w:rPr>
        <w:t>园区施工期影响</w:t>
      </w:r>
      <w:bookmarkEnd w:id="250"/>
    </w:p>
    <w:p>
      <w:pPr>
        <w:pStyle w:val="631"/>
        <w:spacing w:line="360" w:lineRule="auto"/>
        <w:rPr>
          <w:rFonts w:ascii="宋体" w:hAnsi="宋体"/>
          <w:snapToGrid w:val="0"/>
          <w:kern w:val="0"/>
        </w:rPr>
      </w:pPr>
      <w:r>
        <w:rPr>
          <w:rFonts w:hint="eastAsia" w:ascii="宋体" w:hAnsi="宋体"/>
          <w:snapToGrid w:val="0"/>
          <w:kern w:val="0"/>
        </w:rPr>
        <w:t>在规划实施的过程中，该区域除基础设施外进行全面的建设，</w:t>
      </w:r>
    </w:p>
    <w:p>
      <w:pPr>
        <w:pStyle w:val="631"/>
        <w:spacing w:line="360" w:lineRule="auto"/>
        <w:rPr>
          <w:rFonts w:ascii="宋体" w:hAnsi="宋体"/>
          <w:snapToGrid w:val="0"/>
          <w:kern w:val="0"/>
        </w:rPr>
      </w:pPr>
      <w:r>
        <w:rPr>
          <w:rFonts w:hint="eastAsia" w:ascii="宋体" w:hAnsi="宋体"/>
          <w:snapToGrid w:val="0"/>
          <w:kern w:val="0"/>
        </w:rPr>
        <w:t>（1）水土流失的影响</w:t>
      </w:r>
    </w:p>
    <w:p>
      <w:pPr>
        <w:pStyle w:val="235"/>
        <w:ind w:firstLine="480" w:firstLineChars="200"/>
        <w:rPr>
          <w:rFonts w:ascii="宋体" w:hAnsi="宋体"/>
          <w:snapToGrid/>
        </w:rPr>
      </w:pPr>
      <w:r>
        <w:rPr>
          <w:rFonts w:ascii="宋体" w:hAnsi="宋体"/>
          <w:snapToGrid/>
        </w:rPr>
        <w:t>施工期可能导致水土流失的因素主要是施工期间的降雨、地表开挖和弃土堆存。</w:t>
      </w:r>
      <w:r>
        <w:rPr>
          <w:rFonts w:hint="eastAsia" w:ascii="宋体" w:hAnsi="宋体"/>
          <w:snapToGrid/>
        </w:rPr>
        <w:t>评价区</w:t>
      </w:r>
      <w:r>
        <w:rPr>
          <w:rFonts w:ascii="宋体" w:hAnsi="宋体"/>
          <w:snapToGrid/>
        </w:rPr>
        <w:t xml:space="preserve">所在地属属季风气候显著的亚热带湿润气候，年降水量较大，多集中在6-9月份，降雨比较集中，气候因素将大大加重施工期的水土流失，因此施工期应尽量避开雨季；规划区的基础设施施工和引进项目的施工是引起水土流失的工程因素，在施工过程中，土壤暴露在雨、风和其他干扰之中，另外，大量的土方填挖，陡坡，边坡的形成和整理，会使土壤暴露情况加剧，加重水土流失；施工过程中泥土的转运装卸和堆放，都有可能出现散落而导致水土流失。同时，施工中土壤结构会受到破坏，土壤抵抗侵蚀的能力将会大大减弱，尤其是由暴雨时所产生的土壤侵蚀，将会造成建设施工过程中严重的水土流失。 </w:t>
      </w:r>
    </w:p>
    <w:p>
      <w:pPr>
        <w:pStyle w:val="631"/>
        <w:spacing w:line="360" w:lineRule="auto"/>
        <w:rPr>
          <w:rFonts w:ascii="宋体" w:hAnsi="宋体"/>
          <w:snapToGrid w:val="0"/>
          <w:kern w:val="0"/>
        </w:rPr>
      </w:pPr>
      <w:r>
        <w:rPr>
          <w:rFonts w:hint="eastAsia" w:ascii="宋体" w:hAnsi="宋体"/>
          <w:snapToGrid w:val="0"/>
          <w:kern w:val="0"/>
        </w:rPr>
        <w:t>地表植被的破坏也是加剧水土流失的重要因素之一。</w:t>
      </w:r>
    </w:p>
    <w:p>
      <w:pPr>
        <w:pStyle w:val="631"/>
        <w:spacing w:line="360" w:lineRule="auto"/>
        <w:rPr>
          <w:rFonts w:ascii="宋体" w:hAnsi="宋体"/>
          <w:snapToGrid w:val="0"/>
          <w:kern w:val="0"/>
        </w:rPr>
      </w:pPr>
      <w:r>
        <w:rPr>
          <w:rFonts w:hint="eastAsia" w:ascii="宋体" w:hAnsi="宋体"/>
          <w:snapToGrid w:val="0"/>
          <w:kern w:val="0"/>
        </w:rPr>
        <w:t>考虑到园区的建设需要一个较长的周期，每个项目实施的时间节点不一致，每个区域开发的顺序有先后，加之单体项目在实施过程中需要进行环境影响评价，其中有水保措施，考虑国内同类型开发区实施过程中虽然有一定的水土流失，但鲜有报道因开发区建设导致区域水土流失不可控制。施工过程中，尽管会造成一些水土流失，而且水土流失会随着地势形成径流，但同时考虑另外，开发区范围较大，现状土地为农业用地，植被覆盖较好，水在流动过程中，水体中的颗粒物大多会沉淀，最终进入长江水体其悬浮物浓度并不会很高。</w:t>
      </w:r>
    </w:p>
    <w:p>
      <w:pPr>
        <w:pStyle w:val="631"/>
        <w:spacing w:line="360" w:lineRule="auto"/>
        <w:rPr>
          <w:rFonts w:ascii="宋体" w:hAnsi="宋体"/>
          <w:snapToGrid w:val="0"/>
          <w:kern w:val="0"/>
        </w:rPr>
      </w:pPr>
      <w:r>
        <w:rPr>
          <w:rFonts w:hint="eastAsia" w:ascii="宋体" w:hAnsi="宋体"/>
          <w:snapToGrid w:val="0"/>
          <w:kern w:val="0"/>
        </w:rPr>
        <w:t>我们认为，在实施好项目建设水土保持措施的前提下，开发区建设造成水土流失的累积影响不大。</w:t>
      </w:r>
    </w:p>
    <w:p>
      <w:pPr>
        <w:pStyle w:val="631"/>
        <w:spacing w:line="360" w:lineRule="auto"/>
        <w:rPr>
          <w:rFonts w:ascii="宋体" w:hAnsi="宋体"/>
          <w:snapToGrid w:val="0"/>
          <w:kern w:val="0"/>
        </w:rPr>
      </w:pPr>
      <w:r>
        <w:rPr>
          <w:rFonts w:hint="eastAsia" w:ascii="宋体" w:hAnsi="宋体"/>
          <w:snapToGrid w:val="0"/>
          <w:kern w:val="0"/>
        </w:rPr>
        <w:t>（2）水质的影响</w:t>
      </w:r>
    </w:p>
    <w:p>
      <w:pPr>
        <w:pStyle w:val="631"/>
        <w:spacing w:line="360" w:lineRule="auto"/>
        <w:rPr>
          <w:rFonts w:ascii="宋体" w:hAnsi="宋体"/>
          <w:snapToGrid w:val="0"/>
          <w:kern w:val="0"/>
        </w:rPr>
      </w:pPr>
      <w:r>
        <w:rPr>
          <w:rFonts w:hint="eastAsia" w:ascii="宋体" w:hAnsi="宋体"/>
          <w:snapToGrid w:val="0"/>
          <w:kern w:val="0"/>
        </w:rPr>
        <w:t>1）施工废水</w:t>
      </w:r>
    </w:p>
    <w:p>
      <w:pPr>
        <w:adjustRightInd w:val="0"/>
        <w:snapToGrid w:val="0"/>
        <w:spacing w:line="360" w:lineRule="auto"/>
        <w:ind w:firstLine="480" w:firstLineChars="200"/>
        <w:rPr>
          <w:rFonts w:ascii="宋体" w:hAnsi="宋体"/>
          <w:sz w:val="24"/>
        </w:rPr>
      </w:pPr>
      <w:r>
        <w:rPr>
          <w:rFonts w:ascii="宋体" w:hAnsi="宋体"/>
          <w:snapToGrid w:val="0"/>
          <w:kern w:val="0"/>
          <w:sz w:val="24"/>
        </w:rPr>
        <w:fldChar w:fldCharType="begin"/>
      </w:r>
      <w:r>
        <w:rPr>
          <w:rFonts w:ascii="宋体" w:hAnsi="宋体"/>
          <w:snapToGrid w:val="0"/>
          <w:kern w:val="0"/>
          <w:sz w:val="24"/>
        </w:rPr>
        <w:instrText xml:space="preserve"> </w:instrText>
      </w:r>
      <w:r>
        <w:rPr>
          <w:rFonts w:hint="eastAsia" w:ascii="宋体" w:hAnsi="宋体"/>
          <w:snapToGrid w:val="0"/>
          <w:kern w:val="0"/>
          <w:sz w:val="24"/>
        </w:rPr>
        <w:instrText xml:space="preserve">eq \o\ac(○,</w:instrText>
      </w:r>
      <w:r>
        <w:rPr>
          <w:rFonts w:hint="eastAsia" w:ascii="宋体" w:hAnsi="宋体"/>
          <w:snapToGrid w:val="0"/>
          <w:kern w:val="0"/>
          <w:position w:val="3"/>
          <w:sz w:val="24"/>
        </w:rPr>
        <w:instrText xml:space="preserve">1</w:instrText>
      </w:r>
      <w:r>
        <w:rPr>
          <w:rFonts w:hint="eastAsia" w:ascii="宋体" w:hAnsi="宋体"/>
          <w:snapToGrid w:val="0"/>
          <w:kern w:val="0"/>
          <w:sz w:val="24"/>
        </w:rPr>
        <w:instrText xml:space="preserve">)</w:instrText>
      </w:r>
      <w:r>
        <w:rPr>
          <w:rFonts w:ascii="宋体" w:hAnsi="宋体"/>
          <w:snapToGrid w:val="0"/>
          <w:kern w:val="0"/>
          <w:sz w:val="24"/>
        </w:rPr>
        <w:fldChar w:fldCharType="end"/>
      </w:r>
      <w:r>
        <w:rPr>
          <w:rFonts w:hint="eastAsia" w:ascii="宋体" w:hAnsi="宋体"/>
          <w:sz w:val="24"/>
        </w:rPr>
        <w:t>园区范围内项目的影响</w:t>
      </w:r>
    </w:p>
    <w:p>
      <w:pPr>
        <w:adjustRightInd w:val="0"/>
        <w:snapToGrid w:val="0"/>
        <w:spacing w:line="360" w:lineRule="auto"/>
        <w:ind w:firstLine="480" w:firstLineChars="200"/>
        <w:rPr>
          <w:rFonts w:ascii="宋体" w:hAnsi="宋体"/>
          <w:sz w:val="24"/>
        </w:rPr>
      </w:pPr>
      <w:r>
        <w:rPr>
          <w:rFonts w:hint="eastAsia" w:ascii="宋体" w:hAnsi="宋体"/>
          <w:sz w:val="24"/>
        </w:rPr>
        <w:t>园区建设期间主要废水有：运输车辆冲洗产生的含悬浮物、石油类的废水；建、构筑物的养护、冲洗、打磨等产生的含悬浮物的废水；施工机械保养或使用不当而导致燃料油、润滑油的跑、冒、滴、漏；如果这些废水得不到有效处理，将会对施工区域水体造成污染。每个施工区域的水体受到污染，将会导致整个园区水环境恶化，进而对周边水体造成污染。</w:t>
      </w:r>
    </w:p>
    <w:p>
      <w:pPr>
        <w:adjustRightInd w:val="0"/>
        <w:snapToGrid w:val="0"/>
        <w:spacing w:line="360" w:lineRule="auto"/>
        <w:ind w:firstLine="480" w:firstLineChars="200"/>
        <w:rPr>
          <w:rFonts w:ascii="宋体" w:hAnsi="宋体"/>
          <w:sz w:val="24"/>
        </w:rPr>
      </w:pPr>
      <w:r>
        <w:rPr>
          <w:rFonts w:hint="eastAsia" w:ascii="宋体" w:hAnsi="宋体"/>
          <w:sz w:val="24"/>
        </w:rPr>
        <w:t>这些施工其对长江周围地表汇流的影响虽然具有面积大、个数多的特性，但经过处理、回用后，实际排放到地表环境的废水极少，同时这些施工点位毕竟距离长江依然有一定距离，且经过沿途地表植被、土壤等截留、分解，最后真正对长江水体产生直接影响的是直接在长江水体内施工项目的影响。</w:t>
      </w:r>
    </w:p>
    <w:p>
      <w:pPr>
        <w:adjustRightInd w:val="0"/>
        <w:snapToGrid w:val="0"/>
        <w:spacing w:line="360" w:lineRule="auto"/>
        <w:ind w:firstLine="480" w:firstLineChars="200"/>
        <w:rPr>
          <w:rFonts w:ascii="宋体" w:hAnsi="宋体"/>
          <w:sz w:val="24"/>
        </w:rPr>
      </w:pPr>
      <w:r>
        <w:rPr>
          <w:snapToGrid w:val="0"/>
          <w:kern w:val="0"/>
          <w:sz w:val="24"/>
        </w:rPr>
        <w:fldChar w:fldCharType="begin"/>
      </w:r>
      <w:r>
        <w:rPr>
          <w:snapToGrid w:val="0"/>
          <w:kern w:val="0"/>
          <w:sz w:val="24"/>
        </w:rPr>
        <w:instrText xml:space="preserve"> </w:instrText>
      </w:r>
      <w:r>
        <w:rPr>
          <w:rFonts w:hint="eastAsia"/>
          <w:snapToGrid w:val="0"/>
          <w:kern w:val="0"/>
          <w:sz w:val="24"/>
        </w:rPr>
        <w:instrText xml:space="preserve">eq \o\ac(○,</w:instrText>
      </w:r>
      <w:r>
        <w:rPr>
          <w:rFonts w:hint="eastAsia"/>
          <w:snapToGrid w:val="0"/>
          <w:kern w:val="0"/>
          <w:position w:val="3"/>
          <w:sz w:val="24"/>
        </w:rPr>
        <w:instrText xml:space="preserve">2</w:instrText>
      </w:r>
      <w:r>
        <w:rPr>
          <w:rFonts w:hint="eastAsia"/>
          <w:snapToGrid w:val="0"/>
          <w:kern w:val="0"/>
          <w:sz w:val="24"/>
        </w:rPr>
        <w:instrText xml:space="preserve">)</w:instrText>
      </w:r>
      <w:r>
        <w:rPr>
          <w:snapToGrid w:val="0"/>
          <w:kern w:val="0"/>
          <w:sz w:val="24"/>
        </w:rPr>
        <w:fldChar w:fldCharType="end"/>
      </w:r>
      <w:r>
        <w:rPr>
          <w:rFonts w:hint="eastAsia" w:ascii="宋体" w:hAnsi="宋体"/>
          <w:sz w:val="24"/>
        </w:rPr>
        <w:t>水体施工的影响</w:t>
      </w:r>
    </w:p>
    <w:p>
      <w:pPr>
        <w:adjustRightInd w:val="0"/>
        <w:snapToGrid w:val="0"/>
        <w:spacing w:line="360" w:lineRule="auto"/>
        <w:ind w:firstLine="480" w:firstLineChars="200"/>
        <w:rPr>
          <w:sz w:val="24"/>
        </w:rPr>
      </w:pPr>
      <w:r>
        <w:rPr>
          <w:rFonts w:hint="eastAsia"/>
          <w:snapToGrid w:val="0"/>
          <w:sz w:val="24"/>
        </w:rPr>
        <w:t>规划实施范围内对对长江水体范围内造成影响的项目主要为码头</w:t>
      </w:r>
      <w:r>
        <w:rPr>
          <w:rFonts w:hint="eastAsia"/>
          <w:sz w:val="24"/>
        </w:rPr>
        <w:t>。</w:t>
      </w:r>
    </w:p>
    <w:p>
      <w:pPr>
        <w:adjustRightInd w:val="0"/>
        <w:snapToGrid w:val="0"/>
        <w:spacing w:line="360" w:lineRule="auto"/>
        <w:ind w:firstLine="480" w:firstLineChars="200"/>
        <w:rPr>
          <w:sz w:val="24"/>
        </w:rPr>
      </w:pPr>
      <w:r>
        <w:rPr>
          <w:rFonts w:hint="eastAsia"/>
          <w:sz w:val="24"/>
        </w:rPr>
        <w:t>一般而言如果某一段水体码头施工逐次进行，从现场监测的数据看，项目实施过程中造成的水质影响都在可控范围，加之长江水体具有水量大，水质较好的特性，一般而言在采取必要的环保措施情况下，码头施工造成的影响都是局部的、暂时的，不太严重的影响。</w:t>
      </w:r>
    </w:p>
    <w:p>
      <w:pPr>
        <w:pStyle w:val="631"/>
        <w:spacing w:line="360" w:lineRule="auto"/>
        <w:rPr>
          <w:snapToGrid w:val="0"/>
          <w:kern w:val="0"/>
        </w:rPr>
      </w:pPr>
      <w:r>
        <w:rPr>
          <w:rFonts w:hint="eastAsia"/>
          <w:snapToGrid w:val="0"/>
          <w:kern w:val="0"/>
        </w:rPr>
        <w:t>2）陆域生活污水</w:t>
      </w:r>
    </w:p>
    <w:p>
      <w:pPr>
        <w:pStyle w:val="71"/>
        <w:spacing w:line="360" w:lineRule="auto"/>
        <w:ind w:firstLine="480"/>
        <w:rPr>
          <w:rFonts w:eastAsia="新宋体"/>
          <w:sz w:val="24"/>
        </w:rPr>
      </w:pPr>
      <w:r>
        <w:rPr>
          <w:rFonts w:hint="eastAsia"/>
          <w:sz w:val="24"/>
        </w:rPr>
        <w:t>在项目实施过程中，施工人员的生活污水，主要污染物为SS、COD、BOD</w:t>
      </w:r>
      <w:r>
        <w:rPr>
          <w:rFonts w:hint="eastAsia"/>
          <w:sz w:val="24"/>
          <w:vertAlign w:val="subscript"/>
        </w:rPr>
        <w:t>5</w:t>
      </w:r>
      <w:r>
        <w:rPr>
          <w:rFonts w:hint="eastAsia"/>
          <w:sz w:val="24"/>
        </w:rPr>
        <w:t>，可能对地表水体造成污染。从当前环境监管与实际运行来看，单体项目在实施过程中，通常都把环保放在十分重要的地位，因此施工人员的生活污水能够得到有效处理，比如在施工前期，由于评级范围内有较多的农田尚未开发，可以将生活污水回田，后期随着开发区的强度越来越小，园林、基础设施的不断完善，其生活污水可以用作区域内绿化用水，也可以通过化粪池处理后进入城市污水处理系统，因此施工期生活污水基本不会对长江水质产生不良影响。</w:t>
      </w:r>
    </w:p>
    <w:p>
      <w:pPr>
        <w:pStyle w:val="71"/>
        <w:spacing w:line="360" w:lineRule="auto"/>
        <w:ind w:firstLine="480"/>
        <w:rPr>
          <w:rFonts w:eastAsia="新宋体"/>
          <w:sz w:val="24"/>
        </w:rPr>
      </w:pPr>
      <w:r>
        <w:rPr>
          <w:rFonts w:hint="eastAsia" w:eastAsia="新宋体"/>
          <w:sz w:val="24"/>
        </w:rPr>
        <w:t>3）水域生活污水</w:t>
      </w:r>
    </w:p>
    <w:p>
      <w:pPr>
        <w:pStyle w:val="71"/>
        <w:spacing w:line="360" w:lineRule="auto"/>
        <w:ind w:firstLine="480"/>
        <w:rPr>
          <w:rFonts w:eastAsia="新宋体"/>
          <w:sz w:val="24"/>
        </w:rPr>
      </w:pPr>
      <w:r>
        <w:rPr>
          <w:rFonts w:hint="eastAsia" w:eastAsia="新宋体"/>
          <w:sz w:val="24"/>
        </w:rPr>
        <w:t>水体施工时，依托施工船舶进行，船舶都带有能够有效处理生活污水的处理装置，污水经过处理后，通过转移到岸上或者按照海事部门制定区域排放，这些对长江水质的影响都较小。</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51" w:name="_Toc442195763"/>
      <w:r>
        <w:rPr>
          <w:rFonts w:hint="eastAsia" w:ascii="宋体" w:hAnsi="宋体" w:eastAsia="宋体"/>
          <w:b/>
          <w:sz w:val="28"/>
          <w:szCs w:val="28"/>
        </w:rPr>
        <w:t>营运期影响</w:t>
      </w:r>
      <w:bookmarkEnd w:id="251"/>
    </w:p>
    <w:p>
      <w:pPr>
        <w:autoSpaceDE w:val="0"/>
        <w:autoSpaceDN w:val="0"/>
        <w:spacing w:line="500" w:lineRule="exact"/>
        <w:ind w:firstLine="480" w:firstLineChars="200"/>
        <w:rPr>
          <w:sz w:val="24"/>
          <w:lang w:val="pl-PL"/>
        </w:rPr>
      </w:pPr>
      <w:r>
        <w:rPr>
          <w:rFonts w:hint="eastAsia"/>
          <w:sz w:val="24"/>
          <w:lang w:val="pl-PL"/>
        </w:rPr>
        <w:t>白洋工业园近期长江枯水期将在</w:t>
      </w:r>
      <w:r>
        <w:rPr>
          <w:rFonts w:hint="eastAsia" w:eastAsia="新宋体"/>
          <w:sz w:val="24"/>
        </w:rPr>
        <w:t>白洋污水处理厂排污口下游</w:t>
      </w:r>
      <w:r>
        <w:rPr>
          <w:rFonts w:eastAsia="新宋体"/>
          <w:sz w:val="24"/>
        </w:rPr>
        <w:t>形成</w:t>
      </w:r>
      <w:r>
        <w:rPr>
          <w:rFonts w:hint="eastAsia" w:eastAsia="新宋体"/>
          <w:sz w:val="24"/>
        </w:rPr>
        <w:t>500</w:t>
      </w:r>
      <w:r>
        <w:rPr>
          <w:rFonts w:eastAsia="新宋体"/>
          <w:sz w:val="24"/>
        </w:rPr>
        <w:t>m（纵向）×</w:t>
      </w:r>
      <w:r>
        <w:rPr>
          <w:rFonts w:hint="eastAsia" w:eastAsia="新宋体"/>
          <w:sz w:val="24"/>
        </w:rPr>
        <w:t>15</w:t>
      </w:r>
      <w:r>
        <w:rPr>
          <w:rFonts w:eastAsia="新宋体"/>
          <w:sz w:val="24"/>
        </w:rPr>
        <w:t>m（横向）范围的岸边污染带</w:t>
      </w:r>
      <w:r>
        <w:rPr>
          <w:rFonts w:hint="eastAsia" w:eastAsia="新宋体"/>
          <w:sz w:val="24"/>
        </w:rPr>
        <w:t>（</w:t>
      </w:r>
      <w:r>
        <w:rPr>
          <w:rFonts w:eastAsia="新宋体"/>
          <w:sz w:val="24"/>
        </w:rPr>
        <w:t>污染带</w:t>
      </w:r>
      <w:r>
        <w:rPr>
          <w:rFonts w:hint="eastAsia" w:eastAsia="新宋体"/>
          <w:sz w:val="24"/>
        </w:rPr>
        <w:t>内水质仍可控制在</w:t>
      </w:r>
      <w:r>
        <w:rPr>
          <w:rFonts w:hint="eastAsia" w:ascii="新宋体" w:hAnsi="新宋体" w:eastAsia="新宋体"/>
          <w:sz w:val="24"/>
        </w:rPr>
        <w:t>Ⅲ</w:t>
      </w:r>
      <w:r>
        <w:rPr>
          <w:rFonts w:hint="eastAsia"/>
          <w:sz w:val="24"/>
        </w:rPr>
        <w:t>类水域功能区标准</w:t>
      </w:r>
      <w:r>
        <w:rPr>
          <w:rFonts w:hint="eastAsia" w:eastAsia="新宋体"/>
          <w:sz w:val="24"/>
        </w:rPr>
        <w:t>）</w:t>
      </w:r>
      <w:r>
        <w:rPr>
          <w:rFonts w:hint="eastAsia"/>
          <w:sz w:val="24"/>
          <w:lang w:val="pl-PL"/>
        </w:rPr>
        <w:t>；远期长江枯水期将</w:t>
      </w:r>
      <w:r>
        <w:rPr>
          <w:rFonts w:hint="eastAsia" w:eastAsia="新宋体"/>
          <w:sz w:val="24"/>
        </w:rPr>
        <w:t>分别在白洋污水处理厂排污口下游2000</w:t>
      </w:r>
      <w:r>
        <w:rPr>
          <w:rFonts w:eastAsia="新宋体"/>
          <w:sz w:val="24"/>
        </w:rPr>
        <w:t>m（纵向）×</w:t>
      </w:r>
      <w:r>
        <w:rPr>
          <w:rFonts w:hint="eastAsia" w:eastAsia="新宋体"/>
          <w:sz w:val="24"/>
        </w:rPr>
        <w:t>25</w:t>
      </w:r>
      <w:r>
        <w:rPr>
          <w:rFonts w:eastAsia="新宋体"/>
          <w:sz w:val="24"/>
        </w:rPr>
        <w:t>m（横向）</w:t>
      </w:r>
      <w:r>
        <w:rPr>
          <w:rFonts w:hint="eastAsia" w:eastAsia="新宋体"/>
          <w:sz w:val="24"/>
        </w:rPr>
        <w:t>和化工园污水处理厂排污口下游1200</w:t>
      </w:r>
      <w:r>
        <w:rPr>
          <w:rFonts w:eastAsia="新宋体"/>
          <w:sz w:val="24"/>
        </w:rPr>
        <w:t>m（纵向）×</w:t>
      </w:r>
      <w:r>
        <w:rPr>
          <w:rFonts w:hint="eastAsia" w:eastAsia="新宋体"/>
          <w:sz w:val="24"/>
        </w:rPr>
        <w:t>25</w:t>
      </w:r>
      <w:r>
        <w:rPr>
          <w:rFonts w:eastAsia="新宋体"/>
          <w:sz w:val="24"/>
        </w:rPr>
        <w:t>m（横向）</w:t>
      </w:r>
      <w:r>
        <w:rPr>
          <w:rFonts w:hint="eastAsia" w:eastAsia="新宋体"/>
          <w:sz w:val="24"/>
        </w:rPr>
        <w:t>形成2个</w:t>
      </w:r>
      <w:r>
        <w:rPr>
          <w:rFonts w:eastAsia="新宋体"/>
          <w:sz w:val="24"/>
        </w:rPr>
        <w:t>岸边污染带</w:t>
      </w:r>
      <w:r>
        <w:rPr>
          <w:rFonts w:hint="eastAsia" w:eastAsia="新宋体"/>
          <w:sz w:val="24"/>
        </w:rPr>
        <w:t>（</w:t>
      </w:r>
      <w:r>
        <w:rPr>
          <w:rFonts w:eastAsia="新宋体"/>
          <w:sz w:val="24"/>
        </w:rPr>
        <w:t>污染带</w:t>
      </w:r>
      <w:r>
        <w:rPr>
          <w:rFonts w:hint="eastAsia" w:eastAsia="新宋体"/>
          <w:sz w:val="24"/>
        </w:rPr>
        <w:t>内除氨氮浓度排污口下游100m</w:t>
      </w:r>
      <w:r>
        <w:rPr>
          <w:rFonts w:eastAsia="新宋体"/>
          <w:sz w:val="24"/>
        </w:rPr>
        <w:t>×</w:t>
      </w:r>
      <w:r>
        <w:rPr>
          <w:rFonts w:hint="eastAsia" w:eastAsia="新宋体"/>
          <w:sz w:val="24"/>
        </w:rPr>
        <w:t>5m小范围内轻微超标外，COD和</w:t>
      </w:r>
      <w:r>
        <w:rPr>
          <w:rFonts w:eastAsia="新宋体"/>
          <w:sz w:val="24"/>
        </w:rPr>
        <w:t>BOD</w:t>
      </w:r>
      <w:r>
        <w:rPr>
          <w:rFonts w:eastAsia="新宋体"/>
          <w:sz w:val="24"/>
          <w:vertAlign w:val="subscript"/>
        </w:rPr>
        <w:t>5</w:t>
      </w:r>
      <w:r>
        <w:rPr>
          <w:rFonts w:hint="eastAsia" w:eastAsia="新宋体"/>
          <w:sz w:val="24"/>
        </w:rPr>
        <w:t>浓度仍可控制在</w:t>
      </w:r>
      <w:r>
        <w:rPr>
          <w:rFonts w:hint="eastAsia" w:ascii="新宋体" w:hAnsi="新宋体" w:eastAsia="新宋体"/>
          <w:sz w:val="24"/>
        </w:rPr>
        <w:t>Ⅲ</w:t>
      </w:r>
      <w:r>
        <w:rPr>
          <w:rFonts w:hint="eastAsia"/>
          <w:sz w:val="24"/>
        </w:rPr>
        <w:t>类水域功能区标准</w:t>
      </w:r>
      <w:r>
        <w:rPr>
          <w:rFonts w:hint="eastAsia" w:eastAsia="新宋体"/>
          <w:sz w:val="24"/>
        </w:rPr>
        <w:t>）。而</w:t>
      </w:r>
      <w:r>
        <w:rPr>
          <w:rFonts w:hint="eastAsia"/>
          <w:sz w:val="24"/>
          <w:lang w:val="pl-PL"/>
        </w:rPr>
        <w:t>工业区关心点白洋二水厂取水口处水质近远期可达到</w:t>
      </w:r>
      <w:r>
        <w:rPr>
          <w:sz w:val="24"/>
        </w:rPr>
        <w:t>II</w:t>
      </w:r>
      <w:r>
        <w:rPr>
          <w:rFonts w:hint="eastAsia"/>
          <w:sz w:val="24"/>
          <w:lang w:val="pl-PL"/>
        </w:rPr>
        <w:t>类功能区标准。</w:t>
      </w:r>
    </w:p>
    <w:p>
      <w:pPr>
        <w:autoSpaceDE w:val="0"/>
        <w:autoSpaceDN w:val="0"/>
        <w:spacing w:line="500" w:lineRule="exact"/>
        <w:ind w:firstLine="480" w:firstLineChars="200"/>
        <w:rPr>
          <w:sz w:val="24"/>
          <w:lang w:val="pl-PL"/>
        </w:rPr>
      </w:pPr>
      <w:r>
        <w:rPr>
          <w:rFonts w:hint="eastAsia"/>
          <w:sz w:val="24"/>
          <w:lang w:val="pl-PL"/>
        </w:rPr>
        <w:t>白洋组团区域大工业环境形成后，长江枯水期</w:t>
      </w:r>
      <w:r>
        <w:rPr>
          <w:rFonts w:hint="eastAsia" w:eastAsia="新宋体"/>
          <w:sz w:val="24"/>
        </w:rPr>
        <w:t>将分别在白洋污水处理厂排污口下游5000</w:t>
      </w:r>
      <w:r>
        <w:rPr>
          <w:rFonts w:eastAsia="新宋体"/>
          <w:sz w:val="24"/>
        </w:rPr>
        <w:t>m（纵向）×</w:t>
      </w:r>
      <w:r>
        <w:rPr>
          <w:rFonts w:hint="eastAsia" w:eastAsia="新宋体"/>
          <w:sz w:val="24"/>
        </w:rPr>
        <w:t>40</w:t>
      </w:r>
      <w:r>
        <w:rPr>
          <w:rFonts w:eastAsia="新宋体"/>
          <w:sz w:val="24"/>
        </w:rPr>
        <w:t>m（横向）</w:t>
      </w:r>
      <w:r>
        <w:rPr>
          <w:rFonts w:hint="eastAsia" w:eastAsia="新宋体"/>
          <w:sz w:val="24"/>
        </w:rPr>
        <w:t>和化工园污水处理厂排污口下游7000</w:t>
      </w:r>
      <w:r>
        <w:rPr>
          <w:rFonts w:eastAsia="新宋体"/>
          <w:sz w:val="24"/>
        </w:rPr>
        <w:t>m（纵向）×</w:t>
      </w:r>
      <w:r>
        <w:rPr>
          <w:rFonts w:hint="eastAsia" w:eastAsia="新宋体"/>
          <w:sz w:val="24"/>
        </w:rPr>
        <w:t>50</w:t>
      </w:r>
      <w:r>
        <w:rPr>
          <w:rFonts w:eastAsia="新宋体"/>
          <w:sz w:val="24"/>
        </w:rPr>
        <w:t>m（横向）</w:t>
      </w:r>
      <w:r>
        <w:rPr>
          <w:rFonts w:hint="eastAsia" w:eastAsia="新宋体"/>
          <w:sz w:val="24"/>
        </w:rPr>
        <w:t>形成2个</w:t>
      </w:r>
      <w:r>
        <w:rPr>
          <w:rFonts w:eastAsia="新宋体"/>
          <w:sz w:val="24"/>
        </w:rPr>
        <w:t>岸边污染带</w:t>
      </w:r>
      <w:r>
        <w:rPr>
          <w:rFonts w:hint="eastAsia" w:eastAsia="新宋体"/>
          <w:sz w:val="24"/>
        </w:rPr>
        <w:t>（</w:t>
      </w:r>
      <w:r>
        <w:rPr>
          <w:rFonts w:eastAsia="新宋体"/>
          <w:sz w:val="24"/>
        </w:rPr>
        <w:t>污染带</w:t>
      </w:r>
      <w:r>
        <w:rPr>
          <w:rFonts w:hint="eastAsia" w:eastAsia="新宋体"/>
          <w:sz w:val="24"/>
        </w:rPr>
        <w:t>内除氨氮浓度排污口下游500m</w:t>
      </w:r>
      <w:r>
        <w:rPr>
          <w:rFonts w:eastAsia="新宋体"/>
          <w:sz w:val="24"/>
        </w:rPr>
        <w:t>×</w:t>
      </w:r>
      <w:r>
        <w:rPr>
          <w:rFonts w:hint="eastAsia" w:eastAsia="新宋体"/>
          <w:sz w:val="24"/>
        </w:rPr>
        <w:t>10m局部范围内超标外，COD和</w:t>
      </w:r>
      <w:r>
        <w:rPr>
          <w:rFonts w:eastAsia="新宋体"/>
          <w:sz w:val="24"/>
        </w:rPr>
        <w:t>BOD</w:t>
      </w:r>
      <w:r>
        <w:rPr>
          <w:rFonts w:eastAsia="新宋体"/>
          <w:sz w:val="24"/>
          <w:vertAlign w:val="subscript"/>
        </w:rPr>
        <w:t>5</w:t>
      </w:r>
      <w:r>
        <w:rPr>
          <w:rFonts w:hint="eastAsia" w:eastAsia="新宋体"/>
          <w:sz w:val="24"/>
        </w:rPr>
        <w:t>浓度仍可控制在</w:t>
      </w:r>
      <w:r>
        <w:rPr>
          <w:rFonts w:hint="eastAsia" w:ascii="新宋体" w:hAnsi="新宋体" w:eastAsia="新宋体"/>
          <w:sz w:val="24"/>
        </w:rPr>
        <w:t>Ⅲ</w:t>
      </w:r>
      <w:r>
        <w:rPr>
          <w:rFonts w:hint="eastAsia"/>
          <w:sz w:val="24"/>
        </w:rPr>
        <w:t>类水域功能区标准</w:t>
      </w:r>
      <w:r>
        <w:rPr>
          <w:rFonts w:hint="eastAsia" w:eastAsia="新宋体"/>
          <w:sz w:val="24"/>
        </w:rPr>
        <w:t>）。而</w:t>
      </w:r>
      <w:r>
        <w:rPr>
          <w:rFonts w:hint="eastAsia"/>
          <w:sz w:val="24"/>
          <w:lang w:val="pl-PL"/>
        </w:rPr>
        <w:t>工业区关心点白洋二水厂取水口处COD、</w:t>
      </w:r>
      <w:r>
        <w:rPr>
          <w:rFonts w:eastAsia="新宋体"/>
          <w:sz w:val="24"/>
        </w:rPr>
        <w:t>BOD</w:t>
      </w:r>
      <w:r>
        <w:rPr>
          <w:rFonts w:eastAsia="新宋体"/>
          <w:sz w:val="24"/>
          <w:vertAlign w:val="subscript"/>
        </w:rPr>
        <w:t>5</w:t>
      </w:r>
      <w:r>
        <w:rPr>
          <w:rFonts w:hint="eastAsia"/>
          <w:sz w:val="24"/>
          <w:lang w:val="pl-PL"/>
        </w:rPr>
        <w:t>浓度可达</w:t>
      </w:r>
      <w:r>
        <w:rPr>
          <w:sz w:val="24"/>
        </w:rPr>
        <w:t>II</w:t>
      </w:r>
      <w:r>
        <w:rPr>
          <w:rFonts w:hint="eastAsia"/>
          <w:sz w:val="24"/>
          <w:lang w:val="pl-PL"/>
        </w:rPr>
        <w:t>类功能区标准，但氨氮浓度为0.52，将出现轻微超标。</w:t>
      </w:r>
    </w:p>
    <w:p>
      <w:pPr>
        <w:autoSpaceDE w:val="0"/>
        <w:autoSpaceDN w:val="0"/>
        <w:spacing w:line="500" w:lineRule="exact"/>
        <w:ind w:firstLine="480" w:firstLineChars="200"/>
        <w:rPr>
          <w:rFonts w:eastAsia="新宋体"/>
          <w:sz w:val="24"/>
        </w:rPr>
      </w:pPr>
      <w:r>
        <w:rPr>
          <w:rFonts w:hint="eastAsia"/>
          <w:sz w:val="24"/>
          <w:lang w:val="pl-PL"/>
        </w:rPr>
        <w:t>白洋工业园近远期以及白洋组团大工业环境下，废水正常排放时，长江枯水期沿岸各排污口下游虽然将形成一定范围的岸边污染带，但污染带除局部小范围内氨氮浓度超过</w:t>
      </w:r>
      <w:r>
        <w:rPr>
          <w:rFonts w:hint="eastAsia" w:ascii="新宋体" w:hAnsi="新宋体" w:eastAsia="新宋体"/>
          <w:sz w:val="24"/>
        </w:rPr>
        <w:t>Ⅲ</w:t>
      </w:r>
      <w:r>
        <w:rPr>
          <w:rFonts w:hint="eastAsia"/>
          <w:sz w:val="24"/>
        </w:rPr>
        <w:t>类水域功能区标准外，总体</w:t>
      </w:r>
      <w:r>
        <w:rPr>
          <w:rFonts w:hint="eastAsia"/>
          <w:sz w:val="24"/>
          <w:lang w:val="pl-PL"/>
        </w:rPr>
        <w:t>水质仍可控制在</w:t>
      </w:r>
      <w:r>
        <w:rPr>
          <w:rFonts w:hint="eastAsia" w:eastAsia="新宋体"/>
          <w:sz w:val="24"/>
        </w:rPr>
        <w:t>在</w:t>
      </w:r>
      <w:r>
        <w:rPr>
          <w:rFonts w:hint="eastAsia" w:ascii="新宋体" w:hAnsi="新宋体" w:eastAsia="新宋体"/>
          <w:sz w:val="24"/>
        </w:rPr>
        <w:t>Ⅲ</w:t>
      </w:r>
      <w:r>
        <w:rPr>
          <w:rFonts w:hint="eastAsia"/>
          <w:sz w:val="24"/>
        </w:rPr>
        <w:t>类水域功能区标准</w:t>
      </w:r>
      <w:r>
        <w:rPr>
          <w:rFonts w:hint="eastAsia"/>
          <w:sz w:val="24"/>
          <w:lang w:val="pl-PL"/>
        </w:rPr>
        <w:t>，对工业区长江岸边水环境和“长江湖北宜昌中华鲟自然保护区”外围保护带而言，在环境可承载范围内。</w:t>
      </w:r>
      <w:r>
        <w:rPr>
          <w:rFonts w:eastAsia="新宋体"/>
          <w:sz w:val="24"/>
        </w:rPr>
        <w:t>但若污水处理厂出现不正常排放情况，</w:t>
      </w:r>
      <w:r>
        <w:rPr>
          <w:rFonts w:hint="eastAsia" w:eastAsia="新宋体"/>
          <w:sz w:val="24"/>
        </w:rPr>
        <w:t>均</w:t>
      </w:r>
      <w:r>
        <w:rPr>
          <w:rFonts w:eastAsia="新宋体"/>
          <w:sz w:val="24"/>
        </w:rPr>
        <w:t>将会</w:t>
      </w:r>
      <w:r>
        <w:rPr>
          <w:rFonts w:hint="eastAsia" w:eastAsia="新宋体"/>
          <w:sz w:val="24"/>
        </w:rPr>
        <w:t>出现不同程度超标</w:t>
      </w:r>
      <w:r>
        <w:rPr>
          <w:rFonts w:eastAsia="新宋体"/>
          <w:sz w:val="24"/>
        </w:rPr>
        <w:t>，</w:t>
      </w:r>
      <w:r>
        <w:rPr>
          <w:rFonts w:hint="eastAsia" w:eastAsia="新宋体"/>
          <w:sz w:val="24"/>
        </w:rPr>
        <w:t>并将分别在白洋污水处理厂排污口下游23000</w:t>
      </w:r>
      <w:r>
        <w:rPr>
          <w:rFonts w:eastAsia="新宋体"/>
          <w:sz w:val="24"/>
        </w:rPr>
        <w:t>m（纵向）×</w:t>
      </w:r>
      <w:r>
        <w:rPr>
          <w:rFonts w:hint="eastAsia" w:eastAsia="新宋体"/>
          <w:sz w:val="24"/>
        </w:rPr>
        <w:t>70</w:t>
      </w:r>
      <w:r>
        <w:rPr>
          <w:rFonts w:eastAsia="新宋体"/>
          <w:sz w:val="24"/>
        </w:rPr>
        <w:t>m（横向）</w:t>
      </w:r>
      <w:r>
        <w:rPr>
          <w:rFonts w:hint="eastAsia" w:eastAsia="新宋体"/>
          <w:sz w:val="24"/>
        </w:rPr>
        <w:t>和化工园污水处理厂排污口下游13000</w:t>
      </w:r>
      <w:r>
        <w:rPr>
          <w:rFonts w:eastAsia="新宋体"/>
          <w:sz w:val="24"/>
        </w:rPr>
        <w:t>m（纵向）×</w:t>
      </w:r>
      <w:r>
        <w:rPr>
          <w:rFonts w:hint="eastAsia" w:eastAsia="新宋体"/>
          <w:sz w:val="24"/>
        </w:rPr>
        <w:t>65</w:t>
      </w:r>
      <w:r>
        <w:rPr>
          <w:rFonts w:eastAsia="新宋体"/>
          <w:sz w:val="24"/>
        </w:rPr>
        <w:t>m（横向）</w:t>
      </w:r>
      <w:r>
        <w:rPr>
          <w:rFonts w:hint="eastAsia" w:eastAsia="新宋体"/>
          <w:sz w:val="24"/>
        </w:rPr>
        <w:t>形成</w:t>
      </w:r>
      <w:r>
        <w:rPr>
          <w:rFonts w:eastAsia="新宋体"/>
          <w:sz w:val="24"/>
        </w:rPr>
        <w:t>岸边污染带</w:t>
      </w:r>
      <w:r>
        <w:rPr>
          <w:rFonts w:hint="eastAsia" w:eastAsia="新宋体"/>
          <w:sz w:val="24"/>
        </w:rPr>
        <w:t>，</w:t>
      </w:r>
      <w:r>
        <w:rPr>
          <w:rFonts w:hint="eastAsia"/>
          <w:sz w:val="24"/>
          <w:lang w:val="pl-PL"/>
        </w:rPr>
        <w:t>同时白洋二水厂取水口处主要污染物COD和氨氮浓度将超过</w:t>
      </w:r>
      <w:r>
        <w:rPr>
          <w:sz w:val="24"/>
        </w:rPr>
        <w:t>II</w:t>
      </w:r>
      <w:r>
        <w:rPr>
          <w:rFonts w:hint="eastAsia"/>
          <w:sz w:val="24"/>
        </w:rPr>
        <w:t>类水域功能区标准，</w:t>
      </w:r>
      <w:r>
        <w:rPr>
          <w:rFonts w:hint="eastAsia"/>
          <w:sz w:val="24"/>
          <w:lang w:val="pl-PL"/>
        </w:rPr>
        <w:t>BOD</w:t>
      </w:r>
      <w:r>
        <w:rPr>
          <w:rFonts w:hint="eastAsia"/>
          <w:sz w:val="24"/>
          <w:vertAlign w:val="subscript"/>
          <w:lang w:val="pl-PL"/>
        </w:rPr>
        <w:t>5</w:t>
      </w:r>
      <w:r>
        <w:rPr>
          <w:rFonts w:hint="eastAsia"/>
          <w:sz w:val="24"/>
          <w:lang w:val="pl-PL"/>
        </w:rPr>
        <w:t>浓度</w:t>
      </w:r>
      <w:r>
        <w:rPr>
          <w:rFonts w:hint="eastAsia"/>
          <w:sz w:val="24"/>
        </w:rPr>
        <w:t>超过</w:t>
      </w:r>
      <w:r>
        <w:rPr>
          <w:rFonts w:hint="eastAsia" w:ascii="宋体" w:hAnsi="宋体"/>
          <w:sz w:val="24"/>
          <w:lang w:val="pl-PL"/>
        </w:rPr>
        <w:t>Ⅲ</w:t>
      </w:r>
      <w:r>
        <w:rPr>
          <w:rFonts w:hint="eastAsia"/>
          <w:sz w:val="24"/>
        </w:rPr>
        <w:t>类水域功能区标准，在该水厂运行造成影响，</w:t>
      </w:r>
      <w:r>
        <w:rPr>
          <w:rFonts w:eastAsia="新宋体"/>
          <w:sz w:val="24"/>
        </w:rPr>
        <w:t>因此要杜绝污水处理厂</w:t>
      </w:r>
      <w:r>
        <w:rPr>
          <w:rFonts w:hint="eastAsia" w:eastAsia="新宋体"/>
          <w:sz w:val="24"/>
        </w:rPr>
        <w:t>非</w:t>
      </w:r>
      <w:r>
        <w:rPr>
          <w:rFonts w:eastAsia="新宋体"/>
          <w:sz w:val="24"/>
        </w:rPr>
        <w:t>正常排放情况的出现。</w:t>
      </w:r>
    </w:p>
    <w:p>
      <w:pPr>
        <w:pStyle w:val="631"/>
        <w:spacing w:line="360" w:lineRule="auto"/>
        <w:rPr>
          <w:snapToGrid w:val="0"/>
          <w:kern w:val="0"/>
        </w:rPr>
      </w:pPr>
      <w:r>
        <w:rPr>
          <w:rFonts w:hint="eastAsia"/>
          <w:snapToGrid w:val="0"/>
          <w:kern w:val="0"/>
        </w:rPr>
        <w:t>2）园区地表条件改变的影响</w:t>
      </w:r>
    </w:p>
    <w:p>
      <w:pPr>
        <w:pStyle w:val="631"/>
        <w:spacing w:line="360" w:lineRule="auto"/>
        <w:rPr>
          <w:snapToGrid w:val="0"/>
          <w:kern w:val="0"/>
        </w:rPr>
      </w:pPr>
      <w:r>
        <w:rPr>
          <w:rFonts w:hint="eastAsia"/>
          <w:snapToGrid w:val="0"/>
          <w:kern w:val="0"/>
        </w:rPr>
        <w:t>根据规划前后的对比，规划实施后原来部分池塘、农地等将被可能被推平作为道路、作为厂房、或者作为其他设施，改变了园区段长江汇水区原有的地表条件，这些雨水在汇集过程中由于缺少池塘的缓冲和原有地表植被及土壤净化，导致区域原有初期雨水的净化和缓冲能力大大减小。</w:t>
      </w:r>
    </w:p>
    <w:p>
      <w:pPr>
        <w:autoSpaceDE w:val="0"/>
        <w:autoSpaceDN w:val="0"/>
        <w:spacing w:line="500" w:lineRule="exact"/>
        <w:ind w:firstLine="480" w:firstLineChars="200"/>
        <w:rPr>
          <w:rFonts w:eastAsia="新宋体"/>
          <w:sz w:val="24"/>
        </w:rPr>
      </w:pPr>
      <w:r>
        <w:rPr>
          <w:sz w:val="24"/>
        </w:rPr>
        <w:t>随着厂房、道路</w:t>
      </w:r>
      <w:r>
        <w:rPr>
          <w:rFonts w:hint="eastAsia"/>
          <w:sz w:val="24"/>
        </w:rPr>
        <w:t>等</w:t>
      </w:r>
      <w:r>
        <w:rPr>
          <w:sz w:val="24"/>
        </w:rPr>
        <w:t>的陆续建成，规划区内不渗漏的地面增加，从而提高了暴雨地表径流量，缩短径流时间，水道系统在暴雨条件下将有可能改变原来的排泄方式，导致市政管网不能有效接纳雨水，</w:t>
      </w:r>
      <w:r>
        <w:rPr>
          <w:rFonts w:hint="eastAsia"/>
          <w:snapToGrid w:val="0"/>
          <w:kern w:val="0"/>
          <w:sz w:val="24"/>
        </w:rPr>
        <w:t>初期雨水短时间内进入长江，夹杂着地面污染物的初期雨水可能长江局域水体水质造成影响。</w:t>
      </w:r>
    </w:p>
    <w:p>
      <w:pPr>
        <w:pStyle w:val="5"/>
        <w:tabs>
          <w:tab w:val="left" w:pos="567"/>
          <w:tab w:val="clear" w:pos="2138"/>
        </w:tabs>
        <w:spacing w:before="62" w:beforeLines="20" w:line="360" w:lineRule="auto"/>
        <w:ind w:left="0" w:firstLine="0"/>
        <w:rPr>
          <w:rFonts w:ascii="宋体" w:hAnsi="宋体" w:eastAsia="宋体"/>
          <w:b/>
          <w:sz w:val="28"/>
          <w:szCs w:val="28"/>
        </w:rPr>
      </w:pPr>
      <w:bookmarkStart w:id="252" w:name="_Toc245528751"/>
      <w:bookmarkStart w:id="253" w:name="_Toc271725918"/>
      <w:bookmarkStart w:id="254" w:name="_Toc442195764"/>
      <w:r>
        <w:rPr>
          <w:rFonts w:hint="eastAsia" w:ascii="宋体" w:hAnsi="宋体" w:eastAsia="宋体"/>
          <w:b/>
          <w:sz w:val="28"/>
          <w:szCs w:val="28"/>
        </w:rPr>
        <w:t>水</w:t>
      </w:r>
      <w:r>
        <w:rPr>
          <w:rFonts w:ascii="宋体" w:hAnsi="宋体" w:eastAsia="宋体"/>
          <w:b/>
          <w:sz w:val="28"/>
          <w:szCs w:val="28"/>
        </w:rPr>
        <w:t>环境保护对策和环境影响减缓措施</w:t>
      </w:r>
      <w:bookmarkEnd w:id="252"/>
      <w:bookmarkEnd w:id="253"/>
      <w:bookmarkEnd w:id="254"/>
    </w:p>
    <w:p>
      <w:pPr>
        <w:autoSpaceDE w:val="0"/>
        <w:autoSpaceDN w:val="0"/>
        <w:spacing w:line="360" w:lineRule="auto"/>
        <w:ind w:firstLine="480" w:firstLineChars="200"/>
        <w:rPr>
          <w:sz w:val="24"/>
        </w:rPr>
      </w:pPr>
      <w:r>
        <w:rPr>
          <w:rFonts w:hint="eastAsia" w:eastAsia="新宋体"/>
          <w:sz w:val="24"/>
        </w:rPr>
        <w:t>宜昌市白洋工业园水环境保护的主要目标是长江湖北宜昌中华鲟自然保护区。</w:t>
      </w:r>
      <w:r>
        <w:rPr>
          <w:rFonts w:hint="eastAsia"/>
          <w:sz w:val="24"/>
        </w:rPr>
        <w:t>工业区建成后，生产废水、生活污水分别经白洋污水处理厂和化工园污水处理厂净化达标后均排入长江，</w:t>
      </w:r>
      <w:r>
        <w:rPr>
          <w:rFonts w:hint="eastAsia"/>
          <w:bCs/>
          <w:sz w:val="24"/>
        </w:rPr>
        <w:t>因此，园区水污染防治工作对保障</w:t>
      </w:r>
      <w:r>
        <w:rPr>
          <w:rFonts w:hint="eastAsia" w:eastAsia="新宋体"/>
          <w:sz w:val="24"/>
        </w:rPr>
        <w:t>长江湖北宜昌中华鲟自然保护区（外围保护带）水生态环境</w:t>
      </w:r>
      <w:r>
        <w:rPr>
          <w:rFonts w:hint="eastAsia"/>
          <w:bCs/>
          <w:sz w:val="24"/>
        </w:rPr>
        <w:t>安全至关重要。</w:t>
      </w:r>
    </w:p>
    <w:p>
      <w:pPr>
        <w:spacing w:line="360" w:lineRule="auto"/>
        <w:ind w:firstLine="480" w:firstLineChars="200"/>
        <w:rPr>
          <w:sz w:val="24"/>
        </w:rPr>
      </w:pPr>
      <w:r>
        <w:rPr>
          <w:rFonts w:hint="eastAsia"/>
          <w:sz w:val="24"/>
        </w:rPr>
        <w:t>（1）施工废水防治措施</w:t>
      </w:r>
    </w:p>
    <w:p>
      <w:pPr>
        <w:autoSpaceDE w:val="0"/>
        <w:autoSpaceDN w:val="0"/>
        <w:spacing w:line="360" w:lineRule="auto"/>
        <w:ind w:firstLine="480" w:firstLineChars="200"/>
        <w:rPr>
          <w:sz w:val="24"/>
        </w:rPr>
      </w:pPr>
      <w:r>
        <w:rPr>
          <w:rFonts w:hint="eastAsia" w:eastAsia="新宋体"/>
          <w:sz w:val="24"/>
        </w:rPr>
        <w:t>建设过程中的施工废水主要是混凝土搅拌水、车辆冲洗水，禁止直接排放，尤其禁止直排农田和水域内。</w:t>
      </w:r>
      <w:r>
        <w:rPr>
          <w:sz w:val="24"/>
        </w:rPr>
        <w:t xml:space="preserve"> </w:t>
      </w:r>
    </w:p>
    <w:p>
      <w:pPr>
        <w:autoSpaceDE w:val="0"/>
        <w:autoSpaceDN w:val="0"/>
        <w:spacing w:line="360" w:lineRule="auto"/>
        <w:ind w:firstLine="480" w:firstLineChars="200"/>
        <w:rPr>
          <w:sz w:val="24"/>
        </w:rPr>
      </w:pPr>
      <w:r>
        <w:rPr>
          <w:rFonts w:hint="eastAsia"/>
          <w:sz w:val="24"/>
        </w:rPr>
        <w:t>（2）污水集中处理措施</w:t>
      </w:r>
    </w:p>
    <w:p>
      <w:pPr>
        <w:autoSpaceDE w:val="0"/>
        <w:autoSpaceDN w:val="0"/>
        <w:spacing w:line="360" w:lineRule="auto"/>
        <w:ind w:firstLine="480" w:firstLineChars="200"/>
        <w:rPr>
          <w:sz w:val="24"/>
        </w:rPr>
      </w:pPr>
      <w:r>
        <w:rPr>
          <w:rFonts w:hint="eastAsia"/>
          <w:sz w:val="24"/>
        </w:rPr>
        <w:t>1）工业区自建污水处理厂规划</w:t>
      </w:r>
    </w:p>
    <w:p>
      <w:pPr>
        <w:adjustRightInd w:val="0"/>
        <w:snapToGrid w:val="0"/>
        <w:spacing w:line="360" w:lineRule="auto"/>
        <w:ind w:firstLine="480" w:firstLineChars="200"/>
        <w:rPr>
          <w:sz w:val="24"/>
        </w:rPr>
      </w:pPr>
      <w:r>
        <w:rPr>
          <w:sz w:val="24"/>
        </w:rPr>
        <w:t>工业区内不得采用“雨污合流”的排水体制，应实现“雨污分流”，避免雨污混合</w:t>
      </w:r>
      <w:r>
        <w:rPr>
          <w:rFonts w:hint="eastAsia"/>
          <w:sz w:val="24"/>
        </w:rPr>
        <w:t>。园区环保规划将污水处理厂选址均有利于污水自流进入污水处理厂，从而减少污水提升泵房动力消耗，规划布局合理。在取消原规划的垭子溪污水处理厂后，白洋污水处理厂和化工园污水处理厂计划分三期，分别与工业区近远期以及白洋组团远景大工业环境下的废水产生量配套，规划污水处理厂分期设计规模和时限完全满足工业区和区域工业发展需要，规模设计合理。</w:t>
      </w:r>
    </w:p>
    <w:p>
      <w:pPr>
        <w:autoSpaceDE w:val="0"/>
        <w:autoSpaceDN w:val="0"/>
        <w:spacing w:line="360" w:lineRule="auto"/>
        <w:ind w:firstLine="480" w:firstLineChars="200"/>
        <w:rPr>
          <w:sz w:val="24"/>
        </w:rPr>
      </w:pPr>
      <w:r>
        <w:rPr>
          <w:rFonts w:hint="eastAsia"/>
          <w:sz w:val="24"/>
        </w:rPr>
        <w:t>2） 园区自建污水处理厂处理工艺优化</w:t>
      </w:r>
    </w:p>
    <w:p>
      <w:pPr>
        <w:autoSpaceDE w:val="0"/>
        <w:autoSpaceDN w:val="0"/>
        <w:spacing w:line="360" w:lineRule="auto"/>
        <w:ind w:firstLine="480" w:firstLineChars="200"/>
        <w:rPr>
          <w:sz w:val="24"/>
        </w:rPr>
      </w:pPr>
      <w:r>
        <w:rPr>
          <w:rFonts w:hint="eastAsia"/>
          <w:sz w:val="24"/>
        </w:rPr>
        <w:t>由于规划区污水产业类别较多，工业废水成分较复杂，除含有COD、SS和石油类外，还可能含有一些有毒有害物质，与一般城市生活污水不同，因此</w:t>
      </w:r>
      <w:r>
        <w:rPr>
          <w:rFonts w:hint="eastAsia" w:eastAsia="新宋体"/>
          <w:sz w:val="24"/>
        </w:rPr>
        <w:t>园区自建污水处理厂</w:t>
      </w:r>
      <w:r>
        <w:rPr>
          <w:rFonts w:hint="eastAsia"/>
          <w:sz w:val="24"/>
        </w:rPr>
        <w:t>需要进行处理工艺的论证，考虑到分期实施，耐冲击负荷强，本评价初步推荐改良型SBR工艺。</w:t>
      </w:r>
    </w:p>
    <w:p>
      <w:pPr>
        <w:autoSpaceDE w:val="0"/>
        <w:autoSpaceDN w:val="0"/>
        <w:spacing w:line="360" w:lineRule="auto"/>
        <w:ind w:firstLine="480" w:firstLineChars="200"/>
        <w:rPr>
          <w:sz w:val="24"/>
        </w:rPr>
      </w:pPr>
      <w:r>
        <w:rPr>
          <w:rFonts w:hint="eastAsia"/>
          <w:sz w:val="24"/>
        </w:rPr>
        <w:t>建议工业区自建污水处理厂尾水处理达到《城镇污水处理厂污染物排放标准》（GB18918-2002）一级B标准后，应进一步在工业区</w:t>
      </w:r>
      <w:r>
        <w:rPr>
          <w:sz w:val="24"/>
        </w:rPr>
        <w:t>给排水</w:t>
      </w:r>
      <w:r>
        <w:rPr>
          <w:rFonts w:hint="eastAsia"/>
          <w:sz w:val="24"/>
        </w:rPr>
        <w:t>专项</w:t>
      </w:r>
      <w:r>
        <w:rPr>
          <w:sz w:val="24"/>
        </w:rPr>
        <w:t>规划</w:t>
      </w:r>
      <w:r>
        <w:rPr>
          <w:rFonts w:hint="eastAsia"/>
          <w:sz w:val="24"/>
        </w:rPr>
        <w:t>中对污水处理厂处理工艺专题论证基础上，对远期园区污水处理厂提出中水回用要求，提高脱氮除磷的深度处理效果，严格达到园区生活和工业回用水标准，从而确保区域水质达标和中华鲟省级自然保护区水质安全。</w:t>
      </w:r>
    </w:p>
    <w:p>
      <w:pPr>
        <w:autoSpaceDE w:val="0"/>
        <w:autoSpaceDN w:val="0"/>
        <w:spacing w:line="360" w:lineRule="auto"/>
        <w:ind w:firstLine="480" w:firstLineChars="200"/>
        <w:rPr>
          <w:sz w:val="24"/>
        </w:rPr>
      </w:pPr>
      <w:r>
        <w:rPr>
          <w:rFonts w:hint="eastAsia"/>
          <w:sz w:val="24"/>
        </w:rPr>
        <w:t>参照《综合类工业区标准HJ274-2009》，建议园区远期污水处理厂中水回用率建议设定为大于25%。</w:t>
      </w:r>
    </w:p>
    <w:p>
      <w:pPr>
        <w:autoSpaceDE w:val="0"/>
        <w:autoSpaceDN w:val="0"/>
        <w:spacing w:line="360" w:lineRule="auto"/>
        <w:ind w:firstLine="480" w:firstLineChars="200"/>
        <w:rPr>
          <w:sz w:val="24"/>
        </w:rPr>
      </w:pPr>
      <w:r>
        <w:rPr>
          <w:rFonts w:hint="eastAsia"/>
          <w:sz w:val="24"/>
        </w:rPr>
        <w:t>3）工业区废水进入污水处理厂的接管标准建议</w:t>
      </w:r>
    </w:p>
    <w:p>
      <w:pPr>
        <w:autoSpaceDE w:val="0"/>
        <w:autoSpaceDN w:val="0"/>
        <w:spacing w:line="360" w:lineRule="auto"/>
        <w:ind w:firstLine="480" w:firstLineChars="200"/>
        <w:rPr>
          <w:sz w:val="24"/>
        </w:rPr>
      </w:pPr>
      <w:r>
        <w:rPr>
          <w:rFonts w:hint="eastAsia"/>
          <w:sz w:val="24"/>
        </w:rPr>
        <w:t>污水接纳基本原则：</w:t>
      </w:r>
    </w:p>
    <w:p>
      <w:pPr>
        <w:autoSpaceDE w:val="0"/>
        <w:autoSpaceDN w:val="0"/>
        <w:spacing w:line="360" w:lineRule="auto"/>
        <w:ind w:firstLine="480" w:firstLineChars="200"/>
        <w:rPr>
          <w:sz w:val="24"/>
        </w:rPr>
      </w:pPr>
      <w:r>
        <w:rPr>
          <w:rFonts w:hint="eastAsia"/>
          <w:sz w:val="24"/>
        </w:rPr>
        <w:t>①严格控制含重金属废水排放，废水必须在车间出口达到《污水综合排放标准》（GB8978-1996）一类污染物浓度标准限制后接入污水处理厂管道；</w:t>
      </w:r>
    </w:p>
    <w:p>
      <w:pPr>
        <w:autoSpaceDE w:val="0"/>
        <w:autoSpaceDN w:val="0"/>
        <w:spacing w:line="360" w:lineRule="auto"/>
        <w:ind w:firstLine="480" w:firstLineChars="200"/>
        <w:rPr>
          <w:sz w:val="24"/>
        </w:rPr>
      </w:pPr>
      <w:r>
        <w:rPr>
          <w:rFonts w:hint="eastAsia"/>
          <w:sz w:val="24"/>
        </w:rPr>
        <w:t>②含有特殊污染物的废水如含高浓度盐分和其他可能抑制、影响生化处理效果的废水需要进行严格预处理，否则不得接入。</w:t>
      </w:r>
    </w:p>
    <w:p>
      <w:pPr>
        <w:autoSpaceDE w:val="0"/>
        <w:autoSpaceDN w:val="0"/>
        <w:spacing w:line="360" w:lineRule="auto"/>
        <w:ind w:firstLine="480" w:firstLineChars="200"/>
        <w:rPr>
          <w:sz w:val="24"/>
        </w:rPr>
      </w:pPr>
      <w:r>
        <w:rPr>
          <w:rFonts w:hint="eastAsia"/>
          <w:sz w:val="24"/>
        </w:rPr>
        <w:t>③生产废液按“固体废物”处置，严禁混入废水稀释排入污水管网。</w:t>
      </w:r>
    </w:p>
    <w:p>
      <w:pPr>
        <w:autoSpaceDE w:val="0"/>
        <w:autoSpaceDN w:val="0"/>
        <w:spacing w:line="360" w:lineRule="auto"/>
        <w:ind w:firstLine="480" w:firstLineChars="200"/>
        <w:rPr>
          <w:rFonts w:hAnsi="宋体"/>
          <w:sz w:val="24"/>
        </w:rPr>
      </w:pPr>
      <w:r>
        <w:rPr>
          <w:rFonts w:hint="eastAsia" w:hAnsi="宋体"/>
          <w:sz w:val="24"/>
        </w:rPr>
        <w:t xml:space="preserve"> 4）园区企业内部废水管理</w:t>
      </w:r>
    </w:p>
    <w:p>
      <w:pPr>
        <w:autoSpaceDE w:val="0"/>
        <w:autoSpaceDN w:val="0"/>
        <w:spacing w:line="360" w:lineRule="auto"/>
        <w:ind w:firstLine="480" w:firstLineChars="200"/>
        <w:rPr>
          <w:sz w:val="24"/>
        </w:rPr>
      </w:pPr>
      <w:r>
        <w:rPr>
          <w:rFonts w:hint="eastAsia"/>
          <w:sz w:val="24"/>
        </w:rPr>
        <w:t>①</w:t>
      </w:r>
      <w:r>
        <w:rPr>
          <w:rFonts w:hAnsi="宋体"/>
          <w:sz w:val="24"/>
        </w:rPr>
        <w:t>废水预处理</w:t>
      </w:r>
    </w:p>
    <w:p>
      <w:pPr>
        <w:autoSpaceDE w:val="0"/>
        <w:autoSpaceDN w:val="0"/>
        <w:spacing w:line="360" w:lineRule="auto"/>
        <w:ind w:firstLine="480" w:firstLineChars="200"/>
        <w:rPr>
          <w:rFonts w:hAnsi="宋体"/>
          <w:sz w:val="24"/>
        </w:rPr>
      </w:pPr>
      <w:r>
        <w:rPr>
          <w:rFonts w:hAnsi="宋体"/>
          <w:sz w:val="24"/>
        </w:rPr>
        <w:t>严格控制各企业废水达到污水处理厂的接管标准，各类行业污水预处理选择切实可行的治理方案，对含有害有毒污染物的废水应从严控制接管标准，经环保主管部门审查同意后方可实施。</w:t>
      </w:r>
    </w:p>
    <w:p>
      <w:pPr>
        <w:autoSpaceDE w:val="0"/>
        <w:autoSpaceDN w:val="0"/>
        <w:spacing w:line="360" w:lineRule="auto"/>
        <w:ind w:firstLine="480" w:firstLineChars="200"/>
        <w:rPr>
          <w:rFonts w:hAnsi="宋体"/>
          <w:sz w:val="24"/>
        </w:rPr>
      </w:pPr>
      <w:r>
        <w:rPr>
          <w:rFonts w:hint="eastAsia"/>
          <w:sz w:val="24"/>
        </w:rPr>
        <w:t>②</w:t>
      </w:r>
      <w:r>
        <w:rPr>
          <w:rFonts w:hint="eastAsia" w:hAnsi="宋体"/>
          <w:sz w:val="24"/>
        </w:rPr>
        <w:t>工业企业入园必须严格准入条件，入园企业必须满足以下要求：“</w:t>
      </w:r>
      <w:r>
        <w:rPr>
          <w:rFonts w:hAnsi="宋体"/>
          <w:sz w:val="24"/>
        </w:rPr>
        <w:t>单位工业增加值新鲜水耗低于9 m</w:t>
      </w:r>
      <w:r>
        <w:rPr>
          <w:rFonts w:hAnsi="宋体"/>
          <w:sz w:val="24"/>
          <w:vertAlign w:val="superscript"/>
        </w:rPr>
        <w:t>3</w:t>
      </w:r>
      <w:r>
        <w:rPr>
          <w:rFonts w:hAnsi="宋体"/>
          <w:sz w:val="24"/>
        </w:rPr>
        <w:t>/万元</w:t>
      </w:r>
      <w:r>
        <w:rPr>
          <w:rFonts w:hint="eastAsia" w:hAnsi="宋体"/>
          <w:sz w:val="24"/>
        </w:rPr>
        <w:t>”、“</w:t>
      </w:r>
      <w:r>
        <w:rPr>
          <w:rFonts w:hAnsi="宋体"/>
          <w:sz w:val="24"/>
        </w:rPr>
        <w:t xml:space="preserve"> 单位工业增加值废水产生量，低于8 t/万元</w:t>
      </w:r>
      <w:r>
        <w:rPr>
          <w:rFonts w:hint="eastAsia" w:hAnsi="宋体"/>
          <w:sz w:val="24"/>
        </w:rPr>
        <w:t>”、“</w:t>
      </w:r>
      <w:r>
        <w:rPr>
          <w:rFonts w:hAnsi="宋体"/>
          <w:sz w:val="24"/>
        </w:rPr>
        <w:t>工业用水重复利用率不低于75%</w:t>
      </w:r>
      <w:r>
        <w:rPr>
          <w:rFonts w:hint="eastAsia" w:hAnsi="宋体"/>
          <w:sz w:val="24"/>
        </w:rPr>
        <w:t>”、“</w:t>
      </w:r>
      <w:r>
        <w:rPr>
          <w:rFonts w:hAnsi="宋体"/>
          <w:sz w:val="24"/>
        </w:rPr>
        <w:t>单位工业增加值COD 排放量低于1kg/万元</w:t>
      </w:r>
      <w:r>
        <w:rPr>
          <w:rFonts w:hint="eastAsia" w:hAnsi="宋体"/>
          <w:sz w:val="24"/>
        </w:rPr>
        <w:t>”。</w:t>
      </w:r>
    </w:p>
    <w:p>
      <w:pPr>
        <w:autoSpaceDE w:val="0"/>
        <w:autoSpaceDN w:val="0"/>
        <w:spacing w:line="360" w:lineRule="auto"/>
        <w:ind w:firstLine="480" w:firstLineChars="200"/>
        <w:rPr>
          <w:rFonts w:hAnsi="宋体"/>
          <w:sz w:val="24"/>
        </w:rPr>
      </w:pPr>
      <w:r>
        <w:rPr>
          <w:rFonts w:hint="eastAsia"/>
          <w:sz w:val="24"/>
        </w:rPr>
        <w:t>③</w:t>
      </w:r>
      <w:r>
        <w:rPr>
          <w:rFonts w:hAnsi="宋体"/>
          <w:sz w:val="24"/>
        </w:rPr>
        <w:t>近期在</w:t>
      </w:r>
      <w:r>
        <w:rPr>
          <w:rFonts w:hint="eastAsia" w:hAnsi="宋体"/>
          <w:sz w:val="24"/>
        </w:rPr>
        <w:t>工业</w:t>
      </w:r>
      <w:r>
        <w:rPr>
          <w:rFonts w:hAnsi="宋体"/>
          <w:sz w:val="24"/>
        </w:rPr>
        <w:t>区污水处理厂尚未</w:t>
      </w:r>
      <w:r>
        <w:rPr>
          <w:rFonts w:hint="eastAsia" w:hAnsi="宋体"/>
          <w:sz w:val="24"/>
        </w:rPr>
        <w:t>建成前</w:t>
      </w:r>
      <w:r>
        <w:rPr>
          <w:rFonts w:hAnsi="宋体"/>
          <w:sz w:val="24"/>
        </w:rPr>
        <w:t>，入区的全部企业产生的污水应在厂内处理达到</w:t>
      </w:r>
      <w:r>
        <w:rPr>
          <w:rFonts w:hint="eastAsia" w:hAnsi="宋体"/>
          <w:sz w:val="24"/>
        </w:rPr>
        <w:t>《城镇污水处理厂污染物排放标准》一级B排放标准</w:t>
      </w:r>
      <w:r>
        <w:rPr>
          <w:rFonts w:hAnsi="宋体"/>
          <w:sz w:val="24"/>
        </w:rPr>
        <w:t>，</w:t>
      </w:r>
      <w:r>
        <w:rPr>
          <w:rFonts w:hint="eastAsia" w:hAnsi="宋体"/>
          <w:sz w:val="24"/>
        </w:rPr>
        <w:t>由拟建</w:t>
      </w:r>
      <w:r>
        <w:rPr>
          <w:rFonts w:hAnsi="宋体"/>
          <w:sz w:val="24"/>
        </w:rPr>
        <w:t>污水处理厂</w:t>
      </w:r>
      <w:r>
        <w:rPr>
          <w:rFonts w:hint="eastAsia" w:hAnsi="宋体"/>
          <w:sz w:val="24"/>
        </w:rPr>
        <w:t>所规划的排污口</w:t>
      </w:r>
      <w:r>
        <w:rPr>
          <w:rFonts w:hAnsi="宋体"/>
          <w:sz w:val="24"/>
        </w:rPr>
        <w:t>统一排放。</w:t>
      </w:r>
    </w:p>
    <w:p>
      <w:pPr>
        <w:autoSpaceDE w:val="0"/>
        <w:autoSpaceDN w:val="0"/>
        <w:spacing w:line="360" w:lineRule="auto"/>
        <w:ind w:firstLine="480" w:firstLineChars="200"/>
        <w:rPr>
          <w:sz w:val="24"/>
        </w:rPr>
      </w:pPr>
      <w:r>
        <w:rPr>
          <w:rFonts w:hAnsi="宋体"/>
          <w:sz w:val="24"/>
        </w:rPr>
        <w:fldChar w:fldCharType="begin"/>
      </w:r>
      <w:r>
        <w:rPr>
          <w:rFonts w:hAnsi="宋体"/>
          <w:sz w:val="24"/>
        </w:rPr>
        <w:instrText xml:space="preserve"> </w:instrText>
      </w:r>
      <w:r>
        <w:rPr>
          <w:rFonts w:hint="eastAsia" w:hAnsi="宋体"/>
          <w:sz w:val="24"/>
        </w:rPr>
        <w:instrText xml:space="preserve">eq \o\ac(○,</w:instrText>
      </w:r>
      <w:r>
        <w:rPr>
          <w:rFonts w:hint="eastAsia" w:ascii="宋体" w:hAnsi="宋体"/>
          <w:position w:val="3"/>
          <w:sz w:val="24"/>
        </w:rPr>
        <w:instrText xml:space="preserve">4</w:instrText>
      </w:r>
      <w:r>
        <w:rPr>
          <w:rFonts w:hint="eastAsia" w:hAnsi="宋体"/>
          <w:sz w:val="24"/>
        </w:rPr>
        <w:instrText xml:space="preserve">)</w:instrText>
      </w:r>
      <w:r>
        <w:rPr>
          <w:rFonts w:hAnsi="宋体"/>
          <w:sz w:val="24"/>
        </w:rPr>
        <w:fldChar w:fldCharType="end"/>
      </w:r>
      <w:r>
        <w:rPr>
          <w:rFonts w:hAnsi="宋体"/>
          <w:sz w:val="24"/>
        </w:rPr>
        <w:t>园区内不设单个企业污水排放口，所有企业废水通过污水管网排入污水处理厂统一处理后达标排放。区内个别企业自行处理达标排放的废水，也应送到污水处理厂的排放口排放，不得自行设置排污口，企业排放口设置环境保护图形标志，安装流量计，留有采样监测的位置。</w:t>
      </w:r>
    </w:p>
    <w:p>
      <w:pPr>
        <w:autoSpaceDE w:val="0"/>
        <w:autoSpaceDN w:val="0"/>
        <w:spacing w:line="360" w:lineRule="auto"/>
        <w:ind w:firstLine="480" w:firstLineChars="200"/>
        <w:rPr>
          <w:sz w:val="24"/>
        </w:rPr>
      </w:pPr>
      <w:r>
        <w:rPr>
          <w:rFonts w:hAnsi="宋体"/>
          <w:sz w:val="24"/>
        </w:rPr>
        <w:fldChar w:fldCharType="begin"/>
      </w:r>
      <w:r>
        <w:rPr>
          <w:rFonts w:hAnsi="宋体"/>
          <w:sz w:val="24"/>
        </w:rPr>
        <w:instrText xml:space="preserve"> </w:instrText>
      </w:r>
      <w:r>
        <w:rPr>
          <w:rFonts w:hint="eastAsia" w:hAnsi="宋体"/>
          <w:sz w:val="24"/>
        </w:rPr>
        <w:instrText xml:space="preserve">eq \o\ac(○,</w:instrText>
      </w:r>
      <w:r>
        <w:rPr>
          <w:rFonts w:hint="eastAsia" w:ascii="宋体" w:hAnsi="宋体"/>
          <w:position w:val="3"/>
          <w:sz w:val="24"/>
        </w:rPr>
        <w:instrText xml:space="preserve">5</w:instrText>
      </w:r>
      <w:r>
        <w:rPr>
          <w:rFonts w:hint="eastAsia" w:hAnsi="宋体"/>
          <w:sz w:val="24"/>
        </w:rPr>
        <w:instrText xml:space="preserve">)</w:instrText>
      </w:r>
      <w:r>
        <w:rPr>
          <w:rFonts w:hAnsi="宋体"/>
          <w:sz w:val="24"/>
        </w:rPr>
        <w:fldChar w:fldCharType="end"/>
      </w:r>
      <w:r>
        <w:rPr>
          <w:rFonts w:hAnsi="宋体"/>
          <w:sz w:val="24"/>
        </w:rPr>
        <w:t>工业</w:t>
      </w:r>
      <w:r>
        <w:rPr>
          <w:rFonts w:hint="eastAsia" w:hAnsi="宋体"/>
          <w:sz w:val="24"/>
        </w:rPr>
        <w:t>区</w:t>
      </w:r>
      <w:r>
        <w:rPr>
          <w:rFonts w:hAnsi="宋体"/>
          <w:sz w:val="24"/>
        </w:rPr>
        <w:t>内各工业企业的排水必须实行雨污分流、清污分流，危险品等仓储区和污染严重的区域的初期雨水接入污水管网，实施集中处理</w:t>
      </w:r>
      <w:r>
        <w:rPr>
          <w:rFonts w:hint="eastAsia" w:hAnsi="宋体"/>
          <w:sz w:val="24"/>
        </w:rPr>
        <w:t>，必须建设容积可续的事故池，</w:t>
      </w:r>
      <w:r>
        <w:rPr>
          <w:rFonts w:hAnsi="宋体"/>
          <w:sz w:val="24"/>
        </w:rPr>
        <w:t>严禁高浓度废水稀释排放</w:t>
      </w:r>
      <w:r>
        <w:rPr>
          <w:rFonts w:hint="eastAsia" w:hAnsi="宋体"/>
          <w:sz w:val="24"/>
        </w:rPr>
        <w:t>，</w:t>
      </w:r>
      <w:r>
        <w:rPr>
          <w:rFonts w:hAnsi="宋体"/>
          <w:sz w:val="24"/>
        </w:rPr>
        <w:t>杜绝因工业废水事故排放对污水处理厂的影响。</w:t>
      </w:r>
    </w:p>
    <w:p>
      <w:pPr>
        <w:autoSpaceDE w:val="0"/>
        <w:autoSpaceDN w:val="0"/>
        <w:spacing w:line="360" w:lineRule="auto"/>
        <w:ind w:firstLine="480" w:firstLineChars="200"/>
        <w:rPr>
          <w:sz w:val="24"/>
        </w:rPr>
      </w:pPr>
      <w:r>
        <w:rPr>
          <w:rFonts w:hAnsi="宋体"/>
          <w:sz w:val="24"/>
        </w:rPr>
        <w:fldChar w:fldCharType="begin"/>
      </w:r>
      <w:r>
        <w:rPr>
          <w:rFonts w:hAnsi="宋体"/>
          <w:sz w:val="24"/>
        </w:rPr>
        <w:instrText xml:space="preserve"> </w:instrText>
      </w:r>
      <w:r>
        <w:rPr>
          <w:rFonts w:hint="eastAsia" w:hAnsi="宋体"/>
          <w:sz w:val="24"/>
        </w:rPr>
        <w:instrText xml:space="preserve">eq \o\ac(○,</w:instrText>
      </w:r>
      <w:r>
        <w:rPr>
          <w:rFonts w:hint="eastAsia" w:ascii="宋体" w:hAnsi="宋体"/>
          <w:position w:val="3"/>
          <w:sz w:val="24"/>
        </w:rPr>
        <w:instrText xml:space="preserve">6</w:instrText>
      </w:r>
      <w:r>
        <w:rPr>
          <w:rFonts w:hint="eastAsia" w:hAnsi="宋体"/>
          <w:sz w:val="24"/>
        </w:rPr>
        <w:instrText xml:space="preserve">)</w:instrText>
      </w:r>
      <w:r>
        <w:rPr>
          <w:rFonts w:hAnsi="宋体"/>
          <w:sz w:val="24"/>
        </w:rPr>
        <w:fldChar w:fldCharType="end"/>
      </w:r>
      <w:r>
        <w:rPr>
          <w:rFonts w:hAnsi="宋体"/>
          <w:sz w:val="24"/>
        </w:rPr>
        <w:t>园区所有废水排放重点企业</w:t>
      </w:r>
      <w:r>
        <w:rPr>
          <w:rFonts w:hint="eastAsia" w:hAnsi="宋体"/>
          <w:sz w:val="24"/>
        </w:rPr>
        <w:t>（尤其是化工企业）</w:t>
      </w:r>
      <w:r>
        <w:rPr>
          <w:rFonts w:hAnsi="宋体"/>
          <w:sz w:val="24"/>
        </w:rPr>
        <w:t>均需安装在线监控装置，同时园区内应设置在线监控中心，对所有废水排放重点企业严格监控管理，</w:t>
      </w:r>
      <w:r>
        <w:rPr>
          <w:rFonts w:hint="eastAsia"/>
          <w:bCs/>
          <w:sz w:val="24"/>
        </w:rPr>
        <w:t>废水污染重点企业在线监控率要达到100%，</w:t>
      </w:r>
      <w:r>
        <w:rPr>
          <w:rFonts w:hAnsi="宋体"/>
          <w:sz w:val="24"/>
        </w:rPr>
        <w:t>对于超标排污，及时预防、处理，提高园区应急反映能力。</w:t>
      </w:r>
    </w:p>
    <w:p>
      <w:pPr>
        <w:autoSpaceDE w:val="0"/>
        <w:autoSpaceDN w:val="0"/>
        <w:spacing w:line="360" w:lineRule="auto"/>
        <w:ind w:firstLine="480" w:firstLineChars="200"/>
        <w:rPr>
          <w:bCs/>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24"/>
        </w:rPr>
        <w:instrText xml:space="preserve">7</w:instrText>
      </w:r>
      <w:r>
        <w:rPr>
          <w:rFonts w:hint="eastAsia"/>
          <w:sz w:val="24"/>
        </w:rPr>
        <w:instrText xml:space="preserve">)</w:instrText>
      </w:r>
      <w:r>
        <w:rPr>
          <w:sz w:val="24"/>
        </w:rPr>
        <w:fldChar w:fldCharType="end"/>
      </w:r>
      <w:r>
        <w:rPr>
          <w:rFonts w:eastAsia="新宋体"/>
          <w:sz w:val="24"/>
        </w:rPr>
        <w:t>工业区水污染物排放实行总量控制</w:t>
      </w:r>
      <w:r>
        <w:rPr>
          <w:bCs/>
          <w:sz w:val="24"/>
        </w:rPr>
        <w:t>，其总量指标纳入</w:t>
      </w:r>
      <w:r>
        <w:rPr>
          <w:rFonts w:hint="eastAsia"/>
          <w:bCs/>
          <w:sz w:val="24"/>
        </w:rPr>
        <w:t>宜昌市</w:t>
      </w:r>
      <w:r>
        <w:rPr>
          <w:bCs/>
          <w:sz w:val="24"/>
        </w:rPr>
        <w:t>污染物总量控制指标进行统一管理。</w:t>
      </w:r>
    </w:p>
    <w:p>
      <w:pPr>
        <w:autoSpaceDE w:val="0"/>
        <w:autoSpaceDN w:val="0"/>
        <w:spacing w:line="360" w:lineRule="auto"/>
        <w:ind w:firstLine="480" w:firstLineChars="200"/>
        <w:rPr>
          <w:sz w:val="24"/>
        </w:rPr>
      </w:pPr>
      <w:r>
        <w:rPr>
          <w:rFonts w:hint="eastAsia"/>
          <w:sz w:val="24"/>
        </w:rPr>
        <w:t>(3)加强流域综合治理</w:t>
      </w:r>
    </w:p>
    <w:p>
      <w:pPr>
        <w:pStyle w:val="4"/>
        <w:spacing w:line="360" w:lineRule="auto"/>
        <w:ind w:firstLine="480"/>
        <w:rPr>
          <w:color w:val="0000FF"/>
          <w:sz w:val="24"/>
        </w:rPr>
      </w:pPr>
      <w:r>
        <w:rPr>
          <w:rFonts w:hint="eastAsia" w:eastAsia="新宋体"/>
          <w:sz w:val="24"/>
        </w:rPr>
        <w:t>由于</w:t>
      </w:r>
      <w:r>
        <w:rPr>
          <w:rFonts w:eastAsia="新宋体"/>
          <w:sz w:val="24"/>
        </w:rPr>
        <w:t>受到</w:t>
      </w:r>
      <w:r>
        <w:rPr>
          <w:rFonts w:hint="eastAsia" w:eastAsia="新宋体"/>
          <w:sz w:val="24"/>
        </w:rPr>
        <w:t>上游宜昌经济开发区猇亭园区工业、</w:t>
      </w:r>
      <w:r>
        <w:rPr>
          <w:rFonts w:eastAsia="新宋体"/>
          <w:sz w:val="24"/>
        </w:rPr>
        <w:t>生活</w:t>
      </w:r>
      <w:r>
        <w:rPr>
          <w:rFonts w:hint="eastAsia" w:eastAsia="新宋体"/>
          <w:sz w:val="24"/>
        </w:rPr>
        <w:t>和</w:t>
      </w:r>
      <w:r>
        <w:rPr>
          <w:rFonts w:eastAsia="新宋体"/>
          <w:sz w:val="24"/>
        </w:rPr>
        <w:t>农业面源</w:t>
      </w:r>
      <w:r>
        <w:rPr>
          <w:rFonts w:hint="eastAsia" w:eastAsia="新宋体"/>
          <w:sz w:val="24"/>
        </w:rPr>
        <w:t>等影响，长江工业区入境断面水质总体偏高；同时受上游枝江市安福寺工业园废水以及沿河污染源影响，区域主要地表水玛瑙河上下游断面已分别超过相应Ⅲ类和Ⅳ类功能区标准限值。因此，</w:t>
      </w:r>
      <w:r>
        <w:rPr>
          <w:rFonts w:hint="eastAsia"/>
          <w:sz w:val="24"/>
        </w:rPr>
        <w:t>因此在严格园区水污染防治工作的同时，必须加强长江上游城区段及玛瑙河流域的综合治理力度。</w:t>
      </w:r>
    </w:p>
    <w:p>
      <w:pPr>
        <w:spacing w:line="360" w:lineRule="auto"/>
        <w:ind w:firstLine="480" w:firstLineChars="200"/>
        <w:rPr>
          <w:sz w:val="24"/>
        </w:rPr>
        <w:sectPr>
          <w:headerReference r:id="rId15" w:type="default"/>
          <w:pgSz w:w="11906" w:h="16838"/>
          <w:pgMar w:top="1440" w:right="1274" w:bottom="1440" w:left="1800" w:header="851" w:footer="992" w:gutter="0"/>
          <w:cols w:space="425" w:num="1"/>
          <w:docGrid w:type="lines" w:linePitch="312" w:charSpace="0"/>
        </w:sectPr>
      </w:pPr>
    </w:p>
    <w:p>
      <w:pPr>
        <w:pStyle w:val="2"/>
        <w:tabs>
          <w:tab w:val="left" w:pos="2520"/>
          <w:tab w:val="clear" w:pos="6231"/>
        </w:tabs>
        <w:spacing w:before="360" w:beforeLines="150" w:after="360" w:afterLines="150" w:line="360" w:lineRule="auto"/>
        <w:ind w:left="2881" w:hanging="2342"/>
      </w:pPr>
      <w:bookmarkStart w:id="255" w:name="_Toc442195765"/>
      <w:bookmarkStart w:id="256" w:name="_Toc428863997"/>
      <w:r>
        <w:rPr>
          <w:rFonts w:hint="eastAsia"/>
        </w:rPr>
        <w:t>信息公开与公众参与</w:t>
      </w:r>
      <w:bookmarkEnd w:id="255"/>
      <w:bookmarkEnd w:id="256"/>
    </w:p>
    <w:p>
      <w:pPr>
        <w:pStyle w:val="4"/>
        <w:spacing w:line="360" w:lineRule="auto"/>
        <w:ind w:firstLine="480"/>
        <w:rPr>
          <w:sz w:val="24"/>
        </w:rPr>
      </w:pPr>
      <w:r>
        <w:rPr>
          <w:rFonts w:hint="eastAsia"/>
          <w:sz w:val="24"/>
        </w:rPr>
        <w:t>公众参与是工程建设项目环境影响评价工作的重要组成部分，是项目建设单位、评价单位与人民群众之间的一种双向交流。通过公众参与，可以真正了解公众所关心的环境问题，使建设项目的环境评价工作更加公开化，结论更切合实际，确保建设项目实现其预期社会经济效益。</w:t>
      </w:r>
    </w:p>
    <w:p>
      <w:pPr>
        <w:pStyle w:val="3"/>
        <w:tabs>
          <w:tab w:val="clear" w:pos="3695"/>
        </w:tabs>
        <w:spacing w:before="120" w:after="120"/>
        <w:ind w:left="567"/>
      </w:pPr>
      <w:bookmarkStart w:id="257" w:name="_Toc442195766"/>
      <w:bookmarkStart w:id="258" w:name="_Toc428863998"/>
      <w:r>
        <w:rPr>
          <w:rFonts w:hint="eastAsia"/>
        </w:rPr>
        <w:t>公众参与的目的和意义</w:t>
      </w:r>
      <w:bookmarkEnd w:id="257"/>
      <w:bookmarkEnd w:id="258"/>
    </w:p>
    <w:p>
      <w:pPr>
        <w:pStyle w:val="4"/>
        <w:spacing w:line="360" w:lineRule="auto"/>
        <w:ind w:firstLine="480"/>
        <w:rPr>
          <w:sz w:val="24"/>
        </w:rPr>
      </w:pPr>
      <w:r>
        <w:rPr>
          <w:sz w:val="24"/>
        </w:rPr>
        <w:t>（1）让公众了解项目建设的目的、规模、建设地点及项目建设过程中、建成后可能对</w:t>
      </w:r>
      <w:r>
        <w:rPr>
          <w:rFonts w:hint="eastAsia"/>
          <w:sz w:val="24"/>
        </w:rPr>
        <w:t>区域</w:t>
      </w:r>
      <w:r>
        <w:rPr>
          <w:sz w:val="24"/>
        </w:rPr>
        <w:t>带来的各方面的影响及拟采取对策和措施，让公众对其发表意见，以取得公众的理解、支持和合作；</w:t>
      </w:r>
    </w:p>
    <w:p>
      <w:pPr>
        <w:pStyle w:val="4"/>
        <w:spacing w:line="360" w:lineRule="auto"/>
        <w:ind w:firstLine="480"/>
        <w:rPr>
          <w:sz w:val="24"/>
        </w:rPr>
      </w:pPr>
      <w:r>
        <w:rPr>
          <w:sz w:val="24"/>
        </w:rPr>
        <w:t>（2）通过当地人对长期居住、生活环境的亲身体验和直观感受的征询结果，可帮助分析该地区污染环境特征和各环境要素的现状质量水平，以反映环评的客观程度，保护公众的切身利益；</w:t>
      </w:r>
    </w:p>
    <w:p>
      <w:pPr>
        <w:pStyle w:val="4"/>
        <w:spacing w:line="360" w:lineRule="auto"/>
        <w:ind w:firstLine="480"/>
        <w:rPr>
          <w:sz w:val="24"/>
        </w:rPr>
      </w:pPr>
      <w:r>
        <w:rPr>
          <w:sz w:val="24"/>
        </w:rPr>
        <w:t>（3）公众对环境影响评价所涉及到的自然生态、经济发展、生活物资价值等资源较为熟悉，用公众参与的形式，邀请他们参与环境资源保护措施的确认，了解他们的要求，可使本评价提出的各项环保措施更加切实可行，更加有效；</w:t>
      </w:r>
    </w:p>
    <w:p>
      <w:pPr>
        <w:pStyle w:val="4"/>
        <w:spacing w:line="360" w:lineRule="auto"/>
        <w:ind w:firstLine="480"/>
        <w:rPr>
          <w:sz w:val="24"/>
        </w:rPr>
      </w:pPr>
      <w:r>
        <w:rPr>
          <w:sz w:val="24"/>
        </w:rPr>
        <w:t>（4）使公众有机</w:t>
      </w:r>
      <w:r>
        <w:rPr>
          <w:rFonts w:hint="eastAsia"/>
          <w:sz w:val="24"/>
        </w:rPr>
        <w:t>会参与决策项目的建设可行性与否。</w:t>
      </w:r>
    </w:p>
    <w:p>
      <w:pPr>
        <w:pStyle w:val="3"/>
        <w:tabs>
          <w:tab w:val="clear" w:pos="3695"/>
        </w:tabs>
        <w:spacing w:before="120" w:after="120"/>
        <w:ind w:left="567"/>
      </w:pPr>
      <w:bookmarkStart w:id="259" w:name="_Toc428863999"/>
      <w:bookmarkStart w:id="260" w:name="_Toc442195767"/>
      <w:r>
        <w:rPr>
          <w:rFonts w:hint="eastAsia"/>
        </w:rPr>
        <w:t>公众参与</w:t>
      </w:r>
      <w:bookmarkEnd w:id="259"/>
      <w:r>
        <w:rPr>
          <w:rFonts w:hint="eastAsia"/>
        </w:rPr>
        <w:t>方法与调查范围</w:t>
      </w:r>
      <w:bookmarkEnd w:id="260"/>
    </w:p>
    <w:p>
      <w:pPr>
        <w:pStyle w:val="4"/>
        <w:spacing w:line="360" w:lineRule="auto"/>
        <w:ind w:firstLine="480"/>
        <w:rPr>
          <w:sz w:val="24"/>
        </w:rPr>
      </w:pPr>
      <w:r>
        <w:rPr>
          <w:sz w:val="24"/>
        </w:rPr>
        <w:t>根据《中华人民共和国环境影响评价法》、《环境影响评价公众参与暂行办法》（环发［2006］28号）、世行</w:t>
      </w:r>
      <w:r>
        <w:rPr>
          <w:rFonts w:hint="eastAsia"/>
          <w:sz w:val="24"/>
        </w:rPr>
        <w:t>业务</w:t>
      </w:r>
      <w:r>
        <w:rPr>
          <w:sz w:val="24"/>
        </w:rPr>
        <w:t>政策OP4.01《环境评价》、世行</w:t>
      </w:r>
      <w:r>
        <w:rPr>
          <w:rFonts w:hint="eastAsia"/>
          <w:sz w:val="24"/>
        </w:rPr>
        <w:t>业务</w:t>
      </w:r>
      <w:r>
        <w:rPr>
          <w:sz w:val="24"/>
        </w:rPr>
        <w:t>政策BP17.05《公众参与》，主要调查世行三峡物流中心基础设施项目沿线地区。被调查人主要是所在地相关职能部门和群众团体，相关企事业单位、直接受影响的居民等。</w:t>
      </w:r>
    </w:p>
    <w:p>
      <w:pPr>
        <w:pStyle w:val="3"/>
        <w:tabs>
          <w:tab w:val="clear" w:pos="3695"/>
        </w:tabs>
        <w:spacing w:before="120" w:after="120"/>
        <w:ind w:left="567"/>
      </w:pPr>
      <w:bookmarkStart w:id="261" w:name="_Toc442195768"/>
      <w:r>
        <w:rPr>
          <w:rFonts w:hint="eastAsia"/>
        </w:rPr>
        <w:t>第一轮公众咨询</w:t>
      </w:r>
      <w:bookmarkEnd w:id="261"/>
    </w:p>
    <w:p>
      <w:pPr>
        <w:pStyle w:val="4"/>
        <w:spacing w:line="360" w:lineRule="auto"/>
        <w:ind w:firstLine="480"/>
        <w:rPr>
          <w:sz w:val="24"/>
        </w:rPr>
      </w:pPr>
      <w:r>
        <w:rPr>
          <w:rFonts w:hint="eastAsia"/>
          <w:sz w:val="24"/>
        </w:rPr>
        <w:t>根据原国家环保总局</w:t>
      </w:r>
      <w:r>
        <w:rPr>
          <w:sz w:val="24"/>
        </w:rPr>
        <w:t>《环境影响评价公众参与暂行办法》（环发［2006］28号）、世行</w:t>
      </w:r>
      <w:r>
        <w:rPr>
          <w:rFonts w:hint="eastAsia"/>
          <w:sz w:val="24"/>
        </w:rPr>
        <w:t>业务</w:t>
      </w:r>
      <w:r>
        <w:rPr>
          <w:sz w:val="24"/>
        </w:rPr>
        <w:t>政策OP4.01《环境评价》</w:t>
      </w:r>
      <w:r>
        <w:rPr>
          <w:rFonts w:hint="eastAsia"/>
          <w:sz w:val="24"/>
        </w:rPr>
        <w:t>和BP17.50《信息公开》等相关政策文件规定，环评单位接受业主委托后，应采用便于公众知悉的方式，向公众公开有关环境影响评价的信息。</w:t>
      </w:r>
    </w:p>
    <w:p>
      <w:pPr>
        <w:pStyle w:val="5"/>
        <w:tabs>
          <w:tab w:val="left" w:pos="709"/>
          <w:tab w:val="clear" w:pos="2138"/>
        </w:tabs>
        <w:spacing w:before="120" w:after="48"/>
        <w:ind w:left="0" w:firstLine="0"/>
      </w:pPr>
      <w:bookmarkStart w:id="262" w:name="_Toc442195769"/>
      <w:r>
        <w:rPr>
          <w:rFonts w:hint="eastAsia"/>
        </w:rPr>
        <w:t>信息公示</w:t>
      </w:r>
      <w:bookmarkEnd w:id="262"/>
    </w:p>
    <w:p>
      <w:pPr>
        <w:pStyle w:val="4"/>
        <w:spacing w:line="360" w:lineRule="auto"/>
      </w:pPr>
      <w:r>
        <w:rPr>
          <w:rFonts w:hint="eastAsia"/>
        </w:rPr>
        <w:t>（1）第一次网上公示</w:t>
      </w:r>
    </w:p>
    <w:p>
      <w:pPr>
        <w:pStyle w:val="4"/>
        <w:spacing w:line="360" w:lineRule="auto"/>
        <w:rPr>
          <w:sz w:val="24"/>
        </w:rPr>
      </w:pPr>
      <w:r>
        <w:t>我院在</w:t>
      </w:r>
      <w:r>
        <w:rPr>
          <w:rFonts w:hint="eastAsia"/>
        </w:rPr>
        <w:t>环评大纲</w:t>
      </w:r>
      <w:r>
        <w:t>编制完成后，于20</w:t>
      </w:r>
      <w:r>
        <w:rPr>
          <w:rFonts w:hint="eastAsia"/>
        </w:rPr>
        <w:t>15</w:t>
      </w:r>
      <w:r>
        <w:t>年</w:t>
      </w:r>
      <w:r>
        <w:rPr>
          <w:rFonts w:hint="eastAsia"/>
        </w:rPr>
        <w:t>11</w:t>
      </w:r>
      <w:r>
        <w:t>月</w:t>
      </w:r>
      <w:r>
        <w:rPr>
          <w:rFonts w:hint="eastAsia"/>
        </w:rPr>
        <w:t>3日</w:t>
      </w:r>
      <w:r>
        <w:t>在</w:t>
      </w:r>
      <w:r>
        <w:rPr>
          <w:rFonts w:hint="eastAsia"/>
        </w:rPr>
        <w:t>湖北省环境保护厅</w:t>
      </w:r>
      <w:r>
        <w:t>网站上</w:t>
      </w:r>
      <w:r>
        <w:rPr>
          <w:rFonts w:hint="eastAsia"/>
        </w:rPr>
        <w:t>对项目进行了</w:t>
      </w:r>
      <w:r>
        <w:t>进行了</w:t>
      </w:r>
      <w:r>
        <w:rPr>
          <w:rFonts w:hint="eastAsia"/>
        </w:rPr>
        <w:t>第一次</w:t>
      </w:r>
      <w:r>
        <w:t>公示（相关网页链接地址：</w:t>
      </w:r>
      <w:r>
        <w:rPr>
          <w:sz w:val="24"/>
        </w:rPr>
        <w:t>http://www.hbepb.gov.cn/wsbs/gsgg/hpgs/hpdwhp/201511/t20151110_81165.html</w:t>
      </w:r>
      <w:r>
        <w:t>）</w:t>
      </w:r>
      <w:r>
        <w:rPr>
          <w:rFonts w:hint="eastAsia"/>
        </w:rPr>
        <w:t>，向广大公众征集对项目及环境影响评价工作的意见和建议，见图7.5-1。</w:t>
      </w:r>
      <w:r>
        <w:t>公示期间未收到反馈意见。</w:t>
      </w:r>
    </w:p>
    <w:p>
      <w:pPr>
        <w:pStyle w:val="4"/>
        <w:spacing w:line="360" w:lineRule="auto"/>
        <w:ind w:firstLine="0" w:firstLineChars="0"/>
        <w:jc w:val="left"/>
      </w:pPr>
      <w:r>
        <w:drawing>
          <wp:inline distT="0" distB="0" distL="0" distR="0">
            <wp:extent cx="5600700" cy="3971925"/>
            <wp:effectExtent l="0" t="0" r="0" b="9525"/>
            <wp:docPr id="2" name="图片 2" descr="C:\Users\kouxueyong\Desktop\QQ图片20151207102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kouxueyong\Desktop\QQ图片20151207102940.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5600700" cy="3971925"/>
                    </a:xfrm>
                    <a:prstGeom prst="rect">
                      <a:avLst/>
                    </a:prstGeom>
                    <a:noFill/>
                    <a:ln>
                      <a:noFill/>
                    </a:ln>
                  </pic:spPr>
                </pic:pic>
              </a:graphicData>
            </a:graphic>
          </wp:inline>
        </w:drawing>
      </w:r>
    </w:p>
    <w:p>
      <w:pPr>
        <w:ind w:firstLine="420" w:firstLineChars="200"/>
        <w:jc w:val="center"/>
        <w:rPr>
          <w:rFonts w:eastAsia="黑体"/>
        </w:rPr>
      </w:pPr>
      <w:r>
        <w:rPr>
          <w:rFonts w:hint="eastAsia" w:eastAsia="黑体"/>
        </w:rPr>
        <w:t>图7.5-1  第一次网上公示</w:t>
      </w:r>
    </w:p>
    <w:p>
      <w:pPr>
        <w:pStyle w:val="4"/>
        <w:spacing w:line="360" w:lineRule="auto"/>
        <w:ind w:firstLine="480"/>
        <w:rPr>
          <w:sz w:val="24"/>
        </w:rPr>
      </w:pPr>
      <w:r>
        <w:rPr>
          <w:rFonts w:hint="eastAsia"/>
          <w:sz w:val="24"/>
        </w:rPr>
        <w:t>（2）现场信息公示</w:t>
      </w:r>
    </w:p>
    <w:p>
      <w:pPr>
        <w:pStyle w:val="4"/>
        <w:spacing w:line="360" w:lineRule="auto"/>
        <w:ind w:firstLine="480"/>
        <w:rPr>
          <w:sz w:val="24"/>
        </w:rPr>
      </w:pPr>
      <w:r>
        <w:rPr>
          <w:rFonts w:hint="eastAsia"/>
          <w:sz w:val="24"/>
        </w:rPr>
        <w:t>在进行网上公示的同时，在现场也对项目的基本情况、环境影响等进行了张贴。见图7.3-2。</w:t>
      </w:r>
    </w:p>
    <w:p>
      <w:pPr>
        <w:pStyle w:val="4"/>
        <w:spacing w:line="360" w:lineRule="auto"/>
        <w:rPr>
          <w:sz w:val="24"/>
        </w:rPr>
      </w:pPr>
      <w:r>
        <w:drawing>
          <wp:inline distT="0" distB="0" distL="0" distR="0">
            <wp:extent cx="5486400" cy="46513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1"/>
                    <a:stretch>
                      <a:fillRect/>
                    </a:stretch>
                  </pic:blipFill>
                  <pic:spPr>
                    <a:xfrm>
                      <a:off x="0" y="0"/>
                      <a:ext cx="5486400" cy="4651375"/>
                    </a:xfrm>
                    <a:prstGeom prst="rect">
                      <a:avLst/>
                    </a:prstGeom>
                  </pic:spPr>
                </pic:pic>
              </a:graphicData>
            </a:graphic>
          </wp:inline>
        </w:drawing>
      </w:r>
    </w:p>
    <w:p>
      <w:pPr>
        <w:pStyle w:val="4"/>
        <w:spacing w:line="360" w:lineRule="auto"/>
        <w:ind w:firstLine="480"/>
        <w:jc w:val="center"/>
        <w:rPr>
          <w:sz w:val="24"/>
        </w:rPr>
      </w:pPr>
      <w:r>
        <w:rPr>
          <w:rFonts w:hint="eastAsia"/>
          <w:sz w:val="24"/>
        </w:rPr>
        <w:t>图7.3-2现场公示</w:t>
      </w:r>
    </w:p>
    <w:p>
      <w:pPr>
        <w:pStyle w:val="5"/>
        <w:tabs>
          <w:tab w:val="left" w:pos="709"/>
          <w:tab w:val="clear" w:pos="2138"/>
        </w:tabs>
        <w:spacing w:before="120" w:after="48"/>
        <w:ind w:left="0" w:firstLine="0"/>
      </w:pPr>
      <w:bookmarkStart w:id="263" w:name="_Toc442195770"/>
      <w:r>
        <w:rPr>
          <w:rFonts w:hint="eastAsia"/>
        </w:rPr>
        <w:t>调查公众意见</w:t>
      </w:r>
      <w:bookmarkEnd w:id="263"/>
    </w:p>
    <w:p>
      <w:pPr>
        <w:pStyle w:val="4"/>
        <w:spacing w:line="360" w:lineRule="auto"/>
        <w:ind w:firstLine="480"/>
        <w:rPr>
          <w:sz w:val="24"/>
        </w:rPr>
      </w:pPr>
      <w:r>
        <w:rPr>
          <w:sz w:val="24"/>
        </w:rPr>
        <w:t>湖北省</w:t>
      </w:r>
      <w:r>
        <w:rPr>
          <w:rFonts w:hint="eastAsia"/>
          <w:sz w:val="24"/>
        </w:rPr>
        <w:t>安全</w:t>
      </w:r>
      <w:r>
        <w:rPr>
          <w:sz w:val="24"/>
        </w:rPr>
        <w:t>环境</w:t>
      </w:r>
      <w:r>
        <w:rPr>
          <w:rFonts w:hint="eastAsia"/>
          <w:sz w:val="24"/>
        </w:rPr>
        <w:t>技术</w:t>
      </w:r>
      <w:r>
        <w:rPr>
          <w:sz w:val="24"/>
        </w:rPr>
        <w:t>科学研究院</w:t>
      </w:r>
      <w:r>
        <w:rPr>
          <w:rFonts w:hint="eastAsia"/>
          <w:sz w:val="24"/>
        </w:rPr>
        <w:t>有限公司先后两次</w:t>
      </w:r>
      <w:r>
        <w:rPr>
          <w:sz w:val="24"/>
        </w:rPr>
        <w:t>组织专人，在</w:t>
      </w:r>
      <w:r>
        <w:rPr>
          <w:rFonts w:hint="eastAsia"/>
          <w:sz w:val="24"/>
        </w:rPr>
        <w:t>世行三峡物流中心基础设施项目规划路</w:t>
      </w:r>
      <w:r>
        <w:rPr>
          <w:sz w:val="24"/>
        </w:rPr>
        <w:t>段采用公众意见调查表的形式进行了调查，调查组人员首先向被调查对象详细介绍拟建项目的基本情况，包括工程概况、规模、意义以及工程建设对当地可能带来的有利影响和不利影响等，再由被调查人自愿填写公众参与调查表，最后通过整理、汇总进行分析。</w:t>
      </w:r>
      <w:r>
        <w:rPr>
          <w:rFonts w:hint="eastAsia"/>
          <w:sz w:val="24"/>
        </w:rPr>
        <w:t>公众参与调查表如下所示：</w:t>
      </w:r>
    </w:p>
    <w:p>
      <w:pPr>
        <w:spacing w:line="360" w:lineRule="auto"/>
        <w:ind w:firstLine="480" w:firstLineChars="200"/>
        <w:rPr>
          <w:kern w:val="0"/>
          <w:sz w:val="24"/>
        </w:rPr>
      </w:pPr>
      <w:r>
        <w:rPr>
          <w:rFonts w:hAnsi="宋体"/>
          <w:sz w:val="24"/>
        </w:rPr>
        <w:t>【工程概况】项目概况：拟建项目位于</w:t>
      </w:r>
      <w:r>
        <w:rPr>
          <w:rFonts w:hint="eastAsia" w:hAnsi="宋体"/>
          <w:sz w:val="24"/>
        </w:rPr>
        <w:t>宜昌高新技术产业开发区白洋工业园区内</w:t>
      </w:r>
      <w:r>
        <w:rPr>
          <w:rFonts w:hAnsi="宋体"/>
          <w:sz w:val="24"/>
        </w:rPr>
        <w:t>，</w:t>
      </w:r>
      <w:r>
        <w:rPr>
          <w:rFonts w:hint="eastAsia" w:hAnsi="宋体"/>
          <w:sz w:val="24"/>
        </w:rPr>
        <w:t>选址长江北岸枝江市白洋镇</w:t>
      </w:r>
      <w:r>
        <w:rPr>
          <w:rFonts w:hAnsi="宋体"/>
          <w:sz w:val="24"/>
        </w:rPr>
        <w:t>，共分</w:t>
      </w:r>
      <w:r>
        <w:rPr>
          <w:rFonts w:hint="eastAsia"/>
          <w:sz w:val="24"/>
        </w:rPr>
        <w:t>5个一级子项17个二级子项</w:t>
      </w:r>
      <w:r>
        <w:rPr>
          <w:rFonts w:hAnsi="宋体"/>
          <w:sz w:val="24"/>
        </w:rPr>
        <w:t>，分别为</w:t>
      </w:r>
      <w:r>
        <w:rPr>
          <w:rFonts w:hint="eastAsia" w:hAnsi="宋体"/>
          <w:sz w:val="24"/>
        </w:rPr>
        <w:t>白洋港口作业区</w:t>
      </w:r>
      <w:r>
        <w:rPr>
          <w:rFonts w:hAnsi="宋体"/>
          <w:sz w:val="24"/>
        </w:rPr>
        <w:t>、</w:t>
      </w:r>
      <w:r>
        <w:rPr>
          <w:rFonts w:hint="eastAsia" w:hAnsi="宋体"/>
          <w:sz w:val="24"/>
        </w:rPr>
        <w:t>白洋物流园区</w:t>
      </w:r>
      <w:r>
        <w:rPr>
          <w:rFonts w:hAnsi="宋体"/>
          <w:sz w:val="24"/>
        </w:rPr>
        <w:t>、</w:t>
      </w:r>
      <w:r>
        <w:rPr>
          <w:rFonts w:hint="eastAsia" w:hAnsi="宋体"/>
          <w:sz w:val="24"/>
        </w:rPr>
        <w:t>道路交通工程、信息中心、项目管理和机构能力</w:t>
      </w:r>
      <w:r>
        <w:rPr>
          <w:rFonts w:hAnsi="宋体"/>
          <w:sz w:val="24"/>
        </w:rPr>
        <w:t>。</w:t>
      </w:r>
      <w:r>
        <w:rPr>
          <w:rFonts w:hint="eastAsia" w:hAnsi="宋体"/>
          <w:sz w:val="24"/>
        </w:rPr>
        <w:t>白洋港口作业区设计吞吐量700万吨/年，其中件杂120万吨/年，散货500万吨/年，集装箱8万TEU（折合80万吨）/年。建设3000吨级钢铁重件泊位1个、散货泊位4个、多用途泊位2个，占用岸线长度1036m</w:t>
      </w:r>
      <w:r>
        <w:rPr>
          <w:rFonts w:hint="eastAsia" w:hAnsi="宋体"/>
          <w:color w:val="000000"/>
          <w:kern w:val="0"/>
          <w:sz w:val="24"/>
        </w:rPr>
        <w:t>；白洋物流园区包括综合物流区（34.54hm</w:t>
      </w:r>
      <w:r>
        <w:rPr>
          <w:rFonts w:hint="eastAsia" w:hAnsi="宋体"/>
          <w:color w:val="000000"/>
          <w:kern w:val="0"/>
          <w:sz w:val="24"/>
          <w:vertAlign w:val="superscript"/>
        </w:rPr>
        <w:t>2</w:t>
      </w:r>
      <w:r>
        <w:rPr>
          <w:rFonts w:hint="eastAsia" w:hAnsi="宋体"/>
          <w:color w:val="000000"/>
          <w:kern w:val="0"/>
          <w:sz w:val="24"/>
        </w:rPr>
        <w:t>）、商贸物流区（29.21hm</w:t>
      </w:r>
      <w:r>
        <w:rPr>
          <w:rFonts w:hint="eastAsia" w:hAnsi="宋体"/>
          <w:color w:val="000000"/>
          <w:kern w:val="0"/>
          <w:sz w:val="24"/>
          <w:vertAlign w:val="superscript"/>
        </w:rPr>
        <w:t>2</w:t>
      </w:r>
      <w:r>
        <w:rPr>
          <w:rFonts w:hint="eastAsia" w:hAnsi="宋体"/>
          <w:color w:val="000000"/>
          <w:kern w:val="0"/>
          <w:sz w:val="24"/>
        </w:rPr>
        <w:t>）、中转物流区（24.01hm</w:t>
      </w:r>
      <w:r>
        <w:rPr>
          <w:rFonts w:hint="eastAsia" w:hAnsi="宋体"/>
          <w:color w:val="000000"/>
          <w:kern w:val="0"/>
          <w:sz w:val="24"/>
          <w:vertAlign w:val="superscript"/>
        </w:rPr>
        <w:t>2</w:t>
      </w:r>
      <w:r>
        <w:rPr>
          <w:rFonts w:hint="eastAsia" w:hAnsi="宋体"/>
          <w:color w:val="000000"/>
          <w:kern w:val="0"/>
          <w:sz w:val="24"/>
        </w:rPr>
        <w:t>），共占地87.76 hm</w:t>
      </w:r>
      <w:r>
        <w:rPr>
          <w:rFonts w:hint="eastAsia" w:hAnsi="宋体"/>
          <w:color w:val="000000"/>
          <w:kern w:val="0"/>
          <w:sz w:val="24"/>
          <w:vertAlign w:val="superscript"/>
        </w:rPr>
        <w:t>2</w:t>
      </w:r>
      <w:r>
        <w:rPr>
          <w:rFonts w:hint="eastAsia" w:hAnsi="宋体"/>
          <w:color w:val="000000"/>
          <w:kern w:val="0"/>
          <w:sz w:val="24"/>
        </w:rPr>
        <w:t>；道路交通工程包括沙湾路上跨桥工程（城市次干路，全长675m，架空结构，桥面宽17m，双向四车道，桥梁段长280m）、桂湖路（城市次干路、宽30m、双向4车道、全长1126m）、松岗二路（城市次干路、宽30m、双向4车道、全长900m）；信息中心大楼；项目管理和机构能力主要为管理机构、实施机构和监督机构在</w:t>
      </w:r>
      <w:r>
        <w:rPr>
          <w:color w:val="000000"/>
          <w:kern w:val="0"/>
          <w:sz w:val="24"/>
        </w:rPr>
        <w:t>内的项目管理体系</w:t>
      </w:r>
      <w:r>
        <w:rPr>
          <w:kern w:val="0"/>
          <w:sz w:val="24"/>
        </w:rPr>
        <w:t>。</w:t>
      </w:r>
    </w:p>
    <w:p>
      <w:pPr>
        <w:spacing w:line="360" w:lineRule="auto"/>
        <w:ind w:firstLine="480" w:firstLineChars="200"/>
        <w:rPr>
          <w:sz w:val="24"/>
        </w:rPr>
      </w:pPr>
      <w:r>
        <w:rPr>
          <w:sz w:val="24"/>
        </w:rPr>
        <w:t>本项目为世界银行贷款项目，拟利用世行贷款2亿美元、资本金8.97亿元、国内银行贷款8.22亿元，总投资约29.9亿元，项目建设期3年，2016年6月至2019年6月。</w:t>
      </w:r>
    </w:p>
    <w:p>
      <w:pPr>
        <w:spacing w:line="360" w:lineRule="auto"/>
        <w:ind w:firstLine="480" w:firstLineChars="200"/>
        <w:rPr>
          <w:sz w:val="24"/>
        </w:rPr>
      </w:pPr>
      <w:r>
        <w:rPr>
          <w:rFonts w:hAnsi="宋体"/>
          <w:sz w:val="24"/>
        </w:rPr>
        <w:t>【环境影响简介】</w:t>
      </w:r>
      <w:r>
        <w:rPr>
          <w:rFonts w:hint="eastAsia" w:hAnsi="宋体"/>
          <w:sz w:val="24"/>
        </w:rPr>
        <w:t>项目对环境的影响主要为白洋港口作业区子项目、白洋物流园区子项目和道路交通工程子项目的建设，从时间序列上分为施工期和运营期；从空间概念上看，对环境的影响为码头作业区建设、物流园区建筑施工、新建道路的开挖。施工期的征地拆迁、运输土方及道路铺设等容易造成交通阻塞，产生噪声及扬尘等环境污染，不可避免地对周围环境造成影响，同时施工产生的大量弃土（渣），如果处理不当，将造成水土流失等环境问题，特别几个子项目施工同时展开，不可避免的会加大整个区域的环境影响，白洋港口作业区建设，在施工期采用围堰施工，妥善处理施工废水、固体废物和加强施工管理的基础上对附近水域的水生生物影响不大，在营运期通过合理设计污水排放，散货堆场污水收集处理回用，不会对作业区所在长江段水质及生态功能产生影响，同时散货堆场设置防风挡尘网同时加强洒水措施，最大程度减轻扬尘影响。</w:t>
      </w:r>
    </w:p>
    <w:p>
      <w:pPr>
        <w:spacing w:line="360" w:lineRule="auto"/>
        <w:ind w:firstLine="480" w:firstLineChars="200"/>
        <w:rPr>
          <w:sz w:val="24"/>
        </w:rPr>
      </w:pPr>
      <w:r>
        <w:rPr>
          <w:rFonts w:hAnsi="宋体"/>
          <w:sz w:val="24"/>
        </w:rPr>
        <w:t>【说明】根据《中华人民共和国环境保护法》和《中华人民共和国环境影响评价法》的规定，建设项目在环境影响评价中应征求项目所在地单位和居民的意见。为了使该工程更好地为沿线公众服务，减少对沿线公众带来负面的环境影响，我们真诚地希望您能为保护工程沿线</w:t>
      </w:r>
      <w:r>
        <w:rPr>
          <w:rFonts w:hint="eastAsia" w:hAnsi="宋体"/>
          <w:sz w:val="24"/>
        </w:rPr>
        <w:t>及周边</w:t>
      </w:r>
      <w:r>
        <w:rPr>
          <w:rFonts w:hAnsi="宋体"/>
          <w:sz w:val="24"/>
        </w:rPr>
        <w:t>环境提出宝贵意见，我们将在环境与社会影响报告书中真实记录您的意见和建议，将您的宝贵意见、建议向项目的建设单位、设计单位反映。</w:t>
      </w:r>
    </w:p>
    <w:p>
      <w:pPr>
        <w:spacing w:line="360" w:lineRule="auto"/>
        <w:ind w:firstLine="480" w:firstLineChars="200"/>
        <w:rPr>
          <w:sz w:val="24"/>
        </w:rPr>
      </w:pPr>
      <w:r>
        <w:rPr>
          <w:rFonts w:hAnsi="宋体"/>
          <w:sz w:val="24"/>
        </w:rPr>
        <w:t>您还可以通过信件、</w:t>
      </w:r>
      <w:r>
        <w:rPr>
          <w:sz w:val="24"/>
        </w:rPr>
        <w:t>E-mail</w:t>
      </w:r>
      <w:r>
        <w:rPr>
          <w:rFonts w:hAnsi="宋体"/>
          <w:sz w:val="24"/>
        </w:rPr>
        <w:t>、电话的形式给我们提供宝贵意见建议，我们的联系方式是：</w:t>
      </w:r>
    </w:p>
    <w:p>
      <w:pPr>
        <w:widowControl/>
        <w:spacing w:line="360" w:lineRule="auto"/>
        <w:ind w:firstLine="470" w:firstLineChars="196"/>
        <w:jc w:val="left"/>
        <w:rPr>
          <w:kern w:val="0"/>
          <w:sz w:val="24"/>
        </w:rPr>
      </w:pPr>
      <w:r>
        <w:rPr>
          <w:rFonts w:hAnsi="宋体"/>
          <w:sz w:val="24"/>
        </w:rPr>
        <w:t>建设单位名称：</w:t>
      </w:r>
      <w:r>
        <w:rPr>
          <w:rFonts w:hint="eastAsia" w:hAnsi="宋体"/>
          <w:kern w:val="0"/>
          <w:sz w:val="24"/>
        </w:rPr>
        <w:t>宜昌市交通投资有限公司</w:t>
      </w:r>
    </w:p>
    <w:p>
      <w:pPr>
        <w:widowControl/>
        <w:spacing w:line="360" w:lineRule="auto"/>
        <w:ind w:firstLine="480" w:firstLineChars="200"/>
        <w:jc w:val="left"/>
        <w:rPr>
          <w:kern w:val="0"/>
          <w:sz w:val="24"/>
        </w:rPr>
      </w:pPr>
      <w:r>
        <w:rPr>
          <w:rFonts w:hAnsi="宋体"/>
          <w:kern w:val="0"/>
          <w:sz w:val="24"/>
        </w:rPr>
        <w:t>联系人</w:t>
      </w:r>
      <w:r>
        <w:rPr>
          <w:kern w:val="0"/>
          <w:sz w:val="24"/>
        </w:rPr>
        <w:t>:</w:t>
      </w:r>
      <w:r>
        <w:rPr>
          <w:rFonts w:hint="eastAsia"/>
          <w:kern w:val="0"/>
          <w:sz w:val="24"/>
        </w:rPr>
        <w:t>尚昆</w:t>
      </w:r>
      <w:r>
        <w:rPr>
          <w:rFonts w:hAnsi="宋体"/>
          <w:kern w:val="0"/>
          <w:sz w:val="24"/>
        </w:rPr>
        <w:t>电话</w:t>
      </w:r>
      <w:r>
        <w:rPr>
          <w:rFonts w:ascii="Arial" w:hAnsi="Arial" w:eastAsia="仿宋_GB2312" w:cs="Arial"/>
          <w:sz w:val="24"/>
        </w:rPr>
        <w:t>0717-6342272</w:t>
      </w:r>
      <w:r>
        <w:rPr>
          <w:rFonts w:hAnsi="宋体"/>
          <w:kern w:val="0"/>
          <w:sz w:val="24"/>
        </w:rPr>
        <w:t>，邮箱</w:t>
      </w:r>
      <w:r>
        <w:rPr>
          <w:rFonts w:ascii="Arial" w:hAnsi="Arial" w:eastAsia="仿宋_GB2312" w:cs="Arial"/>
          <w:sz w:val="24"/>
        </w:rPr>
        <w:t>329067472</w:t>
      </w:r>
      <w:r>
        <w:rPr>
          <w:rFonts w:hint="eastAsia" w:ascii="Arial" w:hAnsi="Arial" w:eastAsia="仿宋_GB2312" w:cs="Arial"/>
          <w:sz w:val="24"/>
        </w:rPr>
        <w:t>@qq.com</w:t>
      </w:r>
    </w:p>
    <w:p>
      <w:pPr>
        <w:widowControl/>
        <w:spacing w:line="360" w:lineRule="auto"/>
        <w:ind w:firstLine="470" w:firstLineChars="196"/>
        <w:jc w:val="left"/>
        <w:rPr>
          <w:kern w:val="0"/>
          <w:sz w:val="24"/>
        </w:rPr>
      </w:pPr>
      <w:r>
        <w:rPr>
          <w:rFonts w:hAnsi="宋体"/>
          <w:kern w:val="0"/>
          <w:sz w:val="24"/>
        </w:rPr>
        <w:t>通讯地址</w:t>
      </w:r>
      <w:r>
        <w:rPr>
          <w:kern w:val="0"/>
          <w:sz w:val="24"/>
        </w:rPr>
        <w:t>:</w:t>
      </w:r>
      <w:r>
        <w:rPr>
          <w:rFonts w:hint="eastAsia" w:hAnsi="宋体"/>
          <w:kern w:val="0"/>
          <w:sz w:val="24"/>
        </w:rPr>
        <w:t>宜昌市城东大道58号</w:t>
      </w:r>
      <w:r>
        <w:rPr>
          <w:rFonts w:hAnsi="宋体"/>
          <w:kern w:val="0"/>
          <w:sz w:val="24"/>
        </w:rPr>
        <w:t>，邮编</w:t>
      </w:r>
      <w:r>
        <w:rPr>
          <w:kern w:val="0"/>
          <w:sz w:val="24"/>
        </w:rPr>
        <w:t>443000..</w:t>
      </w:r>
    </w:p>
    <w:p>
      <w:pPr>
        <w:spacing w:line="360" w:lineRule="auto"/>
        <w:ind w:firstLine="480" w:firstLineChars="200"/>
        <w:rPr>
          <w:sz w:val="24"/>
        </w:rPr>
      </w:pPr>
      <w:r>
        <w:rPr>
          <w:rFonts w:hAnsi="宋体"/>
          <w:sz w:val="24"/>
        </w:rPr>
        <w:t>环境影响评价单位名称：</w:t>
      </w:r>
      <w:r>
        <w:rPr>
          <w:rFonts w:hint="eastAsia" w:hAnsi="宋体"/>
          <w:sz w:val="24"/>
        </w:rPr>
        <w:t>湖北省安全环境技术科学研究院有限公司</w:t>
      </w:r>
    </w:p>
    <w:p>
      <w:pPr>
        <w:widowControl/>
        <w:spacing w:line="360" w:lineRule="auto"/>
        <w:ind w:firstLine="480" w:firstLineChars="200"/>
        <w:jc w:val="left"/>
        <w:rPr>
          <w:kern w:val="0"/>
          <w:sz w:val="24"/>
        </w:rPr>
      </w:pPr>
      <w:r>
        <w:rPr>
          <w:rFonts w:hAnsi="宋体"/>
          <w:kern w:val="0"/>
          <w:sz w:val="24"/>
        </w:rPr>
        <w:t>单位名称：</w:t>
      </w:r>
      <w:r>
        <w:rPr>
          <w:rFonts w:hint="eastAsia" w:hAnsi="宋体"/>
          <w:kern w:val="0"/>
          <w:sz w:val="24"/>
        </w:rPr>
        <w:t>湖北省安全环境技术科学研究院有限公司</w:t>
      </w:r>
    </w:p>
    <w:p>
      <w:pPr>
        <w:widowControl/>
        <w:spacing w:line="360" w:lineRule="auto"/>
        <w:ind w:firstLine="480" w:firstLineChars="200"/>
        <w:jc w:val="left"/>
        <w:rPr>
          <w:kern w:val="0"/>
          <w:sz w:val="24"/>
        </w:rPr>
      </w:pPr>
      <w:r>
        <w:rPr>
          <w:rFonts w:hAnsi="宋体"/>
          <w:kern w:val="0"/>
          <w:sz w:val="24"/>
        </w:rPr>
        <w:t>通讯地址：</w:t>
      </w:r>
      <w:r>
        <w:rPr>
          <w:rFonts w:hint="eastAsia" w:hAnsi="宋体"/>
          <w:kern w:val="0"/>
          <w:sz w:val="24"/>
        </w:rPr>
        <w:t>武汉市武昌区中南二路2号</w:t>
      </w:r>
      <w:r>
        <w:rPr>
          <w:rFonts w:hAnsi="宋体"/>
          <w:kern w:val="0"/>
          <w:sz w:val="24"/>
        </w:rPr>
        <w:t>邮政编码：</w:t>
      </w:r>
      <w:r>
        <w:rPr>
          <w:kern w:val="0"/>
          <w:sz w:val="24"/>
        </w:rPr>
        <w:t>4300</w:t>
      </w:r>
      <w:r>
        <w:rPr>
          <w:rFonts w:hint="eastAsia"/>
          <w:kern w:val="0"/>
          <w:sz w:val="24"/>
        </w:rPr>
        <w:t>71</w:t>
      </w:r>
    </w:p>
    <w:p>
      <w:pPr>
        <w:widowControl/>
        <w:spacing w:line="360" w:lineRule="auto"/>
        <w:ind w:firstLine="480" w:firstLineChars="200"/>
        <w:jc w:val="left"/>
        <w:rPr>
          <w:kern w:val="0"/>
          <w:sz w:val="24"/>
        </w:rPr>
      </w:pPr>
      <w:r>
        <w:rPr>
          <w:rFonts w:hAnsi="宋体"/>
          <w:kern w:val="0"/>
          <w:sz w:val="24"/>
        </w:rPr>
        <w:t>联系人：寇学永联系电话：</w:t>
      </w:r>
      <w:r>
        <w:rPr>
          <w:kern w:val="0"/>
          <w:sz w:val="24"/>
        </w:rPr>
        <w:t xml:space="preserve">027- 87336732    </w:t>
      </w:r>
    </w:p>
    <w:p>
      <w:pPr>
        <w:widowControl/>
        <w:spacing w:line="360" w:lineRule="auto"/>
        <w:ind w:firstLine="480" w:firstLineChars="200"/>
        <w:jc w:val="left"/>
        <w:rPr>
          <w:rFonts w:eastAsia="黑体"/>
          <w:sz w:val="26"/>
          <w:szCs w:val="26"/>
        </w:rPr>
      </w:pPr>
      <w:r>
        <w:rPr>
          <w:kern w:val="0"/>
          <w:sz w:val="24"/>
        </w:rPr>
        <w:t>E-mail</w:t>
      </w:r>
      <w:r>
        <w:rPr>
          <w:rFonts w:hAnsi="宋体"/>
          <w:kern w:val="0"/>
          <w:sz w:val="24"/>
        </w:rPr>
        <w:t>：</w:t>
      </w:r>
      <w:r>
        <w:fldChar w:fldCharType="begin"/>
      </w:r>
      <w:r>
        <w:instrText xml:space="preserve"> HYPERLINK "mailto:kouyongjiemail@126.com" </w:instrText>
      </w:r>
      <w:r>
        <w:fldChar w:fldCharType="separate"/>
      </w:r>
      <w:r>
        <w:rPr>
          <w:rStyle w:val="97"/>
          <w:color w:val="auto"/>
          <w:kern w:val="0"/>
          <w:sz w:val="24"/>
        </w:rPr>
        <w:t>kouyongjiemail@126.com</w:t>
      </w:r>
      <w:r>
        <w:rPr>
          <w:rStyle w:val="97"/>
          <w:color w:val="auto"/>
          <w:kern w:val="0"/>
          <w:sz w:val="24"/>
        </w:rPr>
        <w:fldChar w:fldCharType="end"/>
      </w:r>
      <w:r>
        <w:rPr>
          <w:rFonts w:eastAsia="黑体"/>
          <w:sz w:val="26"/>
          <w:szCs w:val="26"/>
        </w:rPr>
        <w:br w:type="page"/>
      </w:r>
      <w:r>
        <w:rPr>
          <w:rFonts w:eastAsia="黑体"/>
          <w:sz w:val="26"/>
          <w:szCs w:val="26"/>
        </w:rPr>
        <w:t>【个人公众参与意见征询】</w:t>
      </w:r>
    </w:p>
    <w:p>
      <w:pPr>
        <w:adjustRightInd w:val="0"/>
        <w:snapToGrid w:val="0"/>
        <w:spacing w:line="400" w:lineRule="exact"/>
        <w:rPr>
          <w:szCs w:val="21"/>
        </w:rPr>
      </w:pPr>
      <w:r>
        <w:rPr>
          <w:rFonts w:hAnsi="宋体"/>
          <w:szCs w:val="21"/>
        </w:rPr>
        <w:t>姓名：</w:t>
      </w:r>
      <w:r>
        <w:rPr>
          <w:szCs w:val="21"/>
        </w:rPr>
        <w:t>_________</w:t>
      </w:r>
      <w:r>
        <w:rPr>
          <w:rFonts w:hint="eastAsia"/>
          <w:szCs w:val="21"/>
        </w:rPr>
        <w:t>性别：</w:t>
      </w:r>
      <w:r>
        <w:rPr>
          <w:szCs w:val="21"/>
        </w:rPr>
        <w:t>_________</w:t>
      </w:r>
      <w:r>
        <w:rPr>
          <w:rFonts w:hint="eastAsia"/>
          <w:szCs w:val="21"/>
        </w:rPr>
        <w:t>年龄：</w:t>
      </w:r>
      <w:r>
        <w:rPr>
          <w:szCs w:val="21"/>
        </w:rPr>
        <w:t>_________</w:t>
      </w:r>
      <w:r>
        <w:rPr>
          <w:rFonts w:hAnsi="宋体"/>
          <w:szCs w:val="21"/>
        </w:rPr>
        <w:t>文化程度：</w:t>
      </w:r>
      <w:r>
        <w:rPr>
          <w:szCs w:val="21"/>
        </w:rPr>
        <w:t>_________</w:t>
      </w:r>
      <w:r>
        <w:rPr>
          <w:rFonts w:hAnsi="宋体"/>
          <w:szCs w:val="21"/>
        </w:rPr>
        <w:t>职业：</w:t>
      </w:r>
      <w:r>
        <w:rPr>
          <w:szCs w:val="21"/>
        </w:rPr>
        <w:t>_________</w:t>
      </w:r>
    </w:p>
    <w:p>
      <w:pPr>
        <w:adjustRightInd w:val="0"/>
        <w:snapToGrid w:val="0"/>
        <w:spacing w:line="400" w:lineRule="exact"/>
        <w:rPr>
          <w:szCs w:val="21"/>
        </w:rPr>
      </w:pPr>
      <w:r>
        <w:rPr>
          <w:rFonts w:hAnsi="宋体"/>
          <w:szCs w:val="21"/>
        </w:rPr>
        <w:t>居住地：</w:t>
      </w:r>
      <w:r>
        <w:rPr>
          <w:szCs w:val="21"/>
        </w:rPr>
        <w:t>_________</w:t>
      </w:r>
      <w:r>
        <w:rPr>
          <w:rFonts w:hint="eastAsia" w:hAnsi="宋体"/>
          <w:szCs w:val="21"/>
        </w:rPr>
        <w:t>联系</w:t>
      </w:r>
      <w:r>
        <w:rPr>
          <w:rFonts w:hAnsi="宋体"/>
          <w:szCs w:val="21"/>
        </w:rPr>
        <w:t>电话：</w:t>
      </w:r>
      <w:r>
        <w:rPr>
          <w:szCs w:val="21"/>
        </w:rPr>
        <w:t>_________</w:t>
      </w:r>
      <w:r>
        <w:rPr>
          <w:rFonts w:hint="eastAsia"/>
          <w:szCs w:val="21"/>
        </w:rPr>
        <w:t>身份证号码：</w:t>
      </w:r>
    </w:p>
    <w:p>
      <w:pPr>
        <w:adjustRightInd w:val="0"/>
        <w:snapToGrid w:val="0"/>
        <w:spacing w:line="400" w:lineRule="exact"/>
        <w:rPr>
          <w:szCs w:val="21"/>
        </w:rPr>
      </w:pPr>
      <w:r>
        <w:rPr>
          <w:szCs w:val="21"/>
        </w:rPr>
        <w:t>1</w:t>
      </w:r>
      <w:r>
        <w:rPr>
          <w:rFonts w:ascii="宋体" w:hAnsi="宋体"/>
          <w:szCs w:val="21"/>
        </w:rPr>
        <w:t>．</w:t>
      </w:r>
      <w:r>
        <w:rPr>
          <w:rFonts w:hint="eastAsia" w:hAnsi="宋体"/>
          <w:szCs w:val="21"/>
        </w:rPr>
        <w:t>您对本工程建设的看法</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hAnsi="宋体"/>
          <w:szCs w:val="21"/>
        </w:rPr>
        <w:t>支持</w:t>
      </w:r>
      <w:r>
        <w:rPr>
          <w:rFonts w:hAnsi="宋体"/>
          <w:szCs w:val="21"/>
        </w:rPr>
        <w:t>（</w:t>
      </w:r>
      <w:r>
        <w:rPr>
          <w:szCs w:val="21"/>
        </w:rPr>
        <w:t>2</w:t>
      </w:r>
      <w:r>
        <w:rPr>
          <w:rFonts w:hAnsi="宋体"/>
          <w:szCs w:val="21"/>
        </w:rPr>
        <w:t>）</w:t>
      </w:r>
      <w:r>
        <w:rPr>
          <w:rFonts w:hint="eastAsia" w:hAnsi="宋体"/>
          <w:szCs w:val="21"/>
        </w:rPr>
        <w:t>反对</w:t>
      </w:r>
      <w:r>
        <w:rPr>
          <w:rFonts w:hAnsi="宋体"/>
          <w:szCs w:val="21"/>
        </w:rPr>
        <w:t>（</w:t>
      </w:r>
      <w:r>
        <w:rPr>
          <w:szCs w:val="21"/>
        </w:rPr>
        <w:t>3</w:t>
      </w:r>
      <w:r>
        <w:rPr>
          <w:rFonts w:hAnsi="宋体"/>
          <w:szCs w:val="21"/>
        </w:rPr>
        <w:t>）</w:t>
      </w:r>
      <w:r>
        <w:rPr>
          <w:rFonts w:hint="eastAsia" w:hAnsi="宋体"/>
          <w:szCs w:val="21"/>
        </w:rPr>
        <w:t>无所谓</w:t>
      </w:r>
    </w:p>
    <w:p>
      <w:pPr>
        <w:adjustRightInd w:val="0"/>
        <w:snapToGrid w:val="0"/>
        <w:spacing w:line="400" w:lineRule="exact"/>
        <w:rPr>
          <w:szCs w:val="21"/>
        </w:rPr>
      </w:pPr>
      <w:r>
        <w:rPr>
          <w:szCs w:val="21"/>
        </w:rPr>
        <w:t>2</w:t>
      </w:r>
      <w:r>
        <w:rPr>
          <w:rFonts w:ascii="宋体" w:hAnsi="宋体"/>
          <w:szCs w:val="21"/>
        </w:rPr>
        <w:t>．</w:t>
      </w:r>
      <w:r>
        <w:rPr>
          <w:rFonts w:hint="eastAsia" w:hAnsi="宋体"/>
          <w:szCs w:val="21"/>
        </w:rPr>
        <w:t>本工程的建设将会对您的生活、收入带来</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hAnsi="宋体"/>
          <w:szCs w:val="21"/>
        </w:rPr>
        <w:t>有利影响</w:t>
      </w:r>
      <w:r>
        <w:rPr>
          <w:rFonts w:hAnsi="宋体"/>
          <w:szCs w:val="21"/>
        </w:rPr>
        <w:t>（</w:t>
      </w:r>
      <w:r>
        <w:rPr>
          <w:szCs w:val="21"/>
        </w:rPr>
        <w:t>2</w:t>
      </w:r>
      <w:r>
        <w:rPr>
          <w:rFonts w:hAnsi="宋体"/>
          <w:szCs w:val="21"/>
        </w:rPr>
        <w:t>）</w:t>
      </w:r>
      <w:r>
        <w:rPr>
          <w:rFonts w:hint="eastAsia" w:hAnsi="宋体"/>
          <w:szCs w:val="21"/>
        </w:rPr>
        <w:t>不利影响</w:t>
      </w:r>
      <w:r>
        <w:rPr>
          <w:rFonts w:hAnsi="宋体"/>
          <w:szCs w:val="21"/>
        </w:rPr>
        <w:t>（</w:t>
      </w:r>
      <w:r>
        <w:rPr>
          <w:szCs w:val="21"/>
        </w:rPr>
        <w:t>3</w:t>
      </w:r>
      <w:r>
        <w:rPr>
          <w:rFonts w:hAnsi="宋体"/>
          <w:szCs w:val="21"/>
        </w:rPr>
        <w:t>）</w:t>
      </w:r>
      <w:r>
        <w:rPr>
          <w:rFonts w:hint="eastAsia" w:hAnsi="宋体"/>
          <w:szCs w:val="21"/>
        </w:rPr>
        <w:t>无影响</w:t>
      </w:r>
    </w:p>
    <w:p>
      <w:pPr>
        <w:adjustRightInd w:val="0"/>
        <w:snapToGrid w:val="0"/>
        <w:spacing w:line="400" w:lineRule="exact"/>
        <w:rPr>
          <w:szCs w:val="21"/>
        </w:rPr>
      </w:pPr>
      <w:r>
        <w:rPr>
          <w:szCs w:val="21"/>
        </w:rPr>
        <w:t>3</w:t>
      </w:r>
      <w:r>
        <w:rPr>
          <w:rFonts w:ascii="宋体" w:hAnsi="宋体"/>
          <w:szCs w:val="21"/>
        </w:rPr>
        <w:t>．</w:t>
      </w:r>
      <w:r>
        <w:rPr>
          <w:rFonts w:hint="eastAsia" w:hAnsi="宋体"/>
          <w:szCs w:val="21"/>
        </w:rPr>
        <w:t>您认为您目前居住地的环境质量如何</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hAnsi="宋体"/>
          <w:szCs w:val="21"/>
        </w:rPr>
        <w:t>好</w:t>
      </w:r>
      <w:r>
        <w:rPr>
          <w:rFonts w:hAnsi="宋体"/>
          <w:szCs w:val="21"/>
        </w:rPr>
        <w:t>（</w:t>
      </w:r>
      <w:r>
        <w:rPr>
          <w:szCs w:val="21"/>
        </w:rPr>
        <w:t>2</w:t>
      </w:r>
      <w:r>
        <w:rPr>
          <w:rFonts w:hAnsi="宋体"/>
          <w:szCs w:val="21"/>
        </w:rPr>
        <w:t>）</w:t>
      </w:r>
      <w:r>
        <w:rPr>
          <w:rFonts w:hint="eastAsia" w:hAnsi="宋体"/>
          <w:szCs w:val="21"/>
        </w:rPr>
        <w:t>一般</w:t>
      </w:r>
      <w:r>
        <w:rPr>
          <w:rFonts w:hAnsi="宋体"/>
          <w:szCs w:val="21"/>
        </w:rPr>
        <w:t>（</w:t>
      </w:r>
      <w:r>
        <w:rPr>
          <w:szCs w:val="21"/>
        </w:rPr>
        <w:t>3</w:t>
      </w:r>
      <w:r>
        <w:rPr>
          <w:rFonts w:hAnsi="宋体"/>
          <w:szCs w:val="21"/>
        </w:rPr>
        <w:t>）</w:t>
      </w:r>
      <w:r>
        <w:rPr>
          <w:rFonts w:hint="eastAsia" w:hAnsi="宋体"/>
          <w:szCs w:val="21"/>
        </w:rPr>
        <w:t>较差</w:t>
      </w:r>
    </w:p>
    <w:p>
      <w:pPr>
        <w:adjustRightInd w:val="0"/>
        <w:snapToGrid w:val="0"/>
        <w:spacing w:line="400" w:lineRule="exact"/>
        <w:rPr>
          <w:szCs w:val="21"/>
        </w:rPr>
      </w:pPr>
      <w:r>
        <w:rPr>
          <w:szCs w:val="21"/>
        </w:rPr>
        <w:t>4</w:t>
      </w:r>
      <w:r>
        <w:rPr>
          <w:rFonts w:ascii="宋体" w:hAnsi="宋体"/>
          <w:szCs w:val="21"/>
        </w:rPr>
        <w:t>．</w:t>
      </w:r>
      <w:r>
        <w:rPr>
          <w:rFonts w:hint="eastAsia" w:hAnsi="宋体"/>
          <w:szCs w:val="21"/>
        </w:rPr>
        <w:t>本项目所在地目前主要的环境问题是</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hAnsi="宋体"/>
          <w:szCs w:val="21"/>
        </w:rPr>
        <w:t>大气污染</w:t>
      </w:r>
      <w:r>
        <w:rPr>
          <w:rFonts w:hAnsi="宋体"/>
          <w:szCs w:val="21"/>
        </w:rPr>
        <w:t>（</w:t>
      </w:r>
      <w:r>
        <w:rPr>
          <w:szCs w:val="21"/>
        </w:rPr>
        <w:t>2</w:t>
      </w:r>
      <w:r>
        <w:rPr>
          <w:rFonts w:hAnsi="宋体"/>
          <w:szCs w:val="21"/>
        </w:rPr>
        <w:t>）</w:t>
      </w:r>
      <w:r>
        <w:rPr>
          <w:rFonts w:hint="eastAsia" w:hAnsi="宋体"/>
          <w:szCs w:val="21"/>
        </w:rPr>
        <w:t>生态破坏</w:t>
      </w:r>
      <w:r>
        <w:rPr>
          <w:rFonts w:hAnsi="宋体"/>
          <w:szCs w:val="21"/>
        </w:rPr>
        <w:t>（</w:t>
      </w:r>
      <w:r>
        <w:rPr>
          <w:szCs w:val="21"/>
        </w:rPr>
        <w:t>3</w:t>
      </w:r>
      <w:r>
        <w:rPr>
          <w:rFonts w:hAnsi="宋体"/>
          <w:szCs w:val="21"/>
        </w:rPr>
        <w:t>）</w:t>
      </w:r>
      <w:r>
        <w:rPr>
          <w:rFonts w:hint="eastAsia" w:hAnsi="宋体"/>
          <w:szCs w:val="21"/>
        </w:rPr>
        <w:t>景观破坏</w:t>
      </w:r>
      <w:r>
        <w:rPr>
          <w:rFonts w:hAnsi="宋体"/>
          <w:szCs w:val="21"/>
        </w:rPr>
        <w:t>（</w:t>
      </w:r>
      <w:r>
        <w:rPr>
          <w:szCs w:val="21"/>
        </w:rPr>
        <w:t>4</w:t>
      </w:r>
      <w:r>
        <w:rPr>
          <w:rFonts w:hAnsi="宋体"/>
          <w:szCs w:val="21"/>
        </w:rPr>
        <w:t>）</w:t>
      </w:r>
      <w:r>
        <w:rPr>
          <w:rFonts w:hint="eastAsia" w:hAnsi="宋体"/>
          <w:szCs w:val="21"/>
        </w:rPr>
        <w:t>水污染（5）大气污染</w:t>
      </w:r>
    </w:p>
    <w:p>
      <w:pPr>
        <w:adjustRightInd w:val="0"/>
        <w:snapToGrid w:val="0"/>
        <w:spacing w:line="400" w:lineRule="exact"/>
        <w:rPr>
          <w:szCs w:val="21"/>
        </w:rPr>
      </w:pPr>
      <w:r>
        <w:rPr>
          <w:rFonts w:hint="eastAsia"/>
          <w:szCs w:val="21"/>
        </w:rPr>
        <w:t>5</w:t>
      </w:r>
      <w:r>
        <w:rPr>
          <w:rFonts w:ascii="宋体" w:hAnsi="宋体"/>
          <w:szCs w:val="21"/>
        </w:rPr>
        <w:t>．</w:t>
      </w:r>
      <w:r>
        <w:rPr>
          <w:rFonts w:hint="eastAsia" w:hAnsi="宋体"/>
          <w:szCs w:val="21"/>
        </w:rPr>
        <w:t>您认本工程建设过程中您最关心的环境问题有</w:t>
      </w:r>
    </w:p>
    <w:p>
      <w:pPr>
        <w:adjustRightInd w:val="0"/>
        <w:snapToGrid w:val="0"/>
        <w:spacing w:line="400" w:lineRule="exact"/>
        <w:rPr>
          <w:szCs w:val="21"/>
        </w:rPr>
      </w:pPr>
      <w:r>
        <w:rPr>
          <w:rFonts w:hAnsi="宋体"/>
          <w:szCs w:val="21"/>
        </w:rPr>
        <w:t>（</w:t>
      </w:r>
      <w:r>
        <w:rPr>
          <w:szCs w:val="21"/>
        </w:rPr>
        <w:t>1</w:t>
      </w:r>
      <w:r>
        <w:rPr>
          <w:rFonts w:hAnsi="宋体"/>
          <w:szCs w:val="21"/>
        </w:rPr>
        <w:t>）噪声（</w:t>
      </w:r>
      <w:r>
        <w:rPr>
          <w:szCs w:val="21"/>
        </w:rPr>
        <w:t>2</w:t>
      </w:r>
      <w:r>
        <w:rPr>
          <w:rFonts w:hAnsi="宋体"/>
          <w:szCs w:val="21"/>
        </w:rPr>
        <w:t>）</w:t>
      </w:r>
      <w:r>
        <w:rPr>
          <w:rFonts w:hint="eastAsia"/>
          <w:color w:val="000000"/>
        </w:rPr>
        <w:t>生态破坏</w:t>
      </w:r>
      <w:r>
        <w:rPr>
          <w:rFonts w:hAnsi="宋体"/>
          <w:szCs w:val="21"/>
        </w:rPr>
        <w:t>（</w:t>
      </w:r>
      <w:r>
        <w:rPr>
          <w:szCs w:val="21"/>
        </w:rPr>
        <w:t>3</w:t>
      </w:r>
      <w:r>
        <w:rPr>
          <w:rFonts w:hAnsi="宋体"/>
          <w:szCs w:val="21"/>
        </w:rPr>
        <w:t>）</w:t>
      </w:r>
      <w:r>
        <w:rPr>
          <w:rFonts w:hint="eastAsia"/>
          <w:color w:val="000000"/>
        </w:rPr>
        <w:t>景观破坏</w:t>
      </w:r>
      <w:r>
        <w:rPr>
          <w:rFonts w:hAnsi="宋体"/>
          <w:szCs w:val="21"/>
        </w:rPr>
        <w:t>（</w:t>
      </w:r>
      <w:r>
        <w:rPr>
          <w:szCs w:val="21"/>
        </w:rPr>
        <w:t>4</w:t>
      </w:r>
      <w:r>
        <w:rPr>
          <w:rFonts w:hAnsi="宋体"/>
          <w:szCs w:val="21"/>
        </w:rPr>
        <w:t>）</w:t>
      </w:r>
      <w:r>
        <w:rPr>
          <w:rFonts w:hint="eastAsia" w:hAnsi="宋体"/>
          <w:szCs w:val="21"/>
        </w:rPr>
        <w:t>水污染（5）大气污染</w:t>
      </w:r>
    </w:p>
    <w:p>
      <w:pPr>
        <w:adjustRightInd w:val="0"/>
        <w:snapToGrid w:val="0"/>
        <w:spacing w:line="400" w:lineRule="exact"/>
        <w:rPr>
          <w:szCs w:val="21"/>
        </w:rPr>
      </w:pPr>
      <w:r>
        <w:rPr>
          <w:rFonts w:hint="eastAsia"/>
          <w:szCs w:val="21"/>
        </w:rPr>
        <w:t>6</w:t>
      </w:r>
      <w:r>
        <w:rPr>
          <w:rFonts w:ascii="宋体" w:hAnsi="宋体"/>
          <w:szCs w:val="21"/>
        </w:rPr>
        <w:t>．</w:t>
      </w:r>
      <w:r>
        <w:rPr>
          <w:rFonts w:hint="eastAsia"/>
          <w:color w:val="000000"/>
        </w:rPr>
        <w:t>项目建成后营运期间，对环境影响较大的是</w:t>
      </w:r>
    </w:p>
    <w:p>
      <w:pPr>
        <w:adjustRightInd w:val="0"/>
        <w:snapToGrid w:val="0"/>
        <w:spacing w:line="400" w:lineRule="exact"/>
        <w:rPr>
          <w:szCs w:val="21"/>
        </w:rPr>
      </w:pPr>
      <w:r>
        <w:rPr>
          <w:rFonts w:hint="eastAsia"/>
          <w:szCs w:val="21"/>
        </w:rPr>
        <w:t>（</w:t>
      </w:r>
      <w:r>
        <w:rPr>
          <w:szCs w:val="21"/>
        </w:rPr>
        <w:t>1</w:t>
      </w:r>
      <w:r>
        <w:rPr>
          <w:rFonts w:hAnsi="宋体"/>
          <w:szCs w:val="21"/>
        </w:rPr>
        <w:t>）</w:t>
      </w:r>
      <w:r>
        <w:rPr>
          <w:rFonts w:hint="eastAsia"/>
          <w:color w:val="000000"/>
        </w:rPr>
        <w:t>噪声</w:t>
      </w:r>
      <w:r>
        <w:rPr>
          <w:rFonts w:hint="eastAsia"/>
          <w:szCs w:val="21"/>
        </w:rPr>
        <w:t>（</w:t>
      </w:r>
      <w:r>
        <w:rPr>
          <w:szCs w:val="21"/>
        </w:rPr>
        <w:t>2</w:t>
      </w:r>
      <w:r>
        <w:rPr>
          <w:rFonts w:hAnsi="宋体"/>
          <w:szCs w:val="21"/>
        </w:rPr>
        <w:t>）</w:t>
      </w:r>
      <w:r>
        <w:rPr>
          <w:rFonts w:hint="eastAsia"/>
          <w:color w:val="000000"/>
        </w:rPr>
        <w:t>尾气</w:t>
      </w:r>
      <w:r>
        <w:rPr>
          <w:rFonts w:hint="eastAsia"/>
          <w:szCs w:val="21"/>
        </w:rPr>
        <w:t>（</w:t>
      </w:r>
      <w:r>
        <w:rPr>
          <w:szCs w:val="21"/>
        </w:rPr>
        <w:t>3</w:t>
      </w:r>
      <w:r>
        <w:rPr>
          <w:rFonts w:hAnsi="宋体"/>
          <w:szCs w:val="21"/>
        </w:rPr>
        <w:t>）</w:t>
      </w:r>
      <w:r>
        <w:rPr>
          <w:rFonts w:hint="eastAsia"/>
          <w:color w:val="000000"/>
        </w:rPr>
        <w:t>水污染</w:t>
      </w:r>
      <w:r>
        <w:rPr>
          <w:rFonts w:hAnsi="宋体"/>
          <w:szCs w:val="21"/>
        </w:rPr>
        <w:t>（</w:t>
      </w:r>
      <w:r>
        <w:rPr>
          <w:szCs w:val="21"/>
        </w:rPr>
        <w:t>4</w:t>
      </w:r>
      <w:r>
        <w:rPr>
          <w:rFonts w:hAnsi="宋体"/>
          <w:szCs w:val="21"/>
        </w:rPr>
        <w:t>）</w:t>
      </w:r>
      <w:r>
        <w:rPr>
          <w:rFonts w:hint="eastAsia"/>
          <w:color w:val="000000"/>
        </w:rPr>
        <w:t>粉尘</w:t>
      </w:r>
    </w:p>
    <w:p>
      <w:pPr>
        <w:adjustRightInd w:val="0"/>
        <w:snapToGrid w:val="0"/>
        <w:spacing w:line="400" w:lineRule="exact"/>
        <w:rPr>
          <w:szCs w:val="21"/>
        </w:rPr>
      </w:pPr>
      <w:r>
        <w:rPr>
          <w:rFonts w:hint="eastAsia"/>
          <w:szCs w:val="21"/>
        </w:rPr>
        <w:t>7</w:t>
      </w:r>
      <w:r>
        <w:rPr>
          <w:rFonts w:ascii="宋体" w:hAnsi="宋体"/>
          <w:szCs w:val="21"/>
        </w:rPr>
        <w:t>．</w:t>
      </w:r>
      <w:r>
        <w:rPr>
          <w:rFonts w:hint="eastAsia"/>
          <w:color w:val="000000"/>
        </w:rPr>
        <w:t>工程建设可能要占部分田地、拆迁一些住房、对此你希望得到最好的补偿方式是</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color w:val="000000"/>
        </w:rPr>
        <w:t>货币补偿</w:t>
      </w:r>
      <w:r>
        <w:rPr>
          <w:rFonts w:hAnsi="宋体"/>
          <w:szCs w:val="21"/>
        </w:rPr>
        <w:t>（</w:t>
      </w:r>
      <w:r>
        <w:rPr>
          <w:szCs w:val="21"/>
        </w:rPr>
        <w:t>2</w:t>
      </w:r>
      <w:r>
        <w:rPr>
          <w:rFonts w:hAnsi="宋体"/>
          <w:szCs w:val="21"/>
        </w:rPr>
        <w:t>）</w:t>
      </w:r>
      <w:r>
        <w:rPr>
          <w:rFonts w:hint="eastAsia"/>
          <w:color w:val="000000"/>
        </w:rPr>
        <w:t>异地安置</w:t>
      </w:r>
      <w:r>
        <w:rPr>
          <w:rFonts w:hAnsi="宋体"/>
          <w:szCs w:val="21"/>
        </w:rPr>
        <w:t>（</w:t>
      </w:r>
      <w:r>
        <w:rPr>
          <w:szCs w:val="21"/>
        </w:rPr>
        <w:t>3</w:t>
      </w:r>
      <w:r>
        <w:rPr>
          <w:rFonts w:hAnsi="宋体"/>
          <w:szCs w:val="21"/>
        </w:rPr>
        <w:t>）</w:t>
      </w:r>
      <w:r>
        <w:rPr>
          <w:rFonts w:hint="eastAsia"/>
          <w:color w:val="000000"/>
        </w:rPr>
        <w:t>其它</w:t>
      </w:r>
    </w:p>
    <w:p>
      <w:pPr>
        <w:adjustRightInd w:val="0"/>
        <w:snapToGrid w:val="0"/>
        <w:spacing w:line="400" w:lineRule="exact"/>
        <w:rPr>
          <w:szCs w:val="21"/>
        </w:rPr>
      </w:pPr>
      <w:r>
        <w:rPr>
          <w:rFonts w:hint="eastAsia"/>
          <w:szCs w:val="21"/>
        </w:rPr>
        <w:t>8</w:t>
      </w:r>
      <w:r>
        <w:rPr>
          <w:rFonts w:ascii="宋体" w:hAnsi="宋体"/>
          <w:szCs w:val="21"/>
        </w:rPr>
        <w:t>．</w:t>
      </w:r>
      <w:r>
        <w:rPr>
          <w:rFonts w:hint="eastAsia"/>
          <w:color w:val="000000"/>
        </w:rPr>
        <w:t>工程建设对长江的影响程度</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color w:val="000000"/>
        </w:rPr>
        <w:t>大</w:t>
      </w:r>
      <w:r>
        <w:rPr>
          <w:rFonts w:hAnsi="宋体"/>
          <w:szCs w:val="21"/>
        </w:rPr>
        <w:t>（</w:t>
      </w:r>
      <w:r>
        <w:rPr>
          <w:szCs w:val="21"/>
        </w:rPr>
        <w:t>2</w:t>
      </w:r>
      <w:r>
        <w:rPr>
          <w:rFonts w:hAnsi="宋体"/>
          <w:szCs w:val="21"/>
        </w:rPr>
        <w:t>）</w:t>
      </w:r>
      <w:r>
        <w:rPr>
          <w:rFonts w:hint="eastAsia"/>
          <w:color w:val="000000"/>
        </w:rPr>
        <w:t>中等</w:t>
      </w:r>
      <w:r>
        <w:rPr>
          <w:rFonts w:hAnsi="宋体"/>
          <w:szCs w:val="21"/>
        </w:rPr>
        <w:t>（</w:t>
      </w:r>
      <w:r>
        <w:rPr>
          <w:szCs w:val="21"/>
        </w:rPr>
        <w:t>3</w:t>
      </w:r>
      <w:r>
        <w:rPr>
          <w:rFonts w:hAnsi="宋体"/>
          <w:szCs w:val="21"/>
        </w:rPr>
        <w:t>）</w:t>
      </w:r>
      <w:r>
        <w:rPr>
          <w:rFonts w:hint="eastAsia"/>
          <w:color w:val="000000"/>
        </w:rPr>
        <w:t>小</w:t>
      </w:r>
    </w:p>
    <w:p>
      <w:pPr>
        <w:adjustRightInd w:val="0"/>
        <w:snapToGrid w:val="0"/>
        <w:spacing w:line="400" w:lineRule="exact"/>
        <w:rPr>
          <w:szCs w:val="21"/>
        </w:rPr>
      </w:pPr>
      <w:r>
        <w:rPr>
          <w:rFonts w:hint="eastAsia"/>
          <w:szCs w:val="21"/>
        </w:rPr>
        <w:t>9</w:t>
      </w:r>
      <w:r>
        <w:rPr>
          <w:rFonts w:ascii="宋体" w:hAnsi="宋体"/>
          <w:szCs w:val="21"/>
        </w:rPr>
        <w:t>．</w:t>
      </w:r>
      <w:r>
        <w:rPr>
          <w:rFonts w:hint="eastAsia"/>
          <w:color w:val="000000"/>
        </w:rPr>
        <w:t>您认为本工程的建设对本地区经济的发展</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color w:val="000000"/>
        </w:rPr>
        <w:t>有较大作用</w:t>
      </w:r>
      <w:r>
        <w:rPr>
          <w:rFonts w:hAnsi="宋体"/>
          <w:szCs w:val="21"/>
        </w:rPr>
        <w:t>（</w:t>
      </w:r>
      <w:r>
        <w:rPr>
          <w:szCs w:val="21"/>
        </w:rPr>
        <w:t>2</w:t>
      </w:r>
      <w:r>
        <w:rPr>
          <w:rFonts w:hAnsi="宋体"/>
          <w:szCs w:val="21"/>
        </w:rPr>
        <w:t>）</w:t>
      </w:r>
      <w:r>
        <w:rPr>
          <w:rFonts w:hint="eastAsia"/>
          <w:color w:val="000000"/>
        </w:rPr>
        <w:t>作用不大</w:t>
      </w:r>
      <w:r>
        <w:rPr>
          <w:rFonts w:hAnsi="宋体"/>
          <w:szCs w:val="21"/>
        </w:rPr>
        <w:t>（</w:t>
      </w:r>
      <w:r>
        <w:rPr>
          <w:szCs w:val="21"/>
        </w:rPr>
        <w:t>3</w:t>
      </w:r>
      <w:r>
        <w:rPr>
          <w:rFonts w:hAnsi="宋体"/>
          <w:szCs w:val="21"/>
        </w:rPr>
        <w:t>）</w:t>
      </w:r>
      <w:r>
        <w:rPr>
          <w:rFonts w:hint="eastAsia"/>
          <w:color w:val="000000"/>
        </w:rPr>
        <w:t>无作用</w:t>
      </w:r>
    </w:p>
    <w:p>
      <w:pPr>
        <w:adjustRightInd w:val="0"/>
        <w:snapToGrid w:val="0"/>
        <w:spacing w:line="400" w:lineRule="exact"/>
        <w:rPr>
          <w:szCs w:val="21"/>
        </w:rPr>
      </w:pPr>
      <w:r>
        <w:rPr>
          <w:szCs w:val="21"/>
        </w:rPr>
        <w:t>1</w:t>
      </w:r>
      <w:r>
        <w:rPr>
          <w:rFonts w:hint="eastAsia"/>
          <w:szCs w:val="21"/>
        </w:rPr>
        <w:t>0</w:t>
      </w:r>
      <w:r>
        <w:rPr>
          <w:rFonts w:ascii="宋体" w:hAnsi="宋体"/>
          <w:szCs w:val="21"/>
        </w:rPr>
        <w:t>．</w:t>
      </w:r>
      <w:r>
        <w:rPr>
          <w:rFonts w:hint="eastAsia"/>
          <w:color w:val="000000"/>
        </w:rPr>
        <w:t>本项目建设产生的环境影响您能否接受</w:t>
      </w:r>
    </w:p>
    <w:p>
      <w:pPr>
        <w:adjustRightInd w:val="0"/>
        <w:snapToGrid w:val="0"/>
        <w:spacing w:line="400" w:lineRule="exact"/>
        <w:rPr>
          <w:szCs w:val="21"/>
        </w:rPr>
      </w:pPr>
      <w:r>
        <w:rPr>
          <w:rFonts w:hAnsi="宋体"/>
          <w:szCs w:val="21"/>
        </w:rPr>
        <w:t>（</w:t>
      </w:r>
      <w:r>
        <w:rPr>
          <w:szCs w:val="21"/>
        </w:rPr>
        <w:t>1</w:t>
      </w:r>
      <w:r>
        <w:rPr>
          <w:rFonts w:hAnsi="宋体"/>
          <w:szCs w:val="21"/>
        </w:rPr>
        <w:t>）</w:t>
      </w:r>
      <w:r>
        <w:rPr>
          <w:rFonts w:hint="eastAsia"/>
          <w:color w:val="000000"/>
        </w:rPr>
        <w:t>可接受</w:t>
      </w:r>
      <w:r>
        <w:rPr>
          <w:rFonts w:hAnsi="宋体"/>
          <w:szCs w:val="21"/>
        </w:rPr>
        <w:t>（</w:t>
      </w:r>
      <w:r>
        <w:rPr>
          <w:szCs w:val="21"/>
        </w:rPr>
        <w:t>2</w:t>
      </w:r>
      <w:r>
        <w:rPr>
          <w:rFonts w:hAnsi="宋体"/>
          <w:szCs w:val="21"/>
        </w:rPr>
        <w:t>）</w:t>
      </w:r>
      <w:r>
        <w:rPr>
          <w:rFonts w:hint="eastAsia"/>
          <w:color w:val="000000"/>
        </w:rPr>
        <w:t>不可接受</w:t>
      </w:r>
      <w:r>
        <w:rPr>
          <w:rFonts w:hAnsi="宋体"/>
          <w:szCs w:val="21"/>
        </w:rPr>
        <w:t>（</w:t>
      </w:r>
      <w:r>
        <w:rPr>
          <w:szCs w:val="21"/>
        </w:rPr>
        <w:t>3</w:t>
      </w:r>
      <w:r>
        <w:rPr>
          <w:rFonts w:hAnsi="宋体"/>
          <w:szCs w:val="21"/>
        </w:rPr>
        <w:t>）</w:t>
      </w:r>
      <w:r>
        <w:rPr>
          <w:rFonts w:hint="eastAsia"/>
          <w:color w:val="000000"/>
        </w:rPr>
        <w:t>无所谓</w:t>
      </w:r>
    </w:p>
    <w:p>
      <w:pPr>
        <w:adjustRightInd w:val="0"/>
        <w:snapToGrid w:val="0"/>
        <w:spacing w:line="400" w:lineRule="exact"/>
        <w:rPr>
          <w:szCs w:val="21"/>
        </w:rPr>
      </w:pPr>
      <w:r>
        <w:rPr>
          <w:szCs w:val="21"/>
        </w:rPr>
        <w:t>1</w:t>
      </w:r>
      <w:r>
        <w:rPr>
          <w:rFonts w:hint="eastAsia"/>
          <w:szCs w:val="21"/>
        </w:rPr>
        <w:t>1</w:t>
      </w:r>
      <w:r>
        <w:rPr>
          <w:rFonts w:ascii="宋体" w:hAnsi="宋体"/>
          <w:szCs w:val="21"/>
        </w:rPr>
        <w:t>．</w:t>
      </w:r>
      <w:r>
        <w:rPr>
          <w:color w:val="000000"/>
        </w:rPr>
        <w:t>您</w:t>
      </w:r>
      <w:r>
        <w:rPr>
          <w:rFonts w:hint="eastAsia"/>
          <w:color w:val="000000"/>
        </w:rPr>
        <w:t>是否服从征地、拆迁和重新安置</w:t>
      </w:r>
    </w:p>
    <w:p>
      <w:pPr>
        <w:adjustRightInd w:val="0"/>
        <w:snapToGrid w:val="0"/>
        <w:spacing w:line="400" w:lineRule="exact"/>
        <w:rPr>
          <w:rFonts w:hAnsi="宋体"/>
          <w:szCs w:val="21"/>
        </w:rPr>
      </w:pPr>
      <w:r>
        <w:rPr>
          <w:rFonts w:hAnsi="宋体"/>
          <w:szCs w:val="21"/>
        </w:rPr>
        <w:t>（</w:t>
      </w:r>
      <w:r>
        <w:rPr>
          <w:rFonts w:hint="eastAsia"/>
          <w:szCs w:val="21"/>
        </w:rPr>
        <w:t>1</w:t>
      </w:r>
      <w:r>
        <w:rPr>
          <w:rFonts w:hAnsi="宋体"/>
          <w:szCs w:val="21"/>
        </w:rPr>
        <w:t>）</w:t>
      </w:r>
      <w:r>
        <w:rPr>
          <w:rFonts w:hint="eastAsia"/>
          <w:color w:val="000000"/>
        </w:rPr>
        <w:t>服从</w:t>
      </w:r>
      <w:r>
        <w:rPr>
          <w:rFonts w:hAnsi="宋体"/>
          <w:szCs w:val="21"/>
        </w:rPr>
        <w:t>（</w:t>
      </w:r>
      <w:r>
        <w:rPr>
          <w:rFonts w:hint="eastAsia"/>
          <w:szCs w:val="21"/>
        </w:rPr>
        <w:t>2</w:t>
      </w:r>
      <w:r>
        <w:rPr>
          <w:rFonts w:hAnsi="宋体"/>
          <w:szCs w:val="21"/>
        </w:rPr>
        <w:t>）</w:t>
      </w:r>
      <w:r>
        <w:rPr>
          <w:rFonts w:hint="eastAsia"/>
          <w:color w:val="000000"/>
        </w:rPr>
        <w:t>不服从</w:t>
      </w:r>
      <w:r>
        <w:rPr>
          <w:rFonts w:hAnsi="宋体"/>
          <w:szCs w:val="21"/>
        </w:rPr>
        <w:t>（</w:t>
      </w:r>
      <w:r>
        <w:rPr>
          <w:rFonts w:hint="eastAsia"/>
          <w:szCs w:val="21"/>
        </w:rPr>
        <w:t>3</w:t>
      </w:r>
      <w:r>
        <w:rPr>
          <w:rFonts w:hint="eastAsia"/>
          <w:color w:val="000000"/>
        </w:rPr>
        <w:t>有条件服从</w:t>
      </w:r>
    </w:p>
    <w:p>
      <w:pPr>
        <w:adjustRightInd w:val="0"/>
        <w:snapToGrid w:val="0"/>
        <w:spacing w:after="48" w:line="400" w:lineRule="exact"/>
        <w:rPr>
          <w:szCs w:val="21"/>
        </w:rPr>
      </w:pPr>
      <w:r>
        <w:rPr>
          <w:rFonts w:hint="eastAsia"/>
          <w:szCs w:val="21"/>
        </w:rPr>
        <w:t>12</w:t>
      </w:r>
      <w:r>
        <w:rPr>
          <w:rFonts w:ascii="宋体" w:hAnsi="宋体"/>
          <w:szCs w:val="21"/>
        </w:rPr>
        <w:t>．</w:t>
      </w:r>
      <w:r>
        <w:rPr>
          <w:rFonts w:hint="eastAsia"/>
          <w:color w:val="000000"/>
        </w:rPr>
        <w:t>建议采取何种措施减轻影响</w:t>
      </w:r>
    </w:p>
    <w:p>
      <w:pPr>
        <w:adjustRightInd w:val="0"/>
        <w:snapToGrid w:val="0"/>
        <w:spacing w:after="48" w:line="400" w:lineRule="exact"/>
        <w:rPr>
          <w:color w:val="000000" w:themeColor="text1"/>
          <w:szCs w:val="21"/>
          <w14:textFill>
            <w14:solidFill>
              <w14:schemeClr w14:val="tx1"/>
            </w14:solidFill>
          </w14:textFill>
        </w:rPr>
      </w:pPr>
      <w:r>
        <w:rPr>
          <w:rFonts w:hint="eastAsia"/>
          <w:szCs w:val="21"/>
        </w:rPr>
        <w:t>（</w:t>
      </w:r>
      <w:r>
        <w:rPr>
          <w:szCs w:val="21"/>
        </w:rPr>
        <w:t>1</w:t>
      </w:r>
      <w:r>
        <w:rPr>
          <w:rFonts w:hAnsi="宋体"/>
          <w:szCs w:val="21"/>
        </w:rPr>
        <w:t>）</w:t>
      </w:r>
      <w:r>
        <w:rPr>
          <w:rFonts w:hint="eastAsia"/>
          <w:color w:val="000000"/>
        </w:rPr>
        <w:t>绿化</w:t>
      </w:r>
      <w:r>
        <w:rPr>
          <w:rFonts w:hint="eastAsia"/>
          <w:szCs w:val="21"/>
        </w:rPr>
        <w:t>（</w:t>
      </w:r>
      <w:r>
        <w:rPr>
          <w:szCs w:val="21"/>
        </w:rPr>
        <w:t>2</w:t>
      </w:r>
      <w:r>
        <w:rPr>
          <w:rFonts w:hAnsi="宋体"/>
          <w:szCs w:val="21"/>
        </w:rPr>
        <w:t>）</w:t>
      </w:r>
      <w:r>
        <w:rPr>
          <w:rFonts w:hint="eastAsia"/>
          <w:color w:val="000000"/>
        </w:rPr>
        <w:t>洒水</w:t>
      </w:r>
      <w:r>
        <w:rPr>
          <w:rFonts w:hint="eastAsia"/>
          <w:szCs w:val="21"/>
        </w:rPr>
        <w:t>（</w:t>
      </w:r>
      <w:r>
        <w:rPr>
          <w:color w:val="000000" w:themeColor="text1"/>
          <w:szCs w:val="21"/>
          <w14:textFill>
            <w14:solidFill>
              <w14:schemeClr w14:val="tx1"/>
            </w14:solidFill>
          </w14:textFill>
        </w:rPr>
        <w:t>3</w:t>
      </w:r>
      <w:r>
        <w:rPr>
          <w:rFonts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防风挡尘网</w:t>
      </w:r>
      <w:r>
        <w:rPr>
          <w:rFonts w:hint="eastAsia"/>
          <w:color w:val="000000" w:themeColor="text1"/>
          <w:szCs w:val="21"/>
          <w14:textFill>
            <w14:solidFill>
              <w14:schemeClr w14:val="tx1"/>
            </w14:solidFill>
          </w14:textFill>
        </w:rPr>
        <w:t>（4</w:t>
      </w:r>
      <w:r>
        <w:rPr>
          <w:rFonts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其它</w:t>
      </w:r>
    </w:p>
    <w:p>
      <w:pPr>
        <w:adjustRightInd w:val="0"/>
        <w:snapToGrid w:val="0"/>
        <w:spacing w:line="400" w:lineRule="exact"/>
        <w:rPr>
          <w:rFonts w:hAnsi="宋体"/>
          <w:color w:val="000000" w:themeColor="text1"/>
          <w:szCs w:val="21"/>
          <w14:textFill>
            <w14:solidFill>
              <w14:schemeClr w14:val="tx1"/>
            </w14:solidFill>
          </w14:textFill>
        </w:rPr>
      </w:pP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3</w:t>
      </w:r>
      <w:r>
        <w:rPr>
          <w:rFonts w:ascii="宋体"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除上述问题外，您认为本项目的建设对您的工作、生活环境还有那些影响，有何具体意见和建议：</w:t>
      </w:r>
    </w:p>
    <w:p>
      <w:pPr>
        <w:pStyle w:val="5"/>
        <w:tabs>
          <w:tab w:val="left" w:pos="567"/>
          <w:tab w:val="left" w:pos="1713"/>
          <w:tab w:val="clear" w:pos="2138"/>
        </w:tabs>
        <w:spacing w:before="48" w:beforeLines="20" w:after="48" w:line="360" w:lineRule="auto"/>
        <w:ind w:left="0" w:firstLine="0"/>
        <w:rPr>
          <w:rFonts w:ascii="宋体" w:hAnsi="宋体" w:eastAsia="宋体"/>
          <w:b/>
          <w:color w:val="000000" w:themeColor="text1"/>
          <w:sz w:val="28"/>
          <w:szCs w:val="28"/>
          <w14:textFill>
            <w14:solidFill>
              <w14:schemeClr w14:val="tx1"/>
            </w14:solidFill>
          </w14:textFill>
        </w:rPr>
      </w:pPr>
      <w:bookmarkStart w:id="264" w:name="_Toc442195771"/>
      <w:r>
        <w:rPr>
          <w:rFonts w:hint="eastAsia" w:ascii="宋体" w:hAnsi="宋体" w:eastAsia="宋体"/>
          <w:b/>
          <w:color w:val="000000" w:themeColor="text1"/>
          <w:sz w:val="28"/>
          <w:szCs w:val="28"/>
          <w14:textFill>
            <w14:solidFill>
              <w14:schemeClr w14:val="tx1"/>
            </w14:solidFill>
          </w14:textFill>
        </w:rPr>
        <w:t>个人公参问卷调查</w:t>
      </w:r>
      <w:bookmarkEnd w:id="264"/>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问卷调查主要对象涉及工程施工及影响区域的社会居民。在调查过程中，参与的代表分别来自项目周边的</w:t>
      </w:r>
      <w:r>
        <w:rPr>
          <w:rFonts w:hint="eastAsia"/>
          <w:color w:val="000000" w:themeColor="text1"/>
          <w:sz w:val="24"/>
          <w14:textFill>
            <w14:solidFill>
              <w14:schemeClr w14:val="tx1"/>
            </w14:solidFill>
          </w14:textFill>
        </w:rPr>
        <w:t>村庄</w:t>
      </w:r>
      <w:r>
        <w:rPr>
          <w:color w:val="000000" w:themeColor="text1"/>
          <w:sz w:val="24"/>
          <w14:textFill>
            <w14:solidFill>
              <w14:schemeClr w14:val="tx1"/>
            </w14:solidFill>
          </w14:textFill>
        </w:rPr>
        <w:t>、社区的居民以及工企业的职工。</w:t>
      </w:r>
    </w:p>
    <w:p>
      <w:pPr>
        <w:pStyle w:val="4"/>
        <w:spacing w:line="360" w:lineRule="auto"/>
        <w:ind w:firstLine="482"/>
        <w:rPr>
          <w:b/>
          <w:color w:val="000000" w:themeColor="text1"/>
          <w:sz w:val="24"/>
          <w14:textFill>
            <w14:solidFill>
              <w14:schemeClr w14:val="tx1"/>
            </w14:solidFill>
          </w14:textFill>
        </w:rPr>
      </w:pPr>
      <w:r>
        <w:rPr>
          <w:b/>
          <w:color w:val="000000" w:themeColor="text1"/>
          <w:sz w:val="24"/>
          <w14:textFill>
            <w14:solidFill>
              <w14:schemeClr w14:val="tx1"/>
            </w14:solidFill>
          </w14:textFill>
        </w:rPr>
        <w:t>（1）调查者基本情况</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本次调查共发出个人公众参与调查表</w:t>
      </w:r>
      <w:r>
        <w:rPr>
          <w:rFonts w:hint="eastAsia"/>
          <w:color w:val="000000" w:themeColor="text1"/>
          <w:sz w:val="24"/>
          <w14:textFill>
            <w14:solidFill>
              <w14:schemeClr w14:val="tx1"/>
            </w14:solidFill>
          </w14:textFill>
        </w:rPr>
        <w:t>45</w:t>
      </w:r>
      <w:r>
        <w:rPr>
          <w:color w:val="000000" w:themeColor="text1"/>
          <w:sz w:val="24"/>
          <w14:textFill>
            <w14:solidFill>
              <w14:schemeClr w14:val="tx1"/>
            </w14:solidFill>
          </w14:textFill>
        </w:rPr>
        <w:t>份，收回有效表格</w:t>
      </w:r>
      <w:r>
        <w:rPr>
          <w:rFonts w:hint="eastAsia"/>
          <w:color w:val="000000" w:themeColor="text1"/>
          <w:sz w:val="24"/>
          <w14:textFill>
            <w14:solidFill>
              <w14:schemeClr w14:val="tx1"/>
            </w14:solidFill>
          </w14:textFill>
        </w:rPr>
        <w:t>45</w:t>
      </w:r>
      <w:r>
        <w:rPr>
          <w:color w:val="000000" w:themeColor="text1"/>
          <w:sz w:val="24"/>
          <w14:textFill>
            <w14:solidFill>
              <w14:schemeClr w14:val="tx1"/>
            </w14:solidFill>
          </w14:textFill>
        </w:rPr>
        <w:t>份，回收率为100％。被调查者人员构成见表7.5-1。</w:t>
      </w:r>
    </w:p>
    <w:p>
      <w:pPr>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表7.5-1</w:t>
      </w:r>
      <w:r>
        <w:rPr>
          <w:b/>
          <w:color w:val="000000" w:themeColor="text1"/>
          <w:sz w:val="24"/>
          <w14:textFill>
            <w14:solidFill>
              <w14:schemeClr w14:val="tx1"/>
            </w14:solidFill>
          </w14:textFill>
        </w:rPr>
        <w:tab/>
      </w:r>
      <w:r>
        <w:rPr>
          <w:b/>
          <w:color w:val="000000" w:themeColor="text1"/>
          <w:sz w:val="24"/>
          <w14:textFill>
            <w14:solidFill>
              <w14:schemeClr w14:val="tx1"/>
            </w14:solidFill>
          </w14:textFill>
        </w:rPr>
        <w:tab/>
      </w:r>
      <w:r>
        <w:rPr>
          <w:b/>
          <w:color w:val="000000" w:themeColor="text1"/>
          <w:sz w:val="24"/>
          <w14:textFill>
            <w14:solidFill>
              <w14:schemeClr w14:val="tx1"/>
            </w14:solidFill>
          </w14:textFill>
        </w:rPr>
        <w:t>问卷调查对象基本情况汇总表</w:t>
      </w:r>
    </w:p>
    <w:tbl>
      <w:tblPr>
        <w:tblStyle w:val="104"/>
        <w:tblW w:w="90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2402"/>
        <w:gridCol w:w="2402"/>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2402" w:type="dxa"/>
            <w:vAlign w:val="center"/>
          </w:tcPr>
          <w:p>
            <w:pPr>
              <w:widowControl/>
              <w:adjustRightInd w:val="0"/>
              <w:snapToGrid w:val="0"/>
              <w:spacing w:line="280" w:lineRule="exact"/>
              <w:jc w:val="center"/>
              <w:rPr>
                <w:b/>
                <w:color w:val="000000" w:themeColor="text1"/>
                <w:kern w:val="0"/>
                <w:szCs w:val="21"/>
                <w14:textFill>
                  <w14:solidFill>
                    <w14:schemeClr w14:val="tx1"/>
                  </w14:solidFill>
                </w14:textFill>
              </w:rPr>
            </w:pPr>
            <w:r>
              <w:rPr>
                <w:rFonts w:hAnsi="宋体"/>
                <w:b/>
                <w:color w:val="000000" w:themeColor="text1"/>
                <w:kern w:val="0"/>
                <w:szCs w:val="21"/>
                <w14:textFill>
                  <w14:solidFill>
                    <w14:schemeClr w14:val="tx1"/>
                  </w14:solidFill>
                </w14:textFill>
              </w:rPr>
              <w:t>项目</w:t>
            </w:r>
          </w:p>
        </w:tc>
        <w:tc>
          <w:tcPr>
            <w:tcW w:w="2402" w:type="dxa"/>
            <w:vAlign w:val="center"/>
          </w:tcPr>
          <w:p>
            <w:pPr>
              <w:widowControl/>
              <w:adjustRightInd w:val="0"/>
              <w:snapToGrid w:val="0"/>
              <w:spacing w:line="280" w:lineRule="exact"/>
              <w:jc w:val="center"/>
              <w:rPr>
                <w:b/>
                <w:color w:val="000000" w:themeColor="text1"/>
                <w:kern w:val="0"/>
                <w:szCs w:val="21"/>
                <w14:textFill>
                  <w14:solidFill>
                    <w14:schemeClr w14:val="tx1"/>
                  </w14:solidFill>
                </w14:textFill>
              </w:rPr>
            </w:pPr>
            <w:r>
              <w:rPr>
                <w:rFonts w:hAnsi="宋体"/>
                <w:b/>
                <w:color w:val="000000" w:themeColor="text1"/>
                <w:kern w:val="0"/>
                <w:szCs w:val="21"/>
                <w14:textFill>
                  <w14:solidFill>
                    <w14:schemeClr w14:val="tx1"/>
                  </w14:solidFill>
                </w14:textFill>
              </w:rPr>
              <w:t>类别</w:t>
            </w:r>
          </w:p>
        </w:tc>
        <w:tc>
          <w:tcPr>
            <w:tcW w:w="2402" w:type="dxa"/>
            <w:vAlign w:val="center"/>
          </w:tcPr>
          <w:p>
            <w:pPr>
              <w:widowControl/>
              <w:adjustRightInd w:val="0"/>
              <w:snapToGrid w:val="0"/>
              <w:spacing w:line="280" w:lineRule="exact"/>
              <w:jc w:val="center"/>
              <w:rPr>
                <w:b/>
                <w:color w:val="000000" w:themeColor="text1"/>
                <w:kern w:val="0"/>
                <w:szCs w:val="21"/>
                <w14:textFill>
                  <w14:solidFill>
                    <w14:schemeClr w14:val="tx1"/>
                  </w14:solidFill>
                </w14:textFill>
              </w:rPr>
            </w:pPr>
            <w:r>
              <w:rPr>
                <w:rFonts w:hAnsi="宋体"/>
                <w:b/>
                <w:color w:val="000000" w:themeColor="text1"/>
                <w:kern w:val="0"/>
                <w:szCs w:val="21"/>
                <w14:textFill>
                  <w14:solidFill>
                    <w14:schemeClr w14:val="tx1"/>
                  </w14:solidFill>
                </w14:textFill>
              </w:rPr>
              <w:t>人数</w:t>
            </w:r>
          </w:p>
        </w:tc>
        <w:tc>
          <w:tcPr>
            <w:tcW w:w="1815" w:type="dxa"/>
            <w:vAlign w:val="center"/>
          </w:tcPr>
          <w:p>
            <w:pPr>
              <w:widowControl/>
              <w:adjustRightInd w:val="0"/>
              <w:snapToGrid w:val="0"/>
              <w:spacing w:line="280" w:lineRule="exact"/>
              <w:jc w:val="center"/>
              <w:rPr>
                <w:b/>
                <w:color w:val="000000" w:themeColor="text1"/>
                <w:kern w:val="0"/>
                <w:szCs w:val="21"/>
                <w14:textFill>
                  <w14:solidFill>
                    <w14:schemeClr w14:val="tx1"/>
                  </w14:solidFill>
                </w14:textFill>
              </w:rPr>
            </w:pPr>
            <w:r>
              <w:rPr>
                <w:rFonts w:hAnsi="宋体"/>
                <w:b/>
                <w:color w:val="000000" w:themeColor="text1"/>
                <w:kern w:val="0"/>
                <w:szCs w:val="21"/>
                <w14:textFill>
                  <w14:solidFill>
                    <w14:schemeClr w14:val="tx1"/>
                  </w14:solidFill>
                </w14:textFill>
              </w:rPr>
              <w:t>比例</w:t>
            </w:r>
            <w:r>
              <w:rPr>
                <w:rFonts w:hint="eastAsia"/>
                <w:b/>
                <w:color w:val="000000" w:themeColor="text1"/>
                <w:kern w:val="0"/>
                <w:szCs w:val="21"/>
                <w14:textFill>
                  <w14:solidFill>
                    <w14:schemeClr w14:val="tx1"/>
                  </w14:solidFill>
                </w14:textFill>
              </w:rPr>
              <w:t>（</w:t>
            </w:r>
            <w:r>
              <w:rPr>
                <w:b/>
                <w:color w:val="000000" w:themeColor="text1"/>
                <w:kern w:val="0"/>
                <w:szCs w:val="21"/>
                <w14:textFill>
                  <w14:solidFill>
                    <w14:schemeClr w14:val="tx1"/>
                  </w14:solidFill>
                </w14:textFill>
              </w:rPr>
              <w:t>%</w:t>
            </w:r>
            <w:r>
              <w:rPr>
                <w:rFonts w:hint="eastAsia"/>
                <w:b/>
                <w:color w:val="000000" w:themeColor="text1"/>
                <w:kern w:val="0"/>
                <w:szCs w:val="21"/>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restart"/>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Ansi="宋体"/>
                <w:color w:val="000000" w:themeColor="text1"/>
                <w:kern w:val="0"/>
                <w:szCs w:val="21"/>
                <w14:textFill>
                  <w14:solidFill>
                    <w14:schemeClr w14:val="tx1"/>
                  </w14:solidFill>
                </w14:textFill>
              </w:rPr>
              <w:t>年龄</w:t>
            </w: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30岁以下</w:t>
            </w:r>
          </w:p>
        </w:tc>
        <w:tc>
          <w:tcPr>
            <w:tcW w:w="2402"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w:t>
            </w:r>
          </w:p>
        </w:tc>
        <w:tc>
          <w:tcPr>
            <w:tcW w:w="1815" w:type="dxa"/>
            <w:vAlign w:val="center"/>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31-40</w:t>
            </w:r>
          </w:p>
        </w:tc>
        <w:tc>
          <w:tcPr>
            <w:tcW w:w="2402"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6</w:t>
            </w:r>
          </w:p>
        </w:tc>
        <w:tc>
          <w:tcPr>
            <w:tcW w:w="1815" w:type="dxa"/>
            <w:vAlign w:val="center"/>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41-50</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14</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51-60</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16</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60岁以上</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6</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restart"/>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Ansi="宋体"/>
                <w:color w:val="000000" w:themeColor="text1"/>
                <w:kern w:val="0"/>
                <w:szCs w:val="21"/>
                <w14:textFill>
                  <w14:solidFill>
                    <w14:schemeClr w14:val="tx1"/>
                  </w14:solidFill>
                </w14:textFill>
              </w:rPr>
              <w:t>职业</w:t>
            </w: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农民</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42</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rFonts w:hAnsi="宋体"/>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职员</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不详</w:t>
            </w:r>
          </w:p>
        </w:tc>
        <w:tc>
          <w:tcPr>
            <w:tcW w:w="2402"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815" w:type="dxa"/>
            <w:vAlign w:val="center"/>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restart"/>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文化程度</w:t>
            </w: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小学</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rFonts w:hAnsi="宋体"/>
                <w:color w:val="000000" w:themeColor="text1"/>
                <w:kern w:val="0"/>
                <w:szCs w:val="21"/>
                <w14:textFill>
                  <w14:solidFill>
                    <w14:schemeClr w14:val="tx1"/>
                  </w14:solidFill>
                </w14:textFill>
              </w:rPr>
            </w:pPr>
            <w:r>
              <w:rPr>
                <w:rFonts w:hAnsi="宋体"/>
                <w:color w:val="000000" w:themeColor="text1"/>
                <w:kern w:val="0"/>
                <w:szCs w:val="21"/>
                <w14:textFill>
                  <w14:solidFill>
                    <w14:schemeClr w14:val="tx1"/>
                  </w14:solidFill>
                </w14:textFill>
              </w:rPr>
              <w:t>初中</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28</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Ansi="宋体"/>
                <w:color w:val="000000" w:themeColor="text1"/>
                <w:kern w:val="0"/>
                <w:szCs w:val="21"/>
                <w14:textFill>
                  <w14:solidFill>
                    <w14:schemeClr w14:val="tx1"/>
                  </w14:solidFill>
                </w14:textFill>
              </w:rPr>
              <w:t>高中</w:t>
            </w:r>
            <w:r>
              <w:rPr>
                <w:color w:val="000000" w:themeColor="text1"/>
                <w:kern w:val="0"/>
                <w:szCs w:val="21"/>
                <w14:textFill>
                  <w14:solidFill>
                    <w14:schemeClr w14:val="tx1"/>
                  </w14:solidFill>
                </w14:textFill>
              </w:rPr>
              <w:t>/</w:t>
            </w:r>
            <w:r>
              <w:rPr>
                <w:rFonts w:hAnsi="宋体"/>
                <w:color w:val="000000" w:themeColor="text1"/>
                <w:kern w:val="0"/>
                <w:szCs w:val="21"/>
                <w14:textFill>
                  <w14:solidFill>
                    <w14:schemeClr w14:val="tx1"/>
                  </w14:solidFill>
                </w14:textFill>
              </w:rPr>
              <w:t>中专</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10</w:t>
            </w:r>
          </w:p>
        </w:tc>
        <w:tc>
          <w:tcPr>
            <w:tcW w:w="1815" w:type="dxa"/>
          </w:tcPr>
          <w:p>
            <w:pPr>
              <w:spacing w:line="280" w:lineRule="exact"/>
              <w:jc w:val="center"/>
              <w:rPr>
                <w:color w:val="000000" w:themeColor="text1"/>
                <w:kern w:val="0"/>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402" w:type="dxa"/>
            <w:vMerge w:val="continue"/>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p>
        </w:tc>
        <w:tc>
          <w:tcPr>
            <w:tcW w:w="2402" w:type="dxa"/>
            <w:vAlign w:val="center"/>
          </w:tcPr>
          <w:p>
            <w:pPr>
              <w:widowControl/>
              <w:adjustRightInd w:val="0"/>
              <w:snapToGrid w:val="0"/>
              <w:spacing w:line="280" w:lineRule="exact"/>
              <w:jc w:val="center"/>
              <w:rPr>
                <w:color w:val="000000" w:themeColor="text1"/>
                <w:kern w:val="0"/>
                <w:szCs w:val="21"/>
                <w14:textFill>
                  <w14:solidFill>
                    <w14:schemeClr w14:val="tx1"/>
                  </w14:solidFill>
                </w14:textFill>
              </w:rPr>
            </w:pPr>
            <w:r>
              <w:rPr>
                <w:rFonts w:hAnsi="宋体"/>
                <w:color w:val="000000" w:themeColor="text1"/>
                <w:kern w:val="0"/>
                <w:szCs w:val="21"/>
                <w14:textFill>
                  <w14:solidFill>
                    <w14:schemeClr w14:val="tx1"/>
                  </w14:solidFill>
                </w14:textFill>
              </w:rPr>
              <w:t>大专</w:t>
            </w:r>
            <w:r>
              <w:rPr>
                <w:rFonts w:hint="eastAsia" w:hAnsi="宋体"/>
                <w:color w:val="000000" w:themeColor="text1"/>
                <w:kern w:val="0"/>
                <w:szCs w:val="21"/>
                <w14:textFill>
                  <w14:solidFill>
                    <w14:schemeClr w14:val="tx1"/>
                  </w14:solidFill>
                </w14:textFill>
              </w:rPr>
              <w:t>及本科以上</w:t>
            </w:r>
          </w:p>
        </w:tc>
        <w:tc>
          <w:tcPr>
            <w:tcW w:w="2402"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w:t>
            </w:r>
          </w:p>
        </w:tc>
        <w:tc>
          <w:tcPr>
            <w:tcW w:w="1815" w:type="dxa"/>
          </w:tcPr>
          <w:p>
            <w:pPr>
              <w:spacing w:line="280" w:lineRule="exact"/>
              <w:jc w:val="center"/>
              <w:rPr>
                <w:color w:val="000000" w:themeColor="text1"/>
                <w:kern w:val="0"/>
                <w:szCs w:val="21"/>
                <w14:textFill>
                  <w14:solidFill>
                    <w14:schemeClr w14:val="tx1"/>
                  </w14:solidFill>
                </w14:textFill>
              </w:rPr>
            </w:pPr>
          </w:p>
        </w:tc>
      </w:tr>
    </w:tbl>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由上表可知，本</w:t>
      </w:r>
      <w:r>
        <w:rPr>
          <w:color w:val="000000" w:themeColor="text1"/>
          <w:sz w:val="24"/>
          <w14:textFill>
            <w14:solidFill>
              <w14:schemeClr w14:val="tx1"/>
            </w14:solidFill>
          </w14:textFill>
        </w:rPr>
        <w:t>公众参与人群涉及</w:t>
      </w:r>
      <w:r>
        <w:rPr>
          <w:rFonts w:hint="eastAsia"/>
          <w:color w:val="000000" w:themeColor="text1"/>
          <w:sz w:val="24"/>
          <w14:textFill>
            <w14:solidFill>
              <w14:schemeClr w14:val="tx1"/>
            </w14:solidFill>
          </w14:textFill>
        </w:rPr>
        <w:t>世行贷款宜昌三峡现代物流中心基础设施项目周边的村庄和</w:t>
      </w:r>
      <w:r>
        <w:rPr>
          <w:color w:val="000000" w:themeColor="text1"/>
          <w:sz w:val="24"/>
          <w14:textFill>
            <w14:solidFill>
              <w14:schemeClr w14:val="tx1"/>
            </w14:solidFill>
          </w14:textFill>
        </w:rPr>
        <w:t>不同年龄、文化程度、职业等方面</w:t>
      </w:r>
      <w:r>
        <w:rPr>
          <w:rFonts w:hint="eastAsia"/>
          <w:color w:val="000000" w:themeColor="text1"/>
          <w:sz w:val="24"/>
          <w14:textFill>
            <w14:solidFill>
              <w14:schemeClr w14:val="tx1"/>
            </w14:solidFill>
          </w14:textFill>
        </w:rPr>
        <w:t>人群</w:t>
      </w:r>
      <w:r>
        <w:rPr>
          <w:color w:val="000000" w:themeColor="text1"/>
          <w:sz w:val="24"/>
          <w14:textFill>
            <w14:solidFill>
              <w14:schemeClr w14:val="tx1"/>
            </w14:solidFill>
          </w14:textFill>
        </w:rPr>
        <w:t>，具有</w:t>
      </w:r>
      <w:r>
        <w:rPr>
          <w:rFonts w:hint="eastAsia"/>
          <w:color w:val="000000" w:themeColor="text1"/>
          <w:sz w:val="24"/>
          <w14:textFill>
            <w14:solidFill>
              <w14:schemeClr w14:val="tx1"/>
            </w14:solidFill>
          </w14:textFill>
        </w:rPr>
        <w:t>一定的代表性和典型性，结果可信。</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（2）问卷调查结果与分析</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本项目第一次</w:t>
      </w:r>
      <w:r>
        <w:rPr>
          <w:color w:val="000000" w:themeColor="text1"/>
          <w:sz w:val="24"/>
          <w14:textFill>
            <w14:solidFill>
              <w14:schemeClr w14:val="tx1"/>
            </w14:solidFill>
          </w14:textFill>
        </w:rPr>
        <w:t>公众参与问卷调查结果汇总见表</w:t>
      </w:r>
      <w:r>
        <w:rPr>
          <w:rFonts w:hint="eastAsia"/>
          <w:color w:val="000000" w:themeColor="text1"/>
          <w:sz w:val="24"/>
          <w14:textFill>
            <w14:solidFill>
              <w14:schemeClr w14:val="tx1"/>
            </w14:solidFill>
          </w14:textFill>
        </w:rPr>
        <w:t>7.5</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w:t>
      </w:r>
    </w:p>
    <w:p>
      <w:pPr>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7.5</w:t>
      </w:r>
      <w:r>
        <w:rPr>
          <w:b/>
          <w:color w:val="000000" w:themeColor="text1"/>
          <w:sz w:val="24"/>
          <w14:textFill>
            <w14:solidFill>
              <w14:schemeClr w14:val="tx1"/>
            </w14:solidFill>
          </w14:textFill>
        </w:rPr>
        <w:t>-</w:t>
      </w:r>
      <w:r>
        <w:rPr>
          <w:rFonts w:hint="eastAsia"/>
          <w:b/>
          <w:color w:val="000000" w:themeColor="text1"/>
          <w:sz w:val="24"/>
          <w14:textFill>
            <w14:solidFill>
              <w14:schemeClr w14:val="tx1"/>
            </w14:solidFill>
          </w14:textFill>
        </w:rPr>
        <w:t>2</w:t>
      </w:r>
      <w:r>
        <w:rPr>
          <w:rFonts w:hint="eastAsia"/>
          <w:b/>
          <w:color w:val="000000" w:themeColor="text1"/>
          <w:sz w:val="24"/>
          <w14:textFill>
            <w14:solidFill>
              <w14:schemeClr w14:val="tx1"/>
            </w14:solidFill>
          </w14:textFill>
        </w:rPr>
        <w:tab/>
      </w:r>
      <w:r>
        <w:rPr>
          <w:rFonts w:hint="eastAsia"/>
          <w:b/>
          <w:color w:val="000000" w:themeColor="text1"/>
          <w:sz w:val="24"/>
          <w14:textFill>
            <w14:solidFill>
              <w14:schemeClr w14:val="tx1"/>
            </w14:solidFill>
          </w14:textFill>
        </w:rPr>
        <w:t>公众意见汇总表</w:t>
      </w:r>
    </w:p>
    <w:tbl>
      <w:tblPr>
        <w:tblStyle w:val="104"/>
        <w:tblW w:w="90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3261"/>
        <w:gridCol w:w="2694"/>
        <w:gridCol w:w="1077"/>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816" w:type="dxa"/>
            <w:vAlign w:val="center"/>
          </w:tcPr>
          <w:p>
            <w:pPr>
              <w:adjustRightInd w:val="0"/>
              <w:snapToGrid w:val="0"/>
              <w:jc w:val="center"/>
              <w:textAlignment w:val="bottom"/>
              <w:rPr>
                <w:b/>
                <w:color w:val="000000" w:themeColor="text1"/>
                <w:spacing w:val="-20"/>
                <w:szCs w:val="21"/>
                <w14:textFill>
                  <w14:solidFill>
                    <w14:schemeClr w14:val="tx1"/>
                  </w14:solidFill>
                </w14:textFill>
              </w:rPr>
            </w:pPr>
            <w:r>
              <w:rPr>
                <w:rFonts w:hAnsi="宋体"/>
                <w:b/>
                <w:color w:val="000000" w:themeColor="text1"/>
                <w:spacing w:val="-20"/>
                <w:szCs w:val="21"/>
                <w14:textFill>
                  <w14:solidFill>
                    <w14:schemeClr w14:val="tx1"/>
                  </w14:solidFill>
                </w14:textFill>
              </w:rPr>
              <w:t>序号</w:t>
            </w:r>
          </w:p>
        </w:tc>
        <w:tc>
          <w:tcPr>
            <w:tcW w:w="3261"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主要调查内容</w:t>
            </w:r>
          </w:p>
        </w:tc>
        <w:tc>
          <w:tcPr>
            <w:tcW w:w="2694"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意见</w:t>
            </w:r>
          </w:p>
        </w:tc>
        <w:tc>
          <w:tcPr>
            <w:tcW w:w="1077"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人数（人）</w:t>
            </w:r>
          </w:p>
        </w:tc>
        <w:tc>
          <w:tcPr>
            <w:tcW w:w="1173"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比例</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对本工程建设的看法</w:t>
            </w:r>
            <w:r>
              <w:rPr>
                <w:rFonts w:hAnsi="宋体"/>
                <w:color w:val="000000" w:themeColor="text1"/>
                <w:szCs w:val="21"/>
                <w14:textFill>
                  <w14:solidFill>
                    <w14:schemeClr w14:val="tx1"/>
                  </w14:solidFill>
                </w14:textFill>
              </w:rPr>
              <w:t>？</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支持</w:t>
            </w:r>
          </w:p>
        </w:tc>
        <w:tc>
          <w:tcPr>
            <w:tcW w:w="1077"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44</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97.8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反对</w:t>
            </w:r>
          </w:p>
        </w:tc>
        <w:tc>
          <w:tcPr>
            <w:tcW w:w="1077"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无所谓</w:t>
            </w:r>
          </w:p>
        </w:tc>
        <w:tc>
          <w:tcPr>
            <w:tcW w:w="1077" w:type="dxa"/>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本工程建设对您的生活收入带来什么影响</w:t>
            </w: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有利影响</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55.6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不利影响</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无影响</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您认为目前居住地的环境质量如何</w:t>
            </w: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好</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28</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62.2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一般</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16</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35.6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较差</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本项目所在地目前主要的环境问题是？</w:t>
            </w: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大气污染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17</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37.8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水污染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噪声污染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13</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28.9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生态破坏</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w:t>
            </w:r>
          </w:p>
        </w:tc>
        <w:tc>
          <w:tcPr>
            <w:tcW w:w="3261"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int="eastAsia" w:hAnsi="宋体"/>
                <w:color w:val="000000" w:themeColor="text1"/>
                <w:szCs w:val="21"/>
                <w14:textFill>
                  <w14:solidFill>
                    <w14:schemeClr w14:val="tx1"/>
                  </w14:solidFill>
                </w14:textFill>
              </w:rPr>
              <w:t>本工程建设过程中您最关心的环境有</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噪声</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生态破坏</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14</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31.1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景观破坏</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水污染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9</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大气污染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7</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6</w:t>
            </w:r>
          </w:p>
        </w:tc>
        <w:tc>
          <w:tcPr>
            <w:tcW w:w="3261"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Ansi="宋体"/>
                <w:color w:val="000000" w:themeColor="text1"/>
                <w:szCs w:val="21"/>
                <w14:textFill>
                  <w14:solidFill>
                    <w14:schemeClr w14:val="tx1"/>
                  </w14:solidFill>
                </w14:textFill>
              </w:rPr>
              <w:t>本项目运营</w:t>
            </w:r>
            <w:r>
              <w:rPr>
                <w:rFonts w:hint="eastAsia" w:hAnsi="宋体"/>
                <w:color w:val="000000" w:themeColor="text1"/>
                <w:szCs w:val="21"/>
                <w14:textFill>
                  <w14:solidFill>
                    <w14:schemeClr w14:val="tx1"/>
                  </w14:solidFill>
                </w14:textFill>
              </w:rPr>
              <w:t>期间对环境影响较大的是？</w:t>
            </w:r>
          </w:p>
        </w:tc>
        <w:tc>
          <w:tcPr>
            <w:tcW w:w="2694"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噪声</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44.4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尾气</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水污染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7</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粉尘</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13</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28.9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7</w:t>
            </w:r>
          </w:p>
        </w:tc>
        <w:tc>
          <w:tcPr>
            <w:tcW w:w="3261"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int="eastAsia" w:hAnsi="宋体"/>
                <w:color w:val="000000" w:themeColor="text1"/>
                <w:szCs w:val="21"/>
                <w14:textFill>
                  <w14:solidFill>
                    <w14:schemeClr w14:val="tx1"/>
                  </w14:solidFill>
                </w14:textFill>
              </w:rPr>
              <w:t>工程建设可能要占用部分田地、拆迁一些房屋，对此您希望最好的补偿方式是</w:t>
            </w:r>
          </w:p>
        </w:tc>
        <w:tc>
          <w:tcPr>
            <w:tcW w:w="2694"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货币补偿</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33.3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异地安置</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29</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64.5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其他</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w:t>
            </w:r>
          </w:p>
        </w:tc>
        <w:tc>
          <w:tcPr>
            <w:tcW w:w="3261"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int="eastAsia" w:hAnsi="宋体"/>
                <w:color w:val="000000" w:themeColor="text1"/>
                <w:szCs w:val="21"/>
                <w14:textFill>
                  <w14:solidFill>
                    <w14:schemeClr w14:val="tx1"/>
                  </w14:solidFill>
                </w14:textFill>
              </w:rPr>
              <w:t>工程建设对长江的影响程度</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大</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中等</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55.6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小</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19</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42.2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p>
        </w:tc>
        <w:tc>
          <w:tcPr>
            <w:tcW w:w="3261" w:type="dxa"/>
            <w:vMerge w:val="restart"/>
            <w:vAlign w:val="center"/>
          </w:tcPr>
          <w:p>
            <w:pPr>
              <w:pStyle w:val="45"/>
              <w:adjustRightInd w:val="0"/>
              <w:snapToGrid w:val="0"/>
              <w:ind w:left="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工程建设对本地区的经济发展</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较大作用</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44</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97.8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pStyle w:val="45"/>
              <w:adjustRightInd w:val="0"/>
              <w:snapToGrid w:val="0"/>
              <w:ind w:left="0"/>
              <w:jc w:val="center"/>
              <w:rPr>
                <w:rFonts w:hAnsi="宋体"/>
                <w:color w:val="000000" w:themeColor="text1"/>
                <w:sz w:val="21"/>
                <w:szCs w:val="21"/>
                <w14:textFill>
                  <w14:solidFill>
                    <w14:schemeClr w14:val="tx1"/>
                  </w14:solidFill>
                </w14:textFill>
              </w:rPr>
            </w:pPr>
          </w:p>
        </w:tc>
        <w:tc>
          <w:tcPr>
            <w:tcW w:w="2694"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作用不大</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pStyle w:val="4"/>
              <w:adjustRightInd w:val="0"/>
              <w:snapToGrid w:val="0"/>
              <w:jc w:val="center"/>
              <w:rPr>
                <w:snapToGrid w:val="0"/>
                <w:color w:val="000000" w:themeColor="text1"/>
                <w:kern w:val="0"/>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无作用</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w:t>
            </w:r>
          </w:p>
        </w:tc>
        <w:tc>
          <w:tcPr>
            <w:tcW w:w="3261" w:type="dxa"/>
            <w:vMerge w:val="restart"/>
            <w:vAlign w:val="center"/>
          </w:tcPr>
          <w:p>
            <w:pPr>
              <w:pStyle w:val="46"/>
              <w:adjustRightInd w:val="0"/>
              <w:snapToGrid w:val="0"/>
              <w:jc w:val="center"/>
              <w:rPr>
                <w:rFonts w:ascii="Times New Roman" w:hAnsi="Times New Roman"/>
                <w:color w:val="000000" w:themeColor="text1"/>
                <w:szCs w:val="21"/>
                <w14:textFill>
                  <w14:solidFill>
                    <w14:schemeClr w14:val="tx1"/>
                  </w14:solidFill>
                </w14:textFill>
              </w:rPr>
            </w:pPr>
            <w:r>
              <w:rPr>
                <w:rFonts w:hint="eastAsia" w:ascii="Times New Roman" w:hAnsi="宋体"/>
                <w:color w:val="000000" w:themeColor="text1"/>
                <w:szCs w:val="21"/>
                <w14:textFill>
                  <w14:solidFill>
                    <w14:schemeClr w14:val="tx1"/>
                  </w14:solidFill>
                </w14:textFill>
              </w:rPr>
              <w:t>本项目产生的环境影响您能否接受</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snapToGrid w:val="0"/>
                <w:color w:val="000000" w:themeColor="text1"/>
                <w:szCs w:val="21"/>
                <w14:textFill>
                  <w14:solidFill>
                    <w14:schemeClr w14:val="tx1"/>
                  </w14:solidFill>
                </w14:textFill>
              </w:rPr>
              <w:t>可接受</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44</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97.8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pStyle w:val="46"/>
              <w:adjustRightInd w:val="0"/>
              <w:snapToGrid w:val="0"/>
              <w:ind w:firstLine="480"/>
              <w:jc w:val="center"/>
              <w:rPr>
                <w:rFonts w:ascii="Times New Roman" w:hAnsi="Times New Roman"/>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snapToGrid w:val="0"/>
                <w:color w:val="000000" w:themeColor="text1"/>
                <w:szCs w:val="21"/>
                <w14:textFill>
                  <w14:solidFill>
                    <w14:schemeClr w14:val="tx1"/>
                  </w14:solidFill>
                </w14:textFill>
              </w:rPr>
              <w:t>不可接受</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pStyle w:val="4"/>
              <w:adjustRightInd w:val="0"/>
              <w:snapToGrid w:val="0"/>
              <w:ind w:firstLine="0" w:firstLineChars="0"/>
              <w:jc w:val="center"/>
              <w:rPr>
                <w:color w:val="000000" w:themeColor="text1"/>
                <w:szCs w:val="21"/>
                <w14:textFill>
                  <w14:solidFill>
                    <w14:schemeClr w14:val="tx1"/>
                  </w14:solidFill>
                </w14:textFill>
              </w:rPr>
            </w:pPr>
            <w:r>
              <w:rPr>
                <w:rFonts w:hint="eastAsia" w:hAnsi="宋体"/>
                <w:snapToGrid w:val="0"/>
                <w:color w:val="000000" w:themeColor="text1"/>
                <w:szCs w:val="21"/>
                <w14:textFill>
                  <w14:solidFill>
                    <w14:schemeClr w14:val="tx1"/>
                  </w14:solidFill>
                </w14:textFill>
              </w:rPr>
              <w:t>无所谓</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1</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您是否服从征地、拆迁和重新安置</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服从</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40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88.9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不服从</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0</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有条件服从</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2</w:t>
            </w:r>
          </w:p>
        </w:tc>
        <w:tc>
          <w:tcPr>
            <w:tcW w:w="3261"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建议采用何种措施减轻影响</w:t>
            </w: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绿化</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35</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77.8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洒水</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7</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15.6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防风挡尘网</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326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2694"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其他</w:t>
            </w:r>
          </w:p>
        </w:tc>
        <w:tc>
          <w:tcPr>
            <w:tcW w:w="1077" w:type="dxa"/>
            <w:vAlign w:val="center"/>
          </w:tcPr>
          <w:p>
            <w:pPr>
              <w:spacing w:line="280" w:lineRule="exact"/>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w:t>
            </w:r>
          </w:p>
        </w:tc>
        <w:tc>
          <w:tcPr>
            <w:tcW w:w="1173" w:type="dxa"/>
            <w:vAlign w:val="center"/>
          </w:tcPr>
          <w:p>
            <w:pPr>
              <w:jc w:val="center"/>
              <w:rPr>
                <w:rFonts w:ascii="宋体" w:hAnsi="宋体" w:cs="宋体"/>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4.4 </w:t>
            </w:r>
          </w:p>
        </w:tc>
      </w:tr>
    </w:tbl>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根据公众随机调查统计结果，得到如下汇总意见：</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1）公众对</w:t>
      </w:r>
      <w:r>
        <w:rPr>
          <w:rFonts w:hint="eastAsia"/>
          <w:color w:val="000000" w:themeColor="text1"/>
          <w:sz w:val="24"/>
          <w14:textFill>
            <w14:solidFill>
              <w14:schemeClr w14:val="tx1"/>
            </w14:solidFill>
          </w14:textFill>
        </w:rPr>
        <w:t>项目</w:t>
      </w:r>
      <w:r>
        <w:rPr>
          <w:color w:val="000000" w:themeColor="text1"/>
          <w:sz w:val="24"/>
          <w14:textFill>
            <w14:solidFill>
              <w14:schemeClr w14:val="tx1"/>
            </w14:solidFill>
          </w14:textFill>
        </w:rPr>
        <w:t>的态度及</w:t>
      </w:r>
      <w:r>
        <w:rPr>
          <w:rFonts w:hint="eastAsia"/>
          <w:color w:val="000000" w:themeColor="text1"/>
          <w:sz w:val="24"/>
          <w14:textFill>
            <w14:solidFill>
              <w14:schemeClr w14:val="tx1"/>
            </w14:solidFill>
          </w14:textFill>
        </w:rPr>
        <w:t>对生活收入影响认识程度</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97.8</w:t>
      </w:r>
      <w:r>
        <w:rPr>
          <w:color w:val="000000" w:themeColor="text1"/>
          <w:sz w:val="24"/>
          <w14:textFill>
            <w14:solidFill>
              <w14:schemeClr w14:val="tx1"/>
            </w14:solidFill>
          </w14:textFill>
        </w:rPr>
        <w:t>%的被调查者对于项目的建设持</w:t>
      </w:r>
      <w:r>
        <w:rPr>
          <w:rFonts w:hint="eastAsia"/>
          <w:color w:val="000000" w:themeColor="text1"/>
          <w:sz w:val="24"/>
          <w14:textFill>
            <w14:solidFill>
              <w14:schemeClr w14:val="tx1"/>
            </w14:solidFill>
          </w14:textFill>
        </w:rPr>
        <w:t>完全</w:t>
      </w:r>
      <w:r>
        <w:rPr>
          <w:color w:val="000000" w:themeColor="text1"/>
          <w:sz w:val="24"/>
          <w14:textFill>
            <w14:solidFill>
              <w14:schemeClr w14:val="tx1"/>
            </w14:solidFill>
          </w14:textFill>
        </w:rPr>
        <w:t>支持的态度</w:t>
      </w:r>
      <w:r>
        <w:rPr>
          <w:rFonts w:hint="eastAsia"/>
          <w:color w:val="000000" w:themeColor="text1"/>
          <w:sz w:val="24"/>
          <w14:textFill>
            <w14:solidFill>
              <w14:schemeClr w14:val="tx1"/>
            </w14:solidFill>
          </w14:textFill>
        </w:rPr>
        <w:t>，2.2%的</w:t>
      </w:r>
      <w:r>
        <w:rPr>
          <w:color w:val="000000" w:themeColor="text1"/>
          <w:sz w:val="24"/>
          <w14:textFill>
            <w14:solidFill>
              <w14:schemeClr w14:val="tx1"/>
            </w14:solidFill>
          </w14:textFill>
        </w:rPr>
        <w:t>被调查者对项目的建设持</w:t>
      </w:r>
      <w:r>
        <w:rPr>
          <w:rFonts w:hint="eastAsia"/>
          <w:color w:val="000000" w:themeColor="text1"/>
          <w:sz w:val="24"/>
          <w14:textFill>
            <w14:solidFill>
              <w14:schemeClr w14:val="tx1"/>
            </w14:solidFill>
          </w14:textFill>
        </w:rPr>
        <w:t>无所谓态度。</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55.6</w:t>
      </w:r>
      <w:r>
        <w:rPr>
          <w:color w:val="000000" w:themeColor="text1"/>
          <w:sz w:val="24"/>
          <w14:textFill>
            <w14:solidFill>
              <w14:schemeClr w14:val="tx1"/>
            </w14:solidFill>
          </w14:textFill>
        </w:rPr>
        <w:t>%的被调查者</w:t>
      </w:r>
      <w:r>
        <w:rPr>
          <w:rFonts w:hint="eastAsia"/>
          <w:color w:val="000000" w:themeColor="text1"/>
          <w:sz w:val="24"/>
          <w14:textFill>
            <w14:solidFill>
              <w14:schemeClr w14:val="tx1"/>
            </w14:solidFill>
          </w14:textFill>
        </w:rPr>
        <w:t>认为工程建设对生活收入带来有利影响，22.2%的</w:t>
      </w:r>
      <w:r>
        <w:rPr>
          <w:color w:val="000000" w:themeColor="text1"/>
          <w:sz w:val="24"/>
          <w14:textFill>
            <w14:solidFill>
              <w14:schemeClr w14:val="tx1"/>
            </w14:solidFill>
          </w14:textFill>
        </w:rPr>
        <w:t>被调查者</w:t>
      </w:r>
      <w:r>
        <w:rPr>
          <w:rFonts w:hint="eastAsia"/>
          <w:color w:val="000000" w:themeColor="text1"/>
          <w:sz w:val="24"/>
          <w14:textFill>
            <w14:solidFill>
              <w14:schemeClr w14:val="tx1"/>
            </w14:solidFill>
          </w14:textFill>
        </w:rPr>
        <w:t>认为工程建设对生活收入带来不利影响，该部分受调查者主要为占地区农民，22.2%的</w:t>
      </w:r>
      <w:r>
        <w:rPr>
          <w:color w:val="000000" w:themeColor="text1"/>
          <w:sz w:val="24"/>
          <w14:textFill>
            <w14:solidFill>
              <w14:schemeClr w14:val="tx1"/>
            </w14:solidFill>
          </w14:textFill>
        </w:rPr>
        <w:t>被调查者</w:t>
      </w:r>
      <w:r>
        <w:rPr>
          <w:rFonts w:hint="eastAsia"/>
          <w:color w:val="000000" w:themeColor="text1"/>
          <w:sz w:val="24"/>
          <w14:textFill>
            <w14:solidFill>
              <w14:schemeClr w14:val="tx1"/>
            </w14:solidFill>
          </w14:textFill>
        </w:rPr>
        <w:t>认为工程建设对生活收入无影响</w:t>
      </w:r>
      <w:r>
        <w:rPr>
          <w:color w:val="000000" w:themeColor="text1"/>
          <w:sz w:val="24"/>
          <w14:textFill>
            <w14:solidFill>
              <w14:schemeClr w14:val="tx1"/>
            </w14:solidFill>
          </w14:textFill>
        </w:rPr>
        <w:t>。</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2）公众对该地区环境现状的认识</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62.2 %的</w:t>
      </w:r>
      <w:r>
        <w:rPr>
          <w:color w:val="000000" w:themeColor="text1"/>
          <w:sz w:val="24"/>
          <w14:textFill>
            <w14:solidFill>
              <w14:schemeClr w14:val="tx1"/>
            </w14:solidFill>
          </w14:textFill>
        </w:rPr>
        <w:t>被调查者</w:t>
      </w:r>
      <w:r>
        <w:rPr>
          <w:rFonts w:hint="eastAsia"/>
          <w:color w:val="000000" w:themeColor="text1"/>
          <w:sz w:val="24"/>
          <w14:textFill>
            <w14:solidFill>
              <w14:schemeClr w14:val="tx1"/>
            </w14:solidFill>
          </w14:textFill>
        </w:rPr>
        <w:t>觉得</w:t>
      </w:r>
      <w:r>
        <w:rPr>
          <w:color w:val="000000" w:themeColor="text1"/>
          <w:sz w:val="24"/>
          <w14:textFill>
            <w14:solidFill>
              <w14:schemeClr w14:val="tx1"/>
            </w14:solidFill>
          </w14:textFill>
        </w:rPr>
        <w:t>该地区目前</w:t>
      </w:r>
      <w:r>
        <w:rPr>
          <w:rFonts w:hint="eastAsia"/>
          <w:color w:val="000000" w:themeColor="text1"/>
          <w:sz w:val="24"/>
          <w14:textFill>
            <w14:solidFill>
              <w14:schemeClr w14:val="tx1"/>
            </w14:solidFill>
          </w14:textFill>
        </w:rPr>
        <w:t>的居住</w:t>
      </w:r>
      <w:r>
        <w:rPr>
          <w:color w:val="000000" w:themeColor="text1"/>
          <w:sz w:val="24"/>
          <w14:textFill>
            <w14:solidFill>
              <w14:schemeClr w14:val="tx1"/>
            </w14:solidFill>
          </w14:textFill>
        </w:rPr>
        <w:t>环境</w:t>
      </w:r>
      <w:r>
        <w:rPr>
          <w:rFonts w:hint="eastAsia"/>
          <w:color w:val="000000" w:themeColor="text1"/>
          <w:sz w:val="24"/>
          <w14:textFill>
            <w14:solidFill>
              <w14:schemeClr w14:val="tx1"/>
            </w14:solidFill>
          </w14:textFill>
        </w:rPr>
        <w:t>质量好，35.6 %觉得一般，2.2 %觉得较差。37.8</w:t>
      </w:r>
      <w:r>
        <w:rPr>
          <w:color w:val="000000" w:themeColor="text1"/>
          <w:sz w:val="24"/>
          <w14:textFill>
            <w14:solidFill>
              <w14:schemeClr w14:val="tx1"/>
            </w14:solidFill>
          </w14:textFill>
        </w:rPr>
        <w:t>%的被调查者认为</w:t>
      </w:r>
      <w:r>
        <w:rPr>
          <w:rFonts w:hint="eastAsia"/>
          <w:color w:val="000000" w:themeColor="text1"/>
          <w:sz w:val="24"/>
          <w14:textFill>
            <w14:solidFill>
              <w14:schemeClr w14:val="tx1"/>
            </w14:solidFill>
          </w14:textFill>
        </w:rPr>
        <w:t>当地主要的环境问题是</w:t>
      </w:r>
      <w:r>
        <w:rPr>
          <w:rFonts w:hint="eastAsia" w:hAnsi="宋体"/>
          <w:color w:val="000000" w:themeColor="text1"/>
          <w:sz w:val="24"/>
          <w14:textFill>
            <w14:solidFill>
              <w14:schemeClr w14:val="tx1"/>
            </w14:solidFill>
          </w14:textFill>
        </w:rPr>
        <w:t>大气污染</w:t>
      </w:r>
      <w:r>
        <w:rPr>
          <w:rFonts w:hint="eastAsia"/>
          <w:color w:val="000000" w:themeColor="text1"/>
          <w:sz w:val="24"/>
          <w14:textFill>
            <w14:solidFill>
              <w14:schemeClr w14:val="tx1"/>
            </w14:solidFill>
          </w14:textFill>
        </w:rPr>
        <w:t>，28.9 %认为是噪声污染，</w:t>
      </w:r>
      <w:r>
        <w:rPr>
          <w:rFonts w:hint="eastAsia" w:hAnsi="宋体"/>
          <w:color w:val="000000" w:themeColor="text1"/>
          <w:sz w:val="24"/>
          <w14:textFill>
            <w14:solidFill>
              <w14:schemeClr w14:val="tx1"/>
            </w14:solidFill>
          </w14:textFill>
        </w:rPr>
        <w:t>生态破坏</w:t>
      </w:r>
      <w:r>
        <w:rPr>
          <w:rFonts w:hint="eastAsia"/>
          <w:color w:val="000000" w:themeColor="text1"/>
          <w:sz w:val="24"/>
          <w14:textFill>
            <w14:solidFill>
              <w14:schemeClr w14:val="tx1"/>
            </w14:solidFill>
          </w14:textFill>
        </w:rPr>
        <w:t>%认为是生态破坏，11.1 %则认为是水污染</w:t>
      </w:r>
      <w:r>
        <w:rPr>
          <w:color w:val="000000" w:themeColor="text1"/>
          <w:sz w:val="24"/>
          <w14:textFill>
            <w14:solidFill>
              <w14:schemeClr w14:val="tx1"/>
            </w14:solidFill>
          </w14:textFill>
        </w:rPr>
        <w:t>。说明</w:t>
      </w:r>
      <w:r>
        <w:rPr>
          <w:rFonts w:hint="eastAsia"/>
          <w:color w:val="000000" w:themeColor="text1"/>
          <w:sz w:val="24"/>
          <w14:textFill>
            <w14:solidFill>
              <w14:schemeClr w14:val="tx1"/>
            </w14:solidFill>
          </w14:textFill>
        </w:rPr>
        <w:t>本项目周边的</w:t>
      </w:r>
      <w:r>
        <w:rPr>
          <w:color w:val="000000" w:themeColor="text1"/>
          <w:sz w:val="24"/>
          <w14:textFill>
            <w14:solidFill>
              <w14:schemeClr w14:val="tx1"/>
            </w14:solidFill>
          </w14:textFill>
        </w:rPr>
        <w:t>群众具有一定的环保意识，对目前的环境污染现状有一定认识，但不够全面，需要通过宣传教育加强环保观念。</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3）公众对征地拆迁安置的态度</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关于国家及</w:t>
      </w:r>
      <w:r>
        <w:rPr>
          <w:rFonts w:hint="eastAsia"/>
          <w:color w:val="000000" w:themeColor="text1"/>
          <w:sz w:val="24"/>
          <w14:textFill>
            <w14:solidFill>
              <w14:schemeClr w14:val="tx1"/>
            </w14:solidFill>
          </w14:textFill>
        </w:rPr>
        <w:t>湖北</w:t>
      </w:r>
      <w:r>
        <w:rPr>
          <w:color w:val="000000" w:themeColor="text1"/>
          <w:sz w:val="24"/>
          <w14:textFill>
            <w14:solidFill>
              <w14:schemeClr w14:val="tx1"/>
            </w14:solidFill>
          </w14:textFill>
        </w:rPr>
        <w:t>省的征地拆迁补偿政策，</w:t>
      </w:r>
      <w:r>
        <w:rPr>
          <w:rFonts w:hint="eastAsia"/>
          <w:color w:val="000000" w:themeColor="text1"/>
          <w:sz w:val="24"/>
          <w14:textFill>
            <w14:solidFill>
              <w14:schemeClr w14:val="tx1"/>
            </w14:solidFill>
          </w14:textFill>
        </w:rPr>
        <w:t>大部分</w:t>
      </w:r>
      <w:r>
        <w:rPr>
          <w:color w:val="000000" w:themeColor="text1"/>
          <w:sz w:val="24"/>
          <w14:textFill>
            <w14:solidFill>
              <w14:schemeClr w14:val="tx1"/>
            </w14:solidFill>
          </w14:textFill>
        </w:rPr>
        <w:t>被调查者表示</w:t>
      </w:r>
      <w:r>
        <w:rPr>
          <w:rFonts w:hint="eastAsia"/>
          <w:color w:val="000000" w:themeColor="text1"/>
          <w:sz w:val="24"/>
          <w14:textFill>
            <w14:solidFill>
              <w14:schemeClr w14:val="tx1"/>
            </w14:solidFill>
          </w14:textFill>
        </w:rPr>
        <w:t>愿意，且64.5%</w:t>
      </w:r>
      <w:r>
        <w:rPr>
          <w:color w:val="000000" w:themeColor="text1"/>
          <w:sz w:val="24"/>
          <w14:textFill>
            <w14:solidFill>
              <w14:schemeClr w14:val="tx1"/>
            </w14:solidFill>
          </w14:textFill>
        </w:rPr>
        <w:t>的被调查者</w:t>
      </w:r>
      <w:r>
        <w:rPr>
          <w:rFonts w:hint="eastAsia"/>
          <w:color w:val="000000" w:themeColor="text1"/>
          <w:sz w:val="24"/>
          <w14:textFill>
            <w14:solidFill>
              <w14:schemeClr w14:val="tx1"/>
            </w14:solidFill>
          </w14:textFill>
        </w:rPr>
        <w:t>希望得到的补偿方式是</w:t>
      </w:r>
      <w:r>
        <w:rPr>
          <w:rFonts w:hint="eastAsia" w:hAnsi="宋体"/>
          <w:color w:val="000000" w:themeColor="text1"/>
          <w:sz w:val="24"/>
          <w14:textFill>
            <w14:solidFill>
              <w14:schemeClr w14:val="tx1"/>
            </w14:solidFill>
          </w14:textFill>
        </w:rPr>
        <w:t>异地安置</w:t>
      </w:r>
      <w:r>
        <w:rPr>
          <w:rFonts w:hint="eastAsia"/>
          <w:color w:val="000000" w:themeColor="text1"/>
          <w:sz w:val="24"/>
          <w14:textFill>
            <w14:solidFill>
              <w14:schemeClr w14:val="tx1"/>
            </w14:solidFill>
          </w14:textFill>
        </w:rPr>
        <w:t>，33.3%希望是</w:t>
      </w:r>
      <w:r>
        <w:rPr>
          <w:rFonts w:hint="eastAsia" w:hAnsi="宋体"/>
          <w:color w:val="000000" w:themeColor="text1"/>
          <w:sz w:val="24"/>
          <w14:textFill>
            <w14:solidFill>
              <w14:schemeClr w14:val="tx1"/>
            </w14:solidFill>
          </w14:textFill>
        </w:rPr>
        <w:t>货币补偿</w:t>
      </w:r>
      <w:r>
        <w:rPr>
          <w:rFonts w:hint="eastAsia"/>
          <w:color w:val="000000" w:themeColor="text1"/>
          <w:sz w:val="24"/>
          <w14:textFill>
            <w14:solidFill>
              <w14:schemeClr w14:val="tx1"/>
            </w14:solidFill>
          </w14:textFill>
        </w:rPr>
        <w:t>，2.2%则希望是其它，例如就业安置</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说明</w:t>
      </w:r>
      <w:r>
        <w:rPr>
          <w:color w:val="000000" w:themeColor="text1"/>
          <w:sz w:val="24"/>
          <w14:textFill>
            <w14:solidFill>
              <w14:schemeClr w14:val="tx1"/>
            </w14:solidFill>
          </w14:textFill>
        </w:rPr>
        <w:t>绝大部分的居民理解</w:t>
      </w:r>
      <w:r>
        <w:rPr>
          <w:rFonts w:hint="eastAsia"/>
          <w:color w:val="000000" w:themeColor="text1"/>
          <w:sz w:val="24"/>
          <w14:textFill>
            <w14:solidFill>
              <w14:schemeClr w14:val="tx1"/>
            </w14:solidFill>
          </w14:textFill>
        </w:rPr>
        <w:t>本项目</w:t>
      </w:r>
      <w:r>
        <w:rPr>
          <w:color w:val="000000" w:themeColor="text1"/>
          <w:sz w:val="24"/>
          <w14:textFill>
            <w14:solidFill>
              <w14:schemeClr w14:val="tx1"/>
            </w14:solidFill>
          </w14:textFill>
        </w:rPr>
        <w:t>建设产生的征地、拆迁行为。</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4）公众对</w:t>
      </w:r>
      <w:r>
        <w:rPr>
          <w:rFonts w:hint="eastAsia"/>
          <w:color w:val="000000" w:themeColor="text1"/>
          <w:sz w:val="24"/>
          <w14:textFill>
            <w14:solidFill>
              <w14:schemeClr w14:val="tx1"/>
            </w14:solidFill>
          </w14:textFill>
        </w:rPr>
        <w:t>项目</w:t>
      </w:r>
      <w:r>
        <w:rPr>
          <w:color w:val="000000" w:themeColor="text1"/>
          <w:sz w:val="24"/>
          <w14:textFill>
            <w14:solidFill>
              <w14:schemeClr w14:val="tx1"/>
            </w14:solidFill>
          </w14:textFill>
        </w:rPr>
        <w:t>建设带来影响的态度</w:t>
      </w:r>
    </w:p>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大部分公众</w:t>
      </w:r>
      <w:r>
        <w:rPr>
          <w:rFonts w:hint="eastAsia"/>
          <w:color w:val="000000" w:themeColor="text1"/>
          <w:sz w:val="24"/>
          <w14:textFill>
            <w14:solidFill>
              <w14:schemeClr w14:val="tx1"/>
            </w14:solidFill>
          </w14:textFill>
        </w:rPr>
        <w:t>比较关心</w:t>
      </w:r>
      <w:r>
        <w:rPr>
          <w:color w:val="000000" w:themeColor="text1"/>
          <w:sz w:val="24"/>
          <w14:textFill>
            <w14:solidFill>
              <w14:schemeClr w14:val="tx1"/>
            </w14:solidFill>
          </w14:textFill>
        </w:rPr>
        <w:t>该项目建成过程</w:t>
      </w:r>
      <w:r>
        <w:rPr>
          <w:rFonts w:hint="eastAsia"/>
          <w:color w:val="000000" w:themeColor="text1"/>
          <w:sz w:val="24"/>
          <w14:textFill>
            <w14:solidFill>
              <w14:schemeClr w14:val="tx1"/>
            </w14:solidFill>
          </w14:textFill>
        </w:rPr>
        <w:t>中的环境问题是生态破坏、噪声污染和水污染。</w:t>
      </w:r>
      <w:r>
        <w:rPr>
          <w:color w:val="000000" w:themeColor="text1"/>
          <w:sz w:val="24"/>
          <w14:textFill>
            <w14:solidFill>
              <w14:schemeClr w14:val="tx1"/>
            </w14:solidFill>
          </w14:textFill>
        </w:rPr>
        <w:t>认为</w:t>
      </w:r>
      <w:r>
        <w:rPr>
          <w:rFonts w:hint="eastAsia"/>
          <w:color w:val="000000" w:themeColor="text1"/>
          <w:sz w:val="24"/>
          <w14:textFill>
            <w14:solidFill>
              <w14:schemeClr w14:val="tx1"/>
            </w14:solidFill>
          </w14:textFill>
        </w:rPr>
        <w:t>生态破坏的</w:t>
      </w:r>
      <w:r>
        <w:rPr>
          <w:color w:val="000000" w:themeColor="text1"/>
          <w:sz w:val="24"/>
          <w14:textFill>
            <w14:solidFill>
              <w14:schemeClr w14:val="tx1"/>
            </w14:solidFill>
          </w14:textFill>
        </w:rPr>
        <w:t>约占</w:t>
      </w:r>
      <w:r>
        <w:rPr>
          <w:rFonts w:hint="eastAsia"/>
          <w:color w:val="000000" w:themeColor="text1"/>
          <w:sz w:val="24"/>
          <w14:textFill>
            <w14:solidFill>
              <w14:schemeClr w14:val="tx1"/>
            </w14:solidFill>
          </w14:textFill>
        </w:rPr>
        <w:t>311</w:t>
      </w:r>
      <w:r>
        <w:rPr>
          <w:color w:val="000000" w:themeColor="text1"/>
          <w:sz w:val="24"/>
          <w14:textFill>
            <w14:solidFill>
              <w14:schemeClr w14:val="tx1"/>
            </w14:solidFill>
          </w14:textFill>
        </w:rPr>
        <w:t>%，认为</w:t>
      </w:r>
      <w:r>
        <w:rPr>
          <w:rFonts w:hint="eastAsia"/>
          <w:color w:val="000000" w:themeColor="text1"/>
          <w:sz w:val="24"/>
          <w14:textFill>
            <w14:solidFill>
              <w14:schemeClr w14:val="tx1"/>
            </w14:solidFill>
          </w14:textFill>
        </w:rPr>
        <w:t>噪声污染和水污染的</w:t>
      </w:r>
      <w:r>
        <w:rPr>
          <w:color w:val="000000" w:themeColor="text1"/>
          <w:sz w:val="24"/>
          <w14:textFill>
            <w14:solidFill>
              <w14:schemeClr w14:val="tx1"/>
            </w14:solidFill>
          </w14:textFill>
        </w:rPr>
        <w:t>占</w:t>
      </w:r>
      <w:r>
        <w:rPr>
          <w:rFonts w:hint="eastAsia"/>
          <w:color w:val="000000" w:themeColor="text1"/>
          <w:sz w:val="24"/>
          <w14:textFill>
            <w14:solidFill>
              <w14:schemeClr w14:val="tx1"/>
            </w14:solidFill>
          </w14:textFill>
        </w:rPr>
        <w:t>22.2</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、20%。认为</w:t>
      </w:r>
      <w:r>
        <w:rPr>
          <w:color w:val="000000" w:themeColor="text1"/>
          <w:sz w:val="24"/>
          <w14:textFill>
            <w14:solidFill>
              <w14:schemeClr w14:val="tx1"/>
            </w14:solidFill>
          </w14:textFill>
        </w:rPr>
        <w:t>该项目建成</w:t>
      </w:r>
      <w:r>
        <w:rPr>
          <w:rFonts w:hint="eastAsia"/>
          <w:color w:val="000000" w:themeColor="text1"/>
          <w:sz w:val="24"/>
          <w14:textFill>
            <w14:solidFill>
              <w14:schemeClr w14:val="tx1"/>
            </w14:solidFill>
          </w14:textFill>
        </w:rPr>
        <w:t>后</w:t>
      </w:r>
      <w:r>
        <w:rPr>
          <w:color w:val="000000" w:themeColor="text1"/>
          <w:sz w:val="24"/>
          <w14:textFill>
            <w14:solidFill>
              <w14:schemeClr w14:val="tx1"/>
            </w14:solidFill>
          </w14:textFill>
        </w:rPr>
        <w:t>环境</w:t>
      </w:r>
      <w:r>
        <w:rPr>
          <w:rFonts w:hint="eastAsia"/>
          <w:color w:val="000000" w:themeColor="text1"/>
          <w:sz w:val="24"/>
          <w14:textFill>
            <w14:solidFill>
              <w14:schemeClr w14:val="tx1"/>
            </w14:solidFill>
          </w14:textFill>
        </w:rPr>
        <w:t>最主要的不利</w:t>
      </w:r>
      <w:r>
        <w:rPr>
          <w:color w:val="000000" w:themeColor="text1"/>
          <w:sz w:val="24"/>
          <w14:textFill>
            <w14:solidFill>
              <w14:schemeClr w14:val="tx1"/>
            </w14:solidFill>
          </w14:textFill>
        </w:rPr>
        <w:t>影响是</w:t>
      </w:r>
      <w:r>
        <w:rPr>
          <w:rFonts w:hint="eastAsia"/>
          <w:color w:val="000000" w:themeColor="text1"/>
          <w:sz w:val="24"/>
          <w14:textFill>
            <w14:solidFill>
              <w14:schemeClr w14:val="tx1"/>
            </w14:solidFill>
          </w14:textFill>
        </w:rPr>
        <w:t>噪声</w:t>
      </w:r>
      <w:r>
        <w:rPr>
          <w:color w:val="000000" w:themeColor="text1"/>
          <w:sz w:val="24"/>
          <w14:textFill>
            <w14:solidFill>
              <w14:schemeClr w14:val="tx1"/>
            </w14:solidFill>
          </w14:textFill>
        </w:rPr>
        <w:t>，约占</w:t>
      </w:r>
      <w:r>
        <w:rPr>
          <w:rFonts w:hint="eastAsia"/>
          <w:color w:val="000000" w:themeColor="text1"/>
          <w:sz w:val="24"/>
          <w14:textFill>
            <w14:solidFill>
              <w14:schemeClr w14:val="tx1"/>
            </w14:solidFill>
          </w14:textFill>
        </w:rPr>
        <w:t>44.4</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。55.6%的</w:t>
      </w:r>
      <w:r>
        <w:rPr>
          <w:color w:val="000000" w:themeColor="text1"/>
          <w:sz w:val="24"/>
          <w14:textFill>
            <w14:solidFill>
              <w14:schemeClr w14:val="tx1"/>
            </w14:solidFill>
          </w14:textFill>
        </w:rPr>
        <w:t>被调查</w:t>
      </w:r>
      <w:r>
        <w:rPr>
          <w:rFonts w:hint="eastAsia"/>
          <w:color w:val="000000" w:themeColor="text1"/>
          <w:sz w:val="24"/>
          <w14:textFill>
            <w14:solidFill>
              <w14:schemeClr w14:val="tx1"/>
            </w14:solidFill>
          </w14:textFill>
        </w:rPr>
        <w:t>者认为该项目建设对长江的影响程度为中等，42.2%认为影响程度小，2.2%认为影响程度大。77.8</w:t>
      </w:r>
      <w:r>
        <w:rPr>
          <w:color w:val="000000" w:themeColor="text1"/>
          <w:sz w:val="24"/>
          <w14:textFill>
            <w14:solidFill>
              <w14:schemeClr w14:val="tx1"/>
            </w14:solidFill>
          </w14:textFill>
        </w:rPr>
        <w:t>%的被调查者</w:t>
      </w:r>
      <w:r>
        <w:rPr>
          <w:rFonts w:hint="eastAsia"/>
          <w:color w:val="000000" w:themeColor="text1"/>
          <w:sz w:val="24"/>
          <w14:textFill>
            <w14:solidFill>
              <w14:schemeClr w14:val="tx1"/>
            </w14:solidFill>
          </w14:textFill>
        </w:rPr>
        <w:t>希望采取绿化措施来减轻本项目建设对环境的影响，15.6%则希望采取洒水措施来降低大气影响。</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5）其他意见和建议：被调查者提出应加快建设速度，提高生活保障水平，希望建设后能提供一些就业岗位，老百姓关心的施工期生态破坏、移民问题。</w:t>
      </w:r>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6）回应：针对老百姓关心的生态破坏、搬迁问题，在《环境管理计划》中给以明确；针对移民带来的问题，在《移民行动计划》中落实；针对调查者提出的加快建设速度问题，我们将向业主单位反映。</w:t>
      </w:r>
    </w:p>
    <w:p>
      <w:pPr>
        <w:pStyle w:val="5"/>
        <w:tabs>
          <w:tab w:val="left" w:pos="567"/>
          <w:tab w:val="left" w:pos="1713"/>
          <w:tab w:val="clear" w:pos="2138"/>
        </w:tabs>
        <w:spacing w:before="48" w:beforeLines="20" w:after="48" w:line="360" w:lineRule="auto"/>
        <w:ind w:left="0" w:firstLine="0"/>
        <w:rPr>
          <w:rFonts w:ascii="宋体" w:hAnsi="宋体" w:eastAsia="宋体"/>
          <w:b/>
          <w:color w:val="000000" w:themeColor="text1"/>
          <w:sz w:val="28"/>
          <w:szCs w:val="28"/>
          <w14:textFill>
            <w14:solidFill>
              <w14:schemeClr w14:val="tx1"/>
            </w14:solidFill>
          </w14:textFill>
        </w:rPr>
      </w:pPr>
      <w:bookmarkStart w:id="265" w:name="_Toc442195772"/>
      <w:r>
        <w:rPr>
          <w:rFonts w:hint="eastAsia" w:ascii="宋体" w:hAnsi="宋体" w:eastAsia="宋体"/>
          <w:b/>
          <w:color w:val="000000" w:themeColor="text1"/>
          <w:sz w:val="28"/>
          <w:szCs w:val="28"/>
          <w14:textFill>
            <w14:solidFill>
              <w14:schemeClr w14:val="tx1"/>
            </w14:solidFill>
          </w14:textFill>
        </w:rPr>
        <w:t>单位公参问卷调查</w:t>
      </w:r>
      <w:bookmarkEnd w:id="265"/>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本次公众调查充分听取了桂溪湖村委会、桂溪湖打蜡厂、桂溪湖砂石厂、桂溪湖钢管租赁站、华诚机械加工厂等5家单位团体对于项目建设和选线征地方面的意见。单位</w:t>
      </w:r>
      <w:r>
        <w:rPr>
          <w:color w:val="000000" w:themeColor="text1"/>
          <w:sz w:val="24"/>
          <w14:textFill>
            <w14:solidFill>
              <w14:schemeClr w14:val="tx1"/>
            </w14:solidFill>
          </w14:textFill>
        </w:rPr>
        <w:t>参与问卷调查结果汇总见表</w:t>
      </w:r>
      <w:r>
        <w:rPr>
          <w:rFonts w:hint="eastAsia"/>
          <w:color w:val="000000" w:themeColor="text1"/>
          <w:sz w:val="24"/>
          <w14:textFill>
            <w14:solidFill>
              <w14:schemeClr w14:val="tx1"/>
            </w14:solidFill>
          </w14:textFill>
        </w:rPr>
        <w:t>7.5</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3。</w:t>
      </w:r>
    </w:p>
    <w:p>
      <w:pPr>
        <w:spacing w:line="360" w:lineRule="auto"/>
        <w:jc w:val="center"/>
        <w:rPr>
          <w:rFonts w:eastAsiaTheme="minorEastAsia"/>
          <w:b/>
          <w:color w:val="000000" w:themeColor="text1"/>
          <w:sz w:val="24"/>
          <w14:textFill>
            <w14:solidFill>
              <w14:schemeClr w14:val="tx1"/>
            </w14:solidFill>
          </w14:textFill>
        </w:rPr>
      </w:pPr>
      <w:r>
        <w:rPr>
          <w:rFonts w:eastAsiaTheme="minorEastAsia"/>
          <w:b/>
          <w:color w:val="000000" w:themeColor="text1"/>
          <w:sz w:val="24"/>
          <w14:textFill>
            <w14:solidFill>
              <w14:schemeClr w14:val="tx1"/>
            </w14:solidFill>
          </w14:textFill>
        </w:rPr>
        <w:t>表7.5-3  单位公众参与意见汇总表</w:t>
      </w:r>
    </w:p>
    <w:tbl>
      <w:tblPr>
        <w:tblStyle w:val="104"/>
        <w:tblW w:w="8433" w:type="dxa"/>
        <w:jc w:val="center"/>
        <w:tblInd w:w="5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2835"/>
        <w:gridCol w:w="2356"/>
        <w:gridCol w:w="1077"/>
        <w:gridCol w:w="11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992" w:type="dxa"/>
            <w:vAlign w:val="center"/>
          </w:tcPr>
          <w:p>
            <w:pPr>
              <w:adjustRightInd w:val="0"/>
              <w:snapToGrid w:val="0"/>
              <w:jc w:val="center"/>
              <w:textAlignment w:val="bottom"/>
              <w:rPr>
                <w:b/>
                <w:color w:val="000000" w:themeColor="text1"/>
                <w:spacing w:val="-20"/>
                <w:szCs w:val="21"/>
                <w14:textFill>
                  <w14:solidFill>
                    <w14:schemeClr w14:val="tx1"/>
                  </w14:solidFill>
                </w14:textFill>
              </w:rPr>
            </w:pPr>
            <w:r>
              <w:rPr>
                <w:rFonts w:hAnsi="宋体"/>
                <w:b/>
                <w:color w:val="000000" w:themeColor="text1"/>
                <w:spacing w:val="-20"/>
                <w:szCs w:val="21"/>
                <w14:textFill>
                  <w14:solidFill>
                    <w14:schemeClr w14:val="tx1"/>
                  </w14:solidFill>
                </w14:textFill>
              </w:rPr>
              <w:t>序号</w:t>
            </w:r>
          </w:p>
        </w:tc>
        <w:tc>
          <w:tcPr>
            <w:tcW w:w="2835"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主要调查内容</w:t>
            </w:r>
          </w:p>
        </w:tc>
        <w:tc>
          <w:tcPr>
            <w:tcW w:w="2356"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意见</w:t>
            </w:r>
          </w:p>
        </w:tc>
        <w:tc>
          <w:tcPr>
            <w:tcW w:w="1077"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人数（人）</w:t>
            </w:r>
          </w:p>
        </w:tc>
        <w:tc>
          <w:tcPr>
            <w:tcW w:w="1173" w:type="dxa"/>
            <w:vAlign w:val="center"/>
          </w:tcPr>
          <w:p>
            <w:pPr>
              <w:adjustRightInd w:val="0"/>
              <w:snapToGrid w:val="0"/>
              <w:jc w:val="center"/>
              <w:textAlignment w:val="bottom"/>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比例</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835"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对本工程建设的看法</w:t>
            </w:r>
            <w:r>
              <w:rPr>
                <w:rFonts w:hAnsi="宋体"/>
                <w:color w:val="000000" w:themeColor="text1"/>
                <w:szCs w:val="21"/>
                <w14:textFill>
                  <w14:solidFill>
                    <w14:schemeClr w14:val="tx1"/>
                  </w14:solidFill>
                </w14:textFill>
              </w:rPr>
              <w:t>？</w:t>
            </w: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支持</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4</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反对</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无所谓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835"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工程建设是否有利于本地区、本部门经济发展</w:t>
            </w: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有利影响</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不利影响</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无影响</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w:t>
            </w:r>
          </w:p>
        </w:tc>
        <w:tc>
          <w:tcPr>
            <w:tcW w:w="2835"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本项目沿线的环境质量如何</w:t>
            </w: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好</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一般</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4</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较差</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w:t>
            </w:r>
          </w:p>
        </w:tc>
        <w:tc>
          <w:tcPr>
            <w:tcW w:w="2835"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本项目所在地目前主要的环境问题是？（多选）</w:t>
            </w: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大气污染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水污染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2</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噪声污染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生态破坏</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w:t>
            </w:r>
          </w:p>
        </w:tc>
        <w:tc>
          <w:tcPr>
            <w:tcW w:w="2835"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int="eastAsia" w:hAnsi="宋体"/>
                <w:color w:val="000000" w:themeColor="text1"/>
                <w:szCs w:val="21"/>
                <w14:textFill>
                  <w14:solidFill>
                    <w14:schemeClr w14:val="tx1"/>
                  </w14:solidFill>
                </w14:textFill>
              </w:rPr>
              <w:t>本工程建设过程中最关心的环境有（多选）</w:t>
            </w: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噪声</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引发地质灾害</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生态破坏</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景观破坏</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水污染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4</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大气污染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3</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6</w:t>
            </w:r>
          </w:p>
        </w:tc>
        <w:tc>
          <w:tcPr>
            <w:tcW w:w="2835" w:type="dxa"/>
            <w:vMerge w:val="restart"/>
            <w:vAlign w:val="center"/>
          </w:tcPr>
          <w:p>
            <w:pPr>
              <w:adjustRightInd w:val="0"/>
              <w:snapToGrid w:val="0"/>
              <w:jc w:val="center"/>
              <w:textAlignment w:val="bottom"/>
              <w:rPr>
                <w:snapToGrid w:val="0"/>
                <w:color w:val="000000" w:themeColor="text1"/>
                <w:kern w:val="0"/>
                <w:szCs w:val="21"/>
                <w14:textFill>
                  <w14:solidFill>
                    <w14:schemeClr w14:val="tx1"/>
                  </w14:solidFill>
                </w14:textFill>
              </w:rPr>
            </w:pPr>
            <w:r>
              <w:rPr>
                <w:rFonts w:hint="eastAsia" w:hAnsi="宋体"/>
                <w:color w:val="000000" w:themeColor="text1"/>
                <w:szCs w:val="21"/>
                <w14:textFill>
                  <w14:solidFill>
                    <w14:schemeClr w14:val="tx1"/>
                  </w14:solidFill>
                </w14:textFill>
              </w:rPr>
              <w:t>项目建成后</w:t>
            </w:r>
            <w:r>
              <w:rPr>
                <w:rFonts w:hAnsi="宋体"/>
                <w:color w:val="000000" w:themeColor="text1"/>
                <w:szCs w:val="21"/>
                <w14:textFill>
                  <w14:solidFill>
                    <w14:schemeClr w14:val="tx1"/>
                  </w14:solidFill>
                </w14:textFill>
              </w:rPr>
              <w:t>运营</w:t>
            </w:r>
            <w:r>
              <w:rPr>
                <w:rFonts w:hint="eastAsia" w:hAnsi="宋体"/>
                <w:color w:val="000000" w:themeColor="text1"/>
                <w:szCs w:val="21"/>
                <w14:textFill>
                  <w14:solidFill>
                    <w14:schemeClr w14:val="tx1"/>
                  </w14:solidFill>
                </w14:textFill>
              </w:rPr>
              <w:t>期间，对环境影响较大的是？（多选）</w:t>
            </w:r>
          </w:p>
        </w:tc>
        <w:tc>
          <w:tcPr>
            <w:tcW w:w="2356"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噪声</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尾气</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水污染</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2</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snapToGrid w:val="0"/>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粉尘</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2</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7</w:t>
            </w:r>
          </w:p>
        </w:tc>
        <w:tc>
          <w:tcPr>
            <w:tcW w:w="2835" w:type="dxa"/>
            <w:vMerge w:val="restart"/>
            <w:vAlign w:val="center"/>
          </w:tcPr>
          <w:p>
            <w:pPr>
              <w:pStyle w:val="45"/>
              <w:adjustRightInd w:val="0"/>
              <w:snapToGrid w:val="0"/>
              <w:ind w:left="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工程建设是否有利于提高本地区民众生活质量</w:t>
            </w: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有利</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pStyle w:val="45"/>
              <w:adjustRightInd w:val="0"/>
              <w:snapToGrid w:val="0"/>
              <w:ind w:left="0"/>
              <w:jc w:val="center"/>
              <w:rPr>
                <w:rFonts w:hAnsi="宋体"/>
                <w:color w:val="000000" w:themeColor="text1"/>
                <w:sz w:val="2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不利</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pStyle w:val="4"/>
              <w:adjustRightInd w:val="0"/>
              <w:snapToGrid w:val="0"/>
              <w:jc w:val="center"/>
              <w:rPr>
                <w:snapToGrid w:val="0"/>
                <w:color w:val="000000" w:themeColor="text1"/>
                <w:kern w:val="0"/>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作用不大</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4</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w:t>
            </w:r>
          </w:p>
        </w:tc>
        <w:tc>
          <w:tcPr>
            <w:tcW w:w="2835" w:type="dxa"/>
            <w:vMerge w:val="restart"/>
            <w:vAlign w:val="center"/>
          </w:tcPr>
          <w:p>
            <w:pPr>
              <w:pStyle w:val="46"/>
              <w:adjustRightInd w:val="0"/>
              <w:snapToGrid w:val="0"/>
              <w:ind w:firstLine="480"/>
              <w:jc w:val="center"/>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工程建设对沿线生态环境、农业资源的影响</w:t>
            </w: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影响较大</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pStyle w:val="46"/>
              <w:adjustRightInd w:val="0"/>
              <w:snapToGrid w:val="0"/>
              <w:ind w:firstLine="480"/>
              <w:jc w:val="center"/>
              <w:rPr>
                <w:rFonts w:ascii="Times New Roman" w:hAnsi="Times New Roman"/>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影响不大</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5</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356" w:type="dxa"/>
            <w:vAlign w:val="center"/>
          </w:tcPr>
          <w:p>
            <w:pPr>
              <w:pStyle w:val="4"/>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无影响</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restart"/>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p>
        </w:tc>
        <w:tc>
          <w:tcPr>
            <w:tcW w:w="2835"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工程建设对长江的影响程度</w:t>
            </w: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大</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rPr>
                <w:rFonts w:hAnsi="宋体"/>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中等</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4</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小</w:t>
            </w:r>
          </w:p>
        </w:tc>
        <w:tc>
          <w:tcPr>
            <w:tcW w:w="1077" w:type="dxa"/>
            <w:vAlign w:val="center"/>
          </w:tcPr>
          <w:p>
            <w:pPr>
              <w:spacing w:line="280" w:lineRule="exact"/>
              <w:jc w:val="center"/>
              <w:rPr>
                <w:bCs/>
                <w:color w:val="000000" w:themeColor="text1"/>
                <w:szCs w:val="22"/>
                <w14:textFill>
                  <w14:solidFill>
                    <w14:schemeClr w14:val="tx1"/>
                  </w14:solidFill>
                </w14:textFill>
              </w:rPr>
            </w:pPr>
            <w:r>
              <w:rPr>
                <w:rFonts w:hint="eastAsia"/>
                <w:bCs/>
                <w:color w:val="000000" w:themeColor="text1"/>
                <w:szCs w:val="22"/>
                <w14:textFill>
                  <w14:solidFill>
                    <w14:schemeClr w14:val="tx1"/>
                  </w14:solidFill>
                </w14:textFill>
              </w:rPr>
              <w:t>1</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vMerge w:val="continue"/>
            <w:vAlign w:val="center"/>
          </w:tcPr>
          <w:p>
            <w:pPr>
              <w:adjustRightInd w:val="0"/>
              <w:snapToGrid w:val="0"/>
              <w:jc w:val="center"/>
              <w:textAlignment w:val="bottom"/>
              <w:rPr>
                <w:color w:val="000000" w:themeColor="text1"/>
                <w:szCs w:val="21"/>
                <w14:textFill>
                  <w14:solidFill>
                    <w14:schemeClr w14:val="tx1"/>
                  </w14:solidFill>
                </w14:textFill>
              </w:rPr>
            </w:pPr>
          </w:p>
        </w:tc>
        <w:tc>
          <w:tcPr>
            <w:tcW w:w="2835" w:type="dxa"/>
            <w:vMerge w:val="continue"/>
            <w:vAlign w:val="center"/>
          </w:tcPr>
          <w:p>
            <w:pPr>
              <w:adjustRightInd w:val="0"/>
              <w:snapToGrid w:val="0"/>
              <w:jc w:val="center"/>
              <w:rPr>
                <w:color w:val="000000" w:themeColor="text1"/>
                <w:szCs w:val="21"/>
                <w14:textFill>
                  <w14:solidFill>
                    <w14:schemeClr w14:val="tx1"/>
                  </w14:solidFill>
                </w14:textFill>
              </w:rPr>
            </w:pPr>
          </w:p>
        </w:tc>
        <w:tc>
          <w:tcPr>
            <w:tcW w:w="2356" w:type="dxa"/>
            <w:vAlign w:val="center"/>
          </w:tcPr>
          <w:p>
            <w:pPr>
              <w:adjustRightInd w:val="0"/>
              <w:snapToGrid w:val="0"/>
              <w:jc w:val="center"/>
              <w:textAlignment w:val="bottom"/>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几乎没有影响</w:t>
            </w:r>
          </w:p>
        </w:tc>
        <w:tc>
          <w:tcPr>
            <w:tcW w:w="1077" w:type="dxa"/>
            <w:vAlign w:val="center"/>
          </w:tcPr>
          <w:p>
            <w:pPr>
              <w:spacing w:line="280" w:lineRule="exact"/>
              <w:jc w:val="center"/>
              <w:rPr>
                <w:bCs/>
                <w:color w:val="000000" w:themeColor="text1"/>
                <w:szCs w:val="22"/>
                <w14:textFill>
                  <w14:solidFill>
                    <w14:schemeClr w14:val="tx1"/>
                  </w14:solidFill>
                </w14:textFill>
              </w:rPr>
            </w:pPr>
            <w:r>
              <w:rPr>
                <w:bCs/>
                <w:color w:val="000000" w:themeColor="text1"/>
                <w:szCs w:val="22"/>
                <w14:textFill>
                  <w14:solidFill>
                    <w14:schemeClr w14:val="tx1"/>
                  </w14:solidFill>
                </w14:textFill>
              </w:rPr>
              <w:t>0</w:t>
            </w:r>
          </w:p>
        </w:tc>
        <w:tc>
          <w:tcPr>
            <w:tcW w:w="1173" w:type="dxa"/>
            <w:vAlign w:val="center"/>
          </w:tcPr>
          <w:p>
            <w:pPr>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p>
        </w:tc>
      </w:tr>
    </w:tbl>
    <w:p>
      <w:pPr>
        <w:pStyle w:val="4"/>
        <w:spacing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结果统计分析：本次环境影响评价，单位意见征求表回收率达100%，表明大多数单位都愿意借这个机会发表自己的意见，希望能通过正常渠道将自己的意见、看法反映上去，并对此寄予较大期望。</w:t>
      </w:r>
      <w:r>
        <w:rPr>
          <w:rFonts w:hint="eastAsia"/>
          <w:color w:val="000000" w:themeColor="text1"/>
          <w:sz w:val="24"/>
          <w14:textFill>
            <w14:solidFill>
              <w14:schemeClr w14:val="tx1"/>
            </w14:solidFill>
          </w14:textFill>
        </w:rPr>
        <w:t>桂溪湖打蜡厂对本工程建设持反对意见，认为项目建设征占砂石厂，不愿意项目建设。经调查，该砂石厂为临时占用项目区域用地，其余</w:t>
      </w:r>
      <w:r>
        <w:rPr>
          <w:color w:val="000000" w:themeColor="text1"/>
          <w:sz w:val="24"/>
          <w14:textFill>
            <w14:solidFill>
              <w14:schemeClr w14:val="tx1"/>
            </w14:solidFill>
          </w14:textFill>
        </w:rPr>
        <w:t>被调查单位对本</w:t>
      </w:r>
      <w:r>
        <w:rPr>
          <w:rFonts w:hint="eastAsia"/>
          <w:color w:val="000000" w:themeColor="text1"/>
          <w:sz w:val="24"/>
          <w14:textFill>
            <w14:solidFill>
              <w14:schemeClr w14:val="tx1"/>
            </w14:solidFill>
          </w14:textFill>
        </w:rPr>
        <w:t>项目</w:t>
      </w:r>
      <w:r>
        <w:rPr>
          <w:color w:val="000000" w:themeColor="text1"/>
          <w:sz w:val="24"/>
          <w14:textFill>
            <w14:solidFill>
              <w14:schemeClr w14:val="tx1"/>
            </w14:solidFill>
          </w14:textFill>
        </w:rPr>
        <w:t>建设的态度持积极支持态度，希望加快建设。</w:t>
      </w:r>
    </w:p>
    <w:p>
      <w:pPr>
        <w:pStyle w:val="3"/>
        <w:tabs>
          <w:tab w:val="clear" w:pos="3695"/>
        </w:tabs>
        <w:spacing w:before="120" w:after="120"/>
        <w:ind w:left="567"/>
      </w:pPr>
      <w:bookmarkStart w:id="266" w:name="_Toc442195773"/>
      <w:r>
        <w:rPr>
          <w:rFonts w:hint="eastAsia"/>
        </w:rPr>
        <w:t>第二轮公参</w:t>
      </w:r>
      <w:bookmarkEnd w:id="266"/>
    </w:p>
    <w:p>
      <w:pPr>
        <w:pStyle w:val="4"/>
        <w:spacing w:line="360" w:lineRule="auto"/>
        <w:ind w:firstLine="480"/>
        <w:rPr>
          <w:sz w:val="24"/>
        </w:rPr>
      </w:pPr>
      <w:r>
        <w:rPr>
          <w:rFonts w:hint="eastAsia"/>
          <w:sz w:val="24"/>
        </w:rPr>
        <w:t>（1）第二次网上公示</w:t>
      </w:r>
    </w:p>
    <w:p>
      <w:pPr>
        <w:pStyle w:val="4"/>
        <w:spacing w:line="360" w:lineRule="auto"/>
        <w:ind w:firstLine="480"/>
        <w:rPr>
          <w:sz w:val="24"/>
        </w:rPr>
      </w:pPr>
      <w:r>
        <w:rPr>
          <w:sz w:val="24"/>
        </w:rPr>
        <w:t>我院在</w:t>
      </w:r>
      <w:r>
        <w:rPr>
          <w:rFonts w:hint="eastAsia"/>
          <w:sz w:val="24"/>
        </w:rPr>
        <w:t>环评报告初稿基本</w:t>
      </w:r>
      <w:r>
        <w:rPr>
          <w:sz w:val="24"/>
        </w:rPr>
        <w:t>编制完成后，</w:t>
      </w:r>
      <w:r>
        <w:rPr>
          <w:rFonts w:hint="eastAsia"/>
          <w:sz w:val="24"/>
        </w:rPr>
        <w:t>于2015年12月7日，在湖北省环境保护厅进行了项目的简本公示，网址为（</w:t>
      </w:r>
      <w:r>
        <w:rPr>
          <w:sz w:val="24"/>
        </w:rPr>
        <w:t>http://www.hbepb.gov.cn/wsbs/gsgg/hpgs/hpdwhp/201512/t20151208_81744.html</w:t>
      </w:r>
      <w:r>
        <w:rPr>
          <w:rFonts w:hint="eastAsia"/>
          <w:sz w:val="24"/>
        </w:rPr>
        <w:t>）向广大公众征集对项目及环境影响评价工作的意见和建议，见图7.4-1。</w:t>
      </w:r>
      <w:r>
        <w:rPr>
          <w:sz w:val="24"/>
        </w:rPr>
        <w:t>公示期间未收到反馈意见。</w:t>
      </w:r>
    </w:p>
    <w:p>
      <w:pPr>
        <w:adjustRightInd w:val="0"/>
        <w:snapToGrid w:val="0"/>
        <w:spacing w:line="360" w:lineRule="auto"/>
        <w:jc w:val="center"/>
        <w:rPr>
          <w:rFonts w:eastAsia="黑体"/>
        </w:rPr>
      </w:pPr>
    </w:p>
    <w:p>
      <w:pPr>
        <w:adjustRightInd w:val="0"/>
        <w:snapToGrid w:val="0"/>
        <w:spacing w:line="360" w:lineRule="auto"/>
        <w:jc w:val="center"/>
        <w:rPr>
          <w:rFonts w:eastAsia="黑体"/>
        </w:rPr>
      </w:pPr>
      <w:r>
        <w:rPr>
          <w:rFonts w:eastAsia="黑体"/>
        </w:rPr>
        <w:drawing>
          <wp:inline distT="0" distB="0" distL="0" distR="0">
            <wp:extent cx="5591175" cy="4128770"/>
            <wp:effectExtent l="0" t="0" r="0" b="5080"/>
            <wp:docPr id="230" name="图片 230" descr="C:\Users\kouxueyong\Desktop\5VOAG[BQM9@[Q1DX)P5LR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C:\Users\kouxueyong\Desktop\5VOAG[BQM9@[Q1DX)P5LRHI.png"/>
                    <pic:cNvPicPr>
                      <a:picLocks noChangeAspect="1" noChangeArrowheads="1"/>
                    </pic:cNvPicPr>
                  </pic:nvPicPr>
                  <pic:blipFill>
                    <a:blip r:embed="rId142" cstate="email">
                      <a:extLst>
                        <a:ext uri="{28A0092B-C50C-407E-A947-70E740481C1C}">
                          <a14:useLocalDpi xmlns:a14="http://schemas.microsoft.com/office/drawing/2010/main" val="0"/>
                        </a:ext>
                      </a:extLst>
                    </a:blip>
                    <a:srcRect/>
                    <a:stretch>
                      <a:fillRect/>
                    </a:stretch>
                  </pic:blipFill>
                  <pic:spPr>
                    <a:xfrm>
                      <a:off x="0" y="0"/>
                      <a:ext cx="5591175" cy="4129360"/>
                    </a:xfrm>
                    <a:prstGeom prst="rect">
                      <a:avLst/>
                    </a:prstGeom>
                    <a:noFill/>
                    <a:ln>
                      <a:noFill/>
                    </a:ln>
                  </pic:spPr>
                </pic:pic>
              </a:graphicData>
            </a:graphic>
          </wp:inline>
        </w:drawing>
      </w:r>
      <w:r>
        <w:rPr>
          <w:rFonts w:eastAsia="黑体"/>
        </w:rPr>
        <w:drawing>
          <wp:inline distT="0" distB="0" distL="0" distR="0">
            <wp:extent cx="4940935" cy="2399665"/>
            <wp:effectExtent l="0" t="0" r="0" b="635"/>
            <wp:docPr id="231" name="图片 231" descr="C:\Users\kouxueyong\Desktop\KLNJN~BZLP~RRI%PEUWK[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C:\Users\kouxueyong\Desktop\KLNJN~BZLP~RRI%PEUWK[MM.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4944785" cy="2401487"/>
                    </a:xfrm>
                    <a:prstGeom prst="rect">
                      <a:avLst/>
                    </a:prstGeom>
                    <a:noFill/>
                    <a:ln>
                      <a:noFill/>
                    </a:ln>
                  </pic:spPr>
                </pic:pic>
              </a:graphicData>
            </a:graphic>
          </wp:inline>
        </w:drawing>
      </w:r>
    </w:p>
    <w:p>
      <w:pPr>
        <w:adjustRightInd w:val="0"/>
        <w:snapToGrid w:val="0"/>
        <w:spacing w:line="360" w:lineRule="auto"/>
        <w:jc w:val="center"/>
        <w:rPr>
          <w:rFonts w:eastAsia="黑体"/>
        </w:rPr>
      </w:pPr>
      <w:r>
        <w:rPr>
          <w:rFonts w:hint="eastAsia" w:eastAsia="黑体"/>
        </w:rPr>
        <w:t>图7.4-1  第二次网上公示</w:t>
      </w:r>
    </w:p>
    <w:p>
      <w:pPr>
        <w:pStyle w:val="4"/>
        <w:topLinePunct/>
        <w:spacing w:line="360" w:lineRule="auto"/>
        <w:jc w:val="center"/>
        <w:rPr>
          <w:rFonts w:eastAsia="黑体"/>
        </w:rPr>
      </w:pPr>
    </w:p>
    <w:p>
      <w:pPr/>
    </w:p>
    <w:p>
      <w:pPr>
        <w:sectPr>
          <w:headerReference r:id="rId16" w:type="default"/>
          <w:pgSz w:w="11907" w:h="16840"/>
          <w:pgMar w:top="1661" w:right="1503" w:bottom="1440" w:left="1599" w:header="1134" w:footer="992" w:gutter="0"/>
          <w:cols w:space="720" w:num="1"/>
          <w:docGrid w:linePitch="326" w:charSpace="0"/>
        </w:sectPr>
      </w:pPr>
    </w:p>
    <w:p>
      <w:pPr>
        <w:pStyle w:val="2"/>
        <w:tabs>
          <w:tab w:val="left" w:pos="2520"/>
          <w:tab w:val="clear" w:pos="6231"/>
        </w:tabs>
        <w:spacing w:before="360" w:beforeLines="150" w:after="360" w:afterLines="150" w:line="360" w:lineRule="auto"/>
        <w:ind w:left="2881" w:hanging="2342"/>
      </w:pPr>
      <w:bookmarkStart w:id="267" w:name="_Toc442195774"/>
      <w:bookmarkStart w:id="268" w:name="_Toc428864004"/>
      <w:r>
        <w:rPr>
          <w:rFonts w:hint="eastAsia" w:ascii="Times New Roman"/>
          <w:szCs w:val="32"/>
          <w:shd w:val="clear" w:color="auto" w:fill="FFFFFF"/>
        </w:rPr>
        <w:t>环境管理</w:t>
      </w:r>
      <w:r>
        <w:rPr>
          <w:rFonts w:hint="eastAsia"/>
        </w:rPr>
        <w:t>计划</w:t>
      </w:r>
      <w:bookmarkEnd w:id="267"/>
      <w:bookmarkEnd w:id="268"/>
    </w:p>
    <w:p>
      <w:pPr>
        <w:pStyle w:val="4"/>
        <w:spacing w:line="360" w:lineRule="auto"/>
        <w:ind w:firstLine="480"/>
        <w:rPr>
          <w:rFonts w:hAnsi="宋体"/>
          <w:sz w:val="24"/>
        </w:rPr>
      </w:pPr>
      <w:r>
        <w:rPr>
          <w:rFonts w:hint="eastAsia" w:hAnsi="宋体"/>
          <w:sz w:val="24"/>
        </w:rPr>
        <w:t>为了保护本</w:t>
      </w:r>
      <w:r>
        <w:rPr>
          <w:rFonts w:hint="eastAsia"/>
          <w:sz w:val="24"/>
        </w:rPr>
        <w:t>工程周围及沿线环境，确保因工程实施带来的各种不良环境影响得到有效控制和缓解，本工程在实施的</w:t>
      </w:r>
      <w:r>
        <w:rPr>
          <w:rFonts w:hint="eastAsia" w:hAnsi="宋体"/>
          <w:sz w:val="24"/>
        </w:rPr>
        <w:t>全过程中必须进行严格、科学的跟踪管理，并实施环境管理与环境监控，并为此编制了内容详细的《环境管理计划》报告，以下为《环境管理计划》的主要内容。</w:t>
      </w:r>
    </w:p>
    <w:p>
      <w:pPr>
        <w:pStyle w:val="3"/>
        <w:tabs>
          <w:tab w:val="clear" w:pos="3695"/>
        </w:tabs>
        <w:spacing w:before="120" w:after="120"/>
        <w:ind w:left="567"/>
      </w:pPr>
      <w:bookmarkStart w:id="269" w:name="_Toc428864005"/>
      <w:bookmarkStart w:id="270" w:name="_Toc442195775"/>
      <w:r>
        <w:rPr>
          <w:rFonts w:hint="eastAsia"/>
        </w:rPr>
        <w:t>环境管理</w:t>
      </w:r>
      <w:bookmarkEnd w:id="269"/>
      <w:bookmarkEnd w:id="270"/>
    </w:p>
    <w:p>
      <w:pPr>
        <w:pStyle w:val="4"/>
        <w:spacing w:line="360" w:lineRule="auto"/>
        <w:ind w:firstLine="480"/>
        <w:rPr>
          <w:sz w:val="24"/>
        </w:rPr>
      </w:pPr>
      <w:r>
        <w:rPr>
          <w:rFonts w:hint="eastAsia"/>
          <w:sz w:val="24"/>
        </w:rPr>
        <w:t>由宜昌市交通投资有限公司负责项目环境管理工作，负责制定项目环保工作计划，协调各主管部门及建设单位之间的环境管理工作，指导建设单位执行各项管理措施，负责施工期环境行动的实施与管理；负责组织项目建设的可行性研究、制定环境保护计划和设计阶段环境管理。</w:t>
      </w:r>
    </w:p>
    <w:p>
      <w:pPr>
        <w:pStyle w:val="4"/>
        <w:spacing w:line="360" w:lineRule="auto"/>
        <w:ind w:firstLine="480"/>
        <w:rPr>
          <w:sz w:val="24"/>
        </w:rPr>
      </w:pPr>
      <w:r>
        <w:rPr>
          <w:rFonts w:hint="eastAsia"/>
          <w:sz w:val="24"/>
        </w:rPr>
        <w:t>（1）设计阶段</w:t>
      </w:r>
    </w:p>
    <w:p>
      <w:pPr>
        <w:pStyle w:val="4"/>
        <w:spacing w:line="360" w:lineRule="auto"/>
        <w:ind w:firstLine="480"/>
        <w:rPr>
          <w:sz w:val="24"/>
        </w:rPr>
      </w:pPr>
      <w:r>
        <w:rPr>
          <w:rFonts w:hint="eastAsia"/>
          <w:sz w:val="24"/>
        </w:rPr>
        <w:t>由宜昌市交通投资有限公司在项目初步设计会审时把关进行监督。建设单位在工程总体发包时将施工期环境保护措施列入合同文本，要求施工单位严格执行，并实行奖惩制度。</w:t>
      </w:r>
    </w:p>
    <w:p>
      <w:pPr>
        <w:pStyle w:val="4"/>
        <w:spacing w:line="360" w:lineRule="auto"/>
        <w:ind w:firstLine="480"/>
        <w:rPr>
          <w:sz w:val="24"/>
        </w:rPr>
      </w:pPr>
      <w:r>
        <w:rPr>
          <w:rFonts w:hint="eastAsia"/>
          <w:sz w:val="24"/>
        </w:rPr>
        <w:t>（2）施工阶段</w:t>
      </w:r>
    </w:p>
    <w:p>
      <w:pPr>
        <w:pStyle w:val="4"/>
        <w:spacing w:line="360" w:lineRule="auto"/>
        <w:ind w:firstLine="480"/>
        <w:rPr>
          <w:sz w:val="24"/>
        </w:rPr>
      </w:pPr>
      <w:r>
        <w:rPr>
          <w:rFonts w:hint="eastAsia"/>
          <w:sz w:val="24"/>
        </w:rPr>
        <w:t>1）环保部门</w:t>
      </w:r>
    </w:p>
    <w:p>
      <w:pPr>
        <w:pStyle w:val="4"/>
        <w:spacing w:line="360" w:lineRule="auto"/>
        <w:ind w:firstLine="480"/>
        <w:rPr>
          <w:sz w:val="24"/>
        </w:rPr>
      </w:pPr>
      <w:r>
        <w:rPr>
          <w:rFonts w:hint="eastAsia"/>
          <w:sz w:val="24"/>
        </w:rPr>
        <w:t>由当地的环保部门、湖北省环保厅负责。宜昌市环保局接受湖北省环保厅的工作指导，监督建设单位实施环境行动计划，执行有关环境管理的法规、标准；协调各部门之间做好环保工作；负责项目环境保护设施的施工、竣工验收、运行的检查、监督管理。具体职责为：</w:t>
      </w:r>
    </w:p>
    <w:p>
      <w:pPr>
        <w:pStyle w:val="4"/>
        <w:spacing w:line="360" w:lineRule="auto"/>
        <w:ind w:firstLine="480"/>
        <w:rPr>
          <w:sz w:val="24"/>
        </w:rPr>
      </w:pPr>
      <w:r>
        <w:rPr>
          <w:rFonts w:hint="eastAsia"/>
          <w:sz w:val="24"/>
        </w:rPr>
        <w:t>①根据国家有关的施工管理条例和操作规范，结合拟建工程的具体施工计划和本报告提出的污染防治措施，制定有针对性的环境保护管理办法和详细的环保管理计划，特别是制定和实施工程承包商、环保监理工程师的环境知识及环境监测培训。</w:t>
      </w:r>
    </w:p>
    <w:p>
      <w:pPr>
        <w:pStyle w:val="4"/>
        <w:spacing w:line="360" w:lineRule="auto"/>
        <w:ind w:firstLine="480"/>
        <w:rPr>
          <w:sz w:val="24"/>
        </w:rPr>
      </w:pPr>
      <w:r>
        <w:rPr>
          <w:rFonts w:hint="eastAsia"/>
          <w:sz w:val="24"/>
        </w:rPr>
        <w:t>②定期对施工现场进行检查，监督施工单位对环境保护管理办法的执行情况，及时制止和纠正不符合管理办法的施工行为。</w:t>
      </w:r>
    </w:p>
    <w:p>
      <w:pPr>
        <w:pStyle w:val="4"/>
        <w:spacing w:line="360" w:lineRule="auto"/>
        <w:ind w:firstLine="480"/>
        <w:rPr>
          <w:sz w:val="24"/>
        </w:rPr>
      </w:pPr>
      <w:r>
        <w:rPr>
          <w:rFonts w:hint="eastAsia"/>
          <w:sz w:val="24"/>
        </w:rPr>
        <w:t>③调查、处理施工过程中出现的扰民或污染问题。</w:t>
      </w:r>
    </w:p>
    <w:p>
      <w:pPr>
        <w:pStyle w:val="4"/>
        <w:spacing w:line="360" w:lineRule="auto"/>
        <w:ind w:firstLine="480"/>
        <w:rPr>
          <w:sz w:val="24"/>
        </w:rPr>
      </w:pPr>
      <w:r>
        <w:rPr>
          <w:rFonts w:hint="eastAsia"/>
          <w:sz w:val="24"/>
        </w:rPr>
        <w:t>为有效地控制工程施工期间的环境污染，项目在建设施工阶段，不但要对工程的施工质量、进度进行管理，同时必须对施工的文明程度，环境影响减缓措施的落实情况，以及环境保护方面合同条款的执行情况进行监督检查。</w:t>
      </w:r>
    </w:p>
    <w:p>
      <w:pPr>
        <w:pStyle w:val="4"/>
        <w:spacing w:line="360" w:lineRule="auto"/>
        <w:ind w:firstLine="480"/>
        <w:rPr>
          <w:sz w:val="24"/>
        </w:rPr>
      </w:pPr>
      <w:r>
        <w:rPr>
          <w:rFonts w:hint="eastAsia"/>
          <w:sz w:val="24"/>
        </w:rPr>
        <w:t>2）建设单位及施工单位</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16"/>
        </w:rPr>
        <w:instrText xml:space="preserve">1</w:instrText>
      </w:r>
      <w:r>
        <w:rPr>
          <w:rFonts w:hint="eastAsia"/>
          <w:sz w:val="24"/>
        </w:rPr>
        <w:instrText xml:space="preserve">)</w:instrText>
      </w:r>
      <w:r>
        <w:rPr>
          <w:sz w:val="24"/>
        </w:rPr>
        <w:fldChar w:fldCharType="end"/>
      </w:r>
      <w:r>
        <w:rPr>
          <w:rFonts w:hint="eastAsia"/>
          <w:sz w:val="24"/>
        </w:rPr>
        <w:t>施工单位应按照工程合同的要求按照国家和地方政府制订的各项环保、环卫法规组织施工，并按环评报告书建议的各项环境保护措施和建议文明施工、保护环境。并向当地环境保护行政主管部门提交环境管理阶段报告。</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16"/>
        </w:rPr>
        <w:instrText xml:space="preserve">2</w:instrText>
      </w:r>
      <w:r>
        <w:rPr>
          <w:rFonts w:hint="eastAsia"/>
          <w:sz w:val="24"/>
        </w:rPr>
        <w:instrText xml:space="preserve">)</w:instrText>
      </w:r>
      <w:r>
        <w:rPr>
          <w:sz w:val="24"/>
        </w:rPr>
        <w:fldChar w:fldCharType="end"/>
      </w:r>
      <w:r>
        <w:rPr>
          <w:rFonts w:hint="eastAsia"/>
          <w:sz w:val="24"/>
        </w:rPr>
        <w:t>建设单位委托具有相应资质的监理部门设专职环境保护监理工程师监督施工单位落实各项施工期环境保护措施。</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16"/>
        </w:rPr>
        <w:instrText xml:space="preserve">3</w:instrText>
      </w:r>
      <w:r>
        <w:rPr>
          <w:rFonts w:hint="eastAsia"/>
          <w:sz w:val="24"/>
        </w:rPr>
        <w:instrText xml:space="preserve">)</w:instrText>
      </w:r>
      <w:r>
        <w:rPr>
          <w:sz w:val="24"/>
        </w:rPr>
        <w:fldChar w:fldCharType="end"/>
      </w:r>
      <w:r>
        <w:rPr>
          <w:rFonts w:hint="eastAsia"/>
          <w:sz w:val="24"/>
        </w:rPr>
        <w:t>施工单位应在各施工场地配专（兼）职环境管理人员，负责各类污染源的现场控制与管理。尤其对高噪声、高振动施工设备应严格控制其施工时间。</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16"/>
        </w:rPr>
        <w:instrText xml:space="preserve">4</w:instrText>
      </w:r>
      <w:r>
        <w:rPr>
          <w:rFonts w:hint="eastAsia"/>
          <w:sz w:val="24"/>
        </w:rPr>
        <w:instrText xml:space="preserve">)</w:instrText>
      </w:r>
      <w:r>
        <w:rPr>
          <w:sz w:val="24"/>
        </w:rPr>
        <w:fldChar w:fldCharType="end"/>
      </w:r>
      <w:r>
        <w:rPr>
          <w:rFonts w:hint="eastAsia"/>
          <w:sz w:val="24"/>
        </w:rPr>
        <w:t>建设单位和施工单位做好宣传工作。由于技术条件和施工环境的限制，即使采取了相应的控制措施，施工时带来的环境污染仍是避免不了的。因此要向沿线及受其影响区域的居民做好宣传工作，以提高人们对不利影响的心理承受力，取得理解，克服暂时困难，配合施工单位顺利完成工程的建设任务。</w:t>
      </w:r>
    </w:p>
    <w:p>
      <w:pPr>
        <w:pStyle w:val="4"/>
        <w:spacing w:line="360" w:lineRule="auto"/>
        <w:ind w:firstLine="480"/>
        <w:rPr>
          <w:sz w:val="24"/>
        </w:rPr>
      </w:pPr>
      <w:r>
        <w:rPr>
          <w:sz w:val="24"/>
        </w:rPr>
        <w:fldChar w:fldCharType="begin"/>
      </w:r>
      <w:r>
        <w:rPr>
          <w:sz w:val="24"/>
        </w:rPr>
        <w:instrText xml:space="preserve"> </w:instrText>
      </w:r>
      <w:r>
        <w:rPr>
          <w:rFonts w:hint="eastAsia"/>
          <w:sz w:val="24"/>
        </w:rPr>
        <w:instrText xml:space="preserve">eq \o\ac(○,</w:instrText>
      </w:r>
      <w:r>
        <w:rPr>
          <w:rFonts w:hint="eastAsia"/>
          <w:position w:val="3"/>
          <w:sz w:val="16"/>
        </w:rPr>
        <w:instrText xml:space="preserve">5</w:instrText>
      </w:r>
      <w:r>
        <w:rPr>
          <w:rFonts w:hint="eastAsia"/>
          <w:sz w:val="24"/>
        </w:rPr>
        <w:instrText xml:space="preserve">)</w:instrText>
      </w:r>
      <w:r>
        <w:rPr>
          <w:sz w:val="24"/>
        </w:rPr>
        <w:fldChar w:fldCharType="end"/>
      </w:r>
      <w:r>
        <w:rPr>
          <w:rFonts w:hint="eastAsia"/>
          <w:sz w:val="24"/>
        </w:rPr>
        <w:t>）建设主管部门及施工单位应设立“信仿办”，设置热线投诉电话接待群众投诉并专人限时解决问题，妥善处理市民投诉。</w:t>
      </w:r>
    </w:p>
    <w:p>
      <w:pPr>
        <w:pStyle w:val="4"/>
        <w:spacing w:line="360" w:lineRule="auto"/>
        <w:ind w:firstLine="480"/>
        <w:rPr>
          <w:sz w:val="24"/>
        </w:rPr>
      </w:pPr>
      <w:r>
        <w:rPr>
          <w:rFonts w:hint="eastAsia"/>
          <w:sz w:val="24"/>
        </w:rPr>
        <w:t>3）水保局做好水保验收和水产局做好增殖放流的相应工作。</w:t>
      </w:r>
    </w:p>
    <w:p>
      <w:pPr>
        <w:pStyle w:val="4"/>
        <w:spacing w:line="360" w:lineRule="auto"/>
        <w:ind w:firstLine="480"/>
        <w:rPr>
          <w:sz w:val="24"/>
        </w:rPr>
      </w:pPr>
      <w:r>
        <w:rPr>
          <w:rFonts w:hint="eastAsia"/>
          <w:sz w:val="24"/>
        </w:rPr>
        <w:t>（3）营运阶段：由湖北省环保厅、宜昌市环保局与子项目所在地工程主管部门负责。子项目所在地工程主管部门负责贯彻执行环境保护的法规和标准，制订环保规章制度并监督执行，了解工程环境状况，制订便于考核的环境质量控制目标，提出治理措施，并上报上级环境保护部门和行业主管部门，组织环保人员持证上岗考核及人员培训，负责开展环保技术交流及科学研究。</w:t>
      </w:r>
    </w:p>
    <w:p>
      <w:pPr>
        <w:pStyle w:val="4"/>
        <w:spacing w:line="360" w:lineRule="auto"/>
        <w:ind w:firstLine="480"/>
        <w:rPr>
          <w:sz w:val="24"/>
        </w:rPr>
      </w:pPr>
      <w:r>
        <w:rPr>
          <w:rFonts w:hint="eastAsia"/>
          <w:sz w:val="24"/>
        </w:rPr>
        <w:t>（4）施工期及营运期的环境监测由具有符合要求监测单位执行。环境监理工作由环境监理单位具体实施。各子项目竣工后，将分别成立环境保护部门，设立专职人员分管项目的环保工作。</w:t>
      </w:r>
    </w:p>
    <w:p>
      <w:pPr>
        <w:pStyle w:val="4"/>
        <w:spacing w:line="360" w:lineRule="auto"/>
        <w:ind w:firstLine="480"/>
        <w:rPr>
          <w:sz w:val="24"/>
        </w:rPr>
      </w:pPr>
      <w:r>
        <w:rPr>
          <w:rFonts w:hint="eastAsia"/>
          <w:sz w:val="24"/>
        </w:rPr>
        <w:t>项目环境保护管理程序见图8.1-1。具体职责安排建表8.1-1。</w:t>
      </w:r>
    </w:p>
    <w:p>
      <w:pPr>
        <w:spacing w:line="360" w:lineRule="auto"/>
        <w:jc w:val="center"/>
      </w:pPr>
      <w:r>
        <w:drawing>
          <wp:inline distT="0" distB="0" distL="0" distR="0">
            <wp:extent cx="5391150" cy="3705225"/>
            <wp:effectExtent l="19050" t="19050" r="19050" b="285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44" cstate="email">
                      <a:extLst>
                        <a:ext uri="{28A0092B-C50C-407E-A947-70E740481C1C}">
                          <a14:useLocalDpi xmlns:a14="http://schemas.microsoft.com/office/drawing/2010/main" val="0"/>
                        </a:ext>
                      </a:extLst>
                    </a:blip>
                    <a:srcRect/>
                    <a:stretch>
                      <a:fillRect/>
                    </a:stretch>
                  </pic:blipFill>
                  <pic:spPr>
                    <a:xfrm>
                      <a:off x="0" y="0"/>
                      <a:ext cx="5391150" cy="3705225"/>
                    </a:xfrm>
                    <a:prstGeom prst="rect">
                      <a:avLst/>
                    </a:prstGeom>
                    <a:noFill/>
                    <a:ln w="6350" cmpd="sng">
                      <a:solidFill>
                        <a:srgbClr val="000000"/>
                      </a:solidFill>
                      <a:miter lim="800000"/>
                      <a:headEnd/>
                      <a:tailEnd/>
                    </a:ln>
                    <a:effectLst/>
                  </pic:spPr>
                </pic:pic>
              </a:graphicData>
            </a:graphic>
          </wp:inline>
        </w:drawing>
      </w:r>
    </w:p>
    <w:p>
      <w:pPr>
        <w:spacing w:line="360" w:lineRule="auto"/>
        <w:jc w:val="center"/>
        <w:rPr>
          <w:b/>
        </w:rPr>
      </w:pPr>
      <w:r>
        <w:rPr>
          <w:rFonts w:hint="eastAsia"/>
          <w:b/>
        </w:rPr>
        <w:t>图8.1-1 环境保护管理程序</w:t>
      </w:r>
    </w:p>
    <w:p>
      <w:pPr>
        <w:pStyle w:val="4"/>
        <w:ind w:firstLine="422"/>
        <w:jc w:val="center"/>
        <w:rPr>
          <w:b/>
          <w:szCs w:val="21"/>
        </w:rPr>
      </w:pPr>
      <w:r>
        <w:rPr>
          <w:rFonts w:hint="eastAsia"/>
          <w:b/>
          <w:szCs w:val="21"/>
        </w:rPr>
        <w:t>表8.1-1 环境管理职责安排计划</w:t>
      </w:r>
    </w:p>
    <w:tbl>
      <w:tblPr>
        <w:tblStyle w:val="104"/>
        <w:tblW w:w="9021" w:type="dxa"/>
        <w:jc w:val="center"/>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426"/>
        <w:gridCol w:w="1809"/>
        <w:gridCol w:w="6095"/>
        <w:gridCol w:w="691"/>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tcBorders>
              <w:bottom w:val="single" w:color="000000" w:sz="6" w:space="0"/>
            </w:tcBorders>
            <w:shd w:val="clear" w:color="auto" w:fill="auto"/>
            <w:vAlign w:val="center"/>
          </w:tcPr>
          <w:p>
            <w:pPr>
              <w:widowControl/>
              <w:spacing w:line="400" w:lineRule="exact"/>
              <w:jc w:val="center"/>
              <w:rPr>
                <w:kern w:val="0"/>
                <w:szCs w:val="21"/>
              </w:rPr>
            </w:pPr>
            <w:r>
              <w:rPr>
                <w:kern w:val="0"/>
                <w:szCs w:val="21"/>
              </w:rPr>
              <w:t>阶段</w:t>
            </w:r>
          </w:p>
        </w:tc>
        <w:tc>
          <w:tcPr>
            <w:tcW w:w="1809" w:type="dxa"/>
            <w:shd w:val="clear" w:color="auto" w:fill="auto"/>
            <w:vAlign w:val="center"/>
          </w:tcPr>
          <w:p>
            <w:pPr>
              <w:widowControl/>
              <w:spacing w:line="400" w:lineRule="exact"/>
              <w:jc w:val="center"/>
              <w:rPr>
                <w:kern w:val="0"/>
                <w:szCs w:val="21"/>
              </w:rPr>
            </w:pPr>
            <w:r>
              <w:rPr>
                <w:kern w:val="0"/>
                <w:szCs w:val="21"/>
              </w:rPr>
              <w:t>项目相关方</w:t>
            </w:r>
          </w:p>
        </w:tc>
        <w:tc>
          <w:tcPr>
            <w:tcW w:w="6095" w:type="dxa"/>
            <w:shd w:val="clear" w:color="auto" w:fill="auto"/>
            <w:vAlign w:val="center"/>
          </w:tcPr>
          <w:p>
            <w:pPr>
              <w:widowControl/>
              <w:spacing w:line="400" w:lineRule="exact"/>
              <w:jc w:val="center"/>
              <w:rPr>
                <w:kern w:val="0"/>
                <w:szCs w:val="21"/>
              </w:rPr>
            </w:pPr>
            <w:r>
              <w:rPr>
                <w:kern w:val="0"/>
                <w:szCs w:val="21"/>
              </w:rPr>
              <w:t>环境职责</w:t>
            </w:r>
          </w:p>
        </w:tc>
        <w:tc>
          <w:tcPr>
            <w:tcW w:w="691" w:type="dxa"/>
            <w:shd w:val="clear" w:color="auto" w:fill="auto"/>
            <w:vAlign w:val="center"/>
          </w:tcPr>
          <w:p>
            <w:pPr>
              <w:widowControl/>
              <w:spacing w:line="400" w:lineRule="exact"/>
              <w:ind w:left="-107" w:leftChars="-51" w:right="-126" w:rightChars="-60"/>
              <w:jc w:val="center"/>
              <w:rPr>
                <w:kern w:val="0"/>
                <w:szCs w:val="21"/>
              </w:rPr>
            </w:pPr>
            <w:r>
              <w:rPr>
                <w:rFonts w:hint="eastAsia"/>
                <w:kern w:val="0"/>
                <w:szCs w:val="21"/>
              </w:rPr>
              <w:t>备注</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restart"/>
            <w:tcBorders>
              <w:top w:val="single" w:color="000000" w:sz="6" w:space="0"/>
            </w:tcBorders>
            <w:shd w:val="clear" w:color="auto" w:fill="auto"/>
            <w:vAlign w:val="center"/>
          </w:tcPr>
          <w:p>
            <w:pPr>
              <w:widowControl/>
              <w:spacing w:line="400" w:lineRule="exact"/>
              <w:jc w:val="center"/>
              <w:rPr>
                <w:kern w:val="0"/>
                <w:szCs w:val="21"/>
              </w:rPr>
            </w:pPr>
            <w:r>
              <w:rPr>
                <w:kern w:val="0"/>
                <w:szCs w:val="21"/>
              </w:rPr>
              <w:t>设计和准备</w:t>
            </w:r>
          </w:p>
        </w:tc>
        <w:tc>
          <w:tcPr>
            <w:tcW w:w="1809" w:type="dxa"/>
            <w:shd w:val="clear" w:color="auto" w:fill="auto"/>
            <w:vAlign w:val="center"/>
          </w:tcPr>
          <w:p>
            <w:pPr>
              <w:widowControl/>
              <w:spacing w:line="400" w:lineRule="exact"/>
              <w:jc w:val="center"/>
              <w:rPr>
                <w:kern w:val="0"/>
                <w:szCs w:val="21"/>
              </w:rPr>
            </w:pPr>
            <w:r>
              <w:rPr>
                <w:kern w:val="0"/>
                <w:szCs w:val="21"/>
              </w:rPr>
              <w:t>业主和/或项目办</w:t>
            </w:r>
          </w:p>
        </w:tc>
        <w:tc>
          <w:tcPr>
            <w:tcW w:w="6095" w:type="dxa"/>
            <w:shd w:val="clear" w:color="auto" w:fill="auto"/>
            <w:vAlign w:val="center"/>
          </w:tcPr>
          <w:p>
            <w:pPr>
              <w:autoSpaceDE w:val="0"/>
              <w:autoSpaceDN w:val="0"/>
              <w:adjustRightInd w:val="0"/>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负责制定项目环保工作计划，协调各主管部门及建设单位之间的环境管理工作，指导建设单位执行各项管理措施，负责施工期环境行动的实施与管理；负责组织项目建设的可行性研究、制定环境保护计划和设计阶段环境管理。负责采购合格的产品及服务；在工程总体发包时将施工期环境保护措施列入合同文本，要求施工单位严格执行，并实行奖惩制度。</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设计单位</w:t>
            </w:r>
          </w:p>
        </w:tc>
        <w:tc>
          <w:tcPr>
            <w:tcW w:w="6095" w:type="dxa"/>
            <w:shd w:val="clear" w:color="auto" w:fill="auto"/>
            <w:vAlign w:val="center"/>
          </w:tcPr>
          <w:p>
            <w:pPr>
              <w:widowControl/>
              <w:spacing w:line="400" w:lineRule="exact"/>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将环境影响评价相关措施考虑作为工程设计的一部分</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环评单位</w:t>
            </w:r>
          </w:p>
        </w:tc>
        <w:tc>
          <w:tcPr>
            <w:tcW w:w="6095" w:type="dxa"/>
            <w:shd w:val="clear" w:color="auto" w:fill="auto"/>
            <w:vAlign w:val="center"/>
          </w:tcPr>
          <w:p>
            <w:pPr>
              <w:widowControl/>
              <w:spacing w:line="400" w:lineRule="exact"/>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履行世行和国内法律规定和程序，收集资料，针对项目和环境特点提出可行的环保措施</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湖北省环保厅</w:t>
            </w:r>
          </w:p>
        </w:tc>
        <w:tc>
          <w:tcPr>
            <w:tcW w:w="6095" w:type="dxa"/>
            <w:shd w:val="clear" w:color="auto" w:fill="auto"/>
            <w:vAlign w:val="center"/>
          </w:tcPr>
          <w:p>
            <w:pPr>
              <w:widowControl/>
              <w:spacing w:line="400" w:lineRule="exact"/>
              <w:jc w:val="center"/>
              <w:rPr>
                <w:rFonts w:ascii="楷体_GB2312" w:eastAsia="楷体_GB2312" w:cs="楷体_GB2312" w:hAnsiTheme="minorHAnsi"/>
                <w:kern w:val="0"/>
                <w:szCs w:val="21"/>
              </w:rPr>
            </w:pPr>
            <w:r>
              <w:rPr>
                <w:rFonts w:hint="eastAsia" w:ascii="楷体_GB2312" w:eastAsia="楷体_GB2312" w:cs="楷体_GB2312" w:hAnsiTheme="minorHAnsi"/>
                <w:kern w:val="0"/>
                <w:szCs w:val="21"/>
              </w:rPr>
              <w:t>审批</w:t>
            </w:r>
            <w:r>
              <w:rPr>
                <w:rFonts w:ascii="楷体_GB2312" w:eastAsia="楷体_GB2312" w:cs="楷体_GB2312" w:hAnsiTheme="minorHAnsi"/>
                <w:kern w:val="0"/>
                <w:szCs w:val="21"/>
              </w:rPr>
              <w:t>环境影响报告书</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tcBorders>
              <w:bottom w:val="single" w:color="000000" w:sz="6" w:space="0"/>
            </w:tcBorders>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其他</w:t>
            </w:r>
          </w:p>
        </w:tc>
        <w:tc>
          <w:tcPr>
            <w:tcW w:w="6095" w:type="dxa"/>
            <w:shd w:val="clear" w:color="auto" w:fill="auto"/>
            <w:vAlign w:val="center"/>
          </w:tcPr>
          <w:p>
            <w:pPr>
              <w:widowControl/>
              <w:spacing w:line="400" w:lineRule="exact"/>
              <w:jc w:val="center"/>
              <w:rPr>
                <w:rFonts w:ascii="楷体_GB2312" w:eastAsia="楷体_GB2312" w:cs="楷体_GB2312" w:hAnsiTheme="minorHAnsi"/>
                <w:kern w:val="0"/>
                <w:szCs w:val="21"/>
              </w:rPr>
            </w:pPr>
            <w:r>
              <w:rPr>
                <w:rFonts w:hint="eastAsia" w:ascii="楷体_GB2312" w:eastAsia="楷体_GB2312" w:cs="楷体_GB2312" w:hAnsiTheme="minorHAnsi"/>
                <w:kern w:val="0"/>
                <w:szCs w:val="21"/>
              </w:rPr>
              <w:t>做好公参调查，</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restart"/>
            <w:tcBorders>
              <w:top w:val="single" w:color="000000" w:sz="6" w:space="0"/>
            </w:tcBorders>
            <w:shd w:val="clear" w:color="auto" w:fill="auto"/>
            <w:vAlign w:val="center"/>
          </w:tcPr>
          <w:p>
            <w:pPr>
              <w:widowControl/>
              <w:spacing w:line="400" w:lineRule="exact"/>
              <w:jc w:val="center"/>
              <w:rPr>
                <w:kern w:val="0"/>
                <w:szCs w:val="21"/>
              </w:rPr>
            </w:pPr>
            <w:r>
              <w:rPr>
                <w:kern w:val="0"/>
                <w:szCs w:val="21"/>
              </w:rPr>
              <w:t>施工期</w:t>
            </w:r>
          </w:p>
        </w:tc>
        <w:tc>
          <w:tcPr>
            <w:tcW w:w="1809" w:type="dxa"/>
            <w:shd w:val="clear" w:color="auto" w:fill="auto"/>
            <w:vAlign w:val="center"/>
          </w:tcPr>
          <w:p>
            <w:pPr>
              <w:widowControl/>
              <w:spacing w:line="400" w:lineRule="exact"/>
              <w:jc w:val="center"/>
              <w:rPr>
                <w:kern w:val="0"/>
                <w:szCs w:val="21"/>
              </w:rPr>
            </w:pPr>
            <w:r>
              <w:rPr>
                <w:kern w:val="0"/>
                <w:szCs w:val="21"/>
              </w:rPr>
              <w:t>业主和/或项目办</w:t>
            </w:r>
          </w:p>
        </w:tc>
        <w:tc>
          <w:tcPr>
            <w:tcW w:w="6095" w:type="dxa"/>
            <w:shd w:val="clear" w:color="auto" w:fill="auto"/>
            <w:vAlign w:val="center"/>
          </w:tcPr>
          <w:p>
            <w:pPr>
              <w:widowControl/>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在合同中明确承包商的环保责任；并按照世行要求做好监督、检查，确保承包商有效履行合同；向当地环境保护行政主管部门提交环境管理阶段报告</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承包商</w:t>
            </w:r>
          </w:p>
        </w:tc>
        <w:tc>
          <w:tcPr>
            <w:tcW w:w="6095" w:type="dxa"/>
            <w:shd w:val="clear" w:color="auto" w:fill="auto"/>
            <w:vAlign w:val="center"/>
          </w:tcPr>
          <w:p>
            <w:pPr>
              <w:widowControl/>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做好宣传工作。由于技术条件和施工环境的限制，即使采取了相应的控制措施，施工时带来的环境污染仍是避免不了的。因此要向沿线及受其影响区域的居民做好宣传工作，以提高人们对不利影响的心理承受力，取得理解，克服暂时困难，配合施工单位顺利完成工程的建设任务；</w:t>
            </w:r>
          </w:p>
          <w:p>
            <w:pPr>
              <w:widowControl/>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施工单位应在各施工场地配专（兼）职环境管理人员，负责各类污染源的现场控制与管理。尤其对高噪声、高振动施工设备应严格控制其施工时间；做好施工场地、道路洒水抑尘；做好施工废水的收集与处理措施。</w:t>
            </w:r>
          </w:p>
        </w:tc>
        <w:tc>
          <w:tcPr>
            <w:tcW w:w="691" w:type="dxa"/>
            <w:shd w:val="clear" w:color="auto" w:fill="auto"/>
            <w:vAlign w:val="center"/>
          </w:tcPr>
          <w:p>
            <w:pPr>
              <w:widowControl/>
              <w:spacing w:line="400" w:lineRule="exact"/>
              <w:ind w:left="-107" w:leftChars="-51" w:right="-126" w:rightChars="-60"/>
              <w:jc w:val="center"/>
              <w:rPr>
                <w:kern w:val="0"/>
                <w:szCs w:val="21"/>
              </w:rPr>
            </w:pPr>
            <w:r>
              <w:rPr>
                <w:rFonts w:hint="eastAsia" w:ascii="楷体_GB2312" w:eastAsia="楷体_GB2312" w:cs="楷体_GB2312" w:hAnsiTheme="minorHAnsi"/>
                <w:kern w:val="0"/>
                <w:szCs w:val="21"/>
              </w:rPr>
              <w:t>落实环保措施的直接责任主体</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工程/环境监理</w:t>
            </w:r>
          </w:p>
        </w:tc>
        <w:tc>
          <w:tcPr>
            <w:tcW w:w="6095" w:type="dxa"/>
            <w:shd w:val="clear" w:color="auto" w:fill="auto"/>
            <w:vAlign w:val="center"/>
          </w:tcPr>
          <w:p>
            <w:pPr>
              <w:autoSpaceDE w:val="0"/>
              <w:autoSpaceDN w:val="0"/>
              <w:adjustRightInd w:val="0"/>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监督和审计承包商开展的所有施工作业以及其它活动，并确保其符合环保要求及合同要求。</w:t>
            </w:r>
          </w:p>
        </w:tc>
        <w:tc>
          <w:tcPr>
            <w:tcW w:w="691" w:type="dxa"/>
            <w:shd w:val="clear" w:color="auto" w:fill="auto"/>
            <w:vAlign w:val="center"/>
          </w:tcPr>
          <w:p>
            <w:pPr>
              <w:widowControl/>
              <w:spacing w:line="400" w:lineRule="exact"/>
              <w:ind w:left="-107" w:leftChars="-51" w:right="-126" w:rightChars="-60"/>
              <w:jc w:val="center"/>
              <w:rPr>
                <w:rFonts w:ascii="楷体_GB2312" w:eastAsia="楷体_GB2312" w:cs="楷体_GB2312" w:hAnsiTheme="minorHAnsi"/>
                <w:kern w:val="0"/>
                <w:szCs w:val="21"/>
              </w:rPr>
            </w:pPr>
            <w:r>
              <w:rPr>
                <w:rFonts w:hint="eastAsia" w:ascii="楷体_GB2312" w:eastAsia="楷体_GB2312" w:cs="楷体_GB2312" w:hAnsiTheme="minorHAnsi"/>
                <w:kern w:val="0"/>
                <w:szCs w:val="21"/>
              </w:rPr>
              <w:t>提交环境监理报告</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当地环保局</w:t>
            </w:r>
          </w:p>
        </w:tc>
        <w:tc>
          <w:tcPr>
            <w:tcW w:w="6095" w:type="dxa"/>
            <w:shd w:val="clear" w:color="auto" w:fill="auto"/>
            <w:vAlign w:val="center"/>
          </w:tcPr>
          <w:p>
            <w:pPr>
              <w:pStyle w:val="4"/>
              <w:rPr>
                <w:rFonts w:ascii="楷体_GB2312" w:eastAsia="楷体_GB2312" w:cs="楷体_GB2312" w:hAnsiTheme="minorHAnsi"/>
                <w:kern w:val="0"/>
                <w:szCs w:val="21"/>
              </w:rPr>
            </w:pPr>
            <w:r>
              <w:rPr>
                <w:rFonts w:ascii="楷体_GB2312" w:eastAsia="楷体_GB2312" w:cs="楷体_GB2312" w:hAnsiTheme="minorHAnsi"/>
                <w:kern w:val="0"/>
                <w:szCs w:val="21"/>
              </w:rPr>
              <w:t>核查环保投资是否落实</w:t>
            </w:r>
            <w:r>
              <w:rPr>
                <w:rFonts w:hint="eastAsia" w:ascii="楷体_GB2312" w:eastAsia="楷体_GB2312" w:cs="楷体_GB2312" w:hAnsiTheme="minorHAnsi"/>
                <w:kern w:val="0"/>
                <w:szCs w:val="21"/>
              </w:rPr>
              <w:t>；</w:t>
            </w:r>
            <w:r>
              <w:rPr>
                <w:rFonts w:ascii="楷体_GB2312" w:eastAsia="楷体_GB2312" w:cs="楷体_GB2312" w:hAnsiTheme="minorHAnsi"/>
                <w:kern w:val="0"/>
                <w:szCs w:val="21"/>
              </w:rPr>
              <w:t>检查施工场所生活污水及施工废水的处理排放情况</w:t>
            </w:r>
            <w:r>
              <w:rPr>
                <w:rFonts w:hint="eastAsia" w:ascii="楷体_GB2312" w:eastAsia="楷体_GB2312" w:cs="楷体_GB2312" w:hAnsiTheme="minorHAnsi"/>
                <w:kern w:val="0"/>
                <w:szCs w:val="21"/>
              </w:rPr>
              <w:t>；</w:t>
            </w:r>
            <w:r>
              <w:rPr>
                <w:rFonts w:ascii="楷体_GB2312" w:eastAsia="楷体_GB2312" w:cs="楷体_GB2312" w:hAnsiTheme="minorHAnsi"/>
                <w:kern w:val="0"/>
                <w:szCs w:val="21"/>
              </w:rPr>
              <w:t>检查灰土搅拌站场所是否合适</w:t>
            </w:r>
            <w:r>
              <w:rPr>
                <w:rFonts w:hint="eastAsia" w:ascii="楷体_GB2312" w:eastAsia="楷体_GB2312" w:cs="楷体_GB2312" w:hAnsiTheme="minorHAnsi"/>
                <w:kern w:val="0"/>
                <w:szCs w:val="21"/>
              </w:rPr>
              <w:t>；</w:t>
            </w:r>
            <w:r>
              <w:rPr>
                <w:rFonts w:ascii="楷体_GB2312" w:eastAsia="楷体_GB2312" w:cs="楷体_GB2312" w:hAnsiTheme="minorHAnsi"/>
                <w:kern w:val="0"/>
                <w:szCs w:val="21"/>
              </w:rPr>
              <w:t>检查粉尘和噪声的污染控制，决定施工时间</w:t>
            </w:r>
            <w:r>
              <w:rPr>
                <w:rFonts w:hint="eastAsia" w:ascii="楷体_GB2312" w:eastAsia="楷体_GB2312" w:cs="楷体_GB2312" w:hAnsiTheme="minorHAnsi"/>
                <w:kern w:val="0"/>
                <w:szCs w:val="21"/>
              </w:rPr>
              <w:t>；调查、处理施工过程中出现的扰民或污染问题。定期对施工现场进行检查，监督施工单位对环境保护管理办法的执行情况，及时制止和纠正不符合管理办法的施工行为。</w:t>
            </w:r>
          </w:p>
        </w:tc>
        <w:tc>
          <w:tcPr>
            <w:tcW w:w="691" w:type="dxa"/>
            <w:shd w:val="clear" w:color="auto" w:fill="auto"/>
            <w:vAlign w:val="center"/>
          </w:tcPr>
          <w:p>
            <w:pPr>
              <w:widowControl/>
              <w:spacing w:line="400" w:lineRule="exact"/>
              <w:ind w:left="-107" w:leftChars="-51" w:right="-126" w:rightChars="-60"/>
              <w:jc w:val="center"/>
              <w:rPr>
                <w:rFonts w:ascii="楷体_GB2312" w:eastAsia="楷体_GB2312" w:cs="楷体_GB2312" w:hAnsiTheme="minorHAnsi"/>
                <w:kern w:val="0"/>
                <w:szCs w:val="21"/>
              </w:rPr>
            </w:pPr>
            <w:r>
              <w:rPr>
                <w:rFonts w:hint="eastAsia" w:ascii="楷体_GB2312" w:eastAsia="楷体_GB2312" w:cs="楷体_GB2312" w:hAnsiTheme="minorHAnsi"/>
                <w:kern w:val="0"/>
                <w:szCs w:val="21"/>
              </w:rPr>
              <w:t>履行属地管理职责</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ind w:right="-105" w:rightChars="-50"/>
              <w:jc w:val="center"/>
              <w:rPr>
                <w:kern w:val="0"/>
                <w:szCs w:val="21"/>
              </w:rPr>
            </w:pPr>
            <w:r>
              <w:rPr>
                <w:rFonts w:hint="eastAsia"/>
                <w:kern w:val="0"/>
                <w:szCs w:val="21"/>
              </w:rPr>
              <w:t>湖北省环境保护厅</w:t>
            </w:r>
          </w:p>
        </w:tc>
        <w:tc>
          <w:tcPr>
            <w:tcW w:w="6095" w:type="dxa"/>
            <w:shd w:val="clear" w:color="auto" w:fill="auto"/>
            <w:vAlign w:val="center"/>
          </w:tcPr>
          <w:p>
            <w:pPr>
              <w:widowControl/>
              <w:spacing w:line="400" w:lineRule="exact"/>
              <w:jc w:val="center"/>
              <w:rPr>
                <w:rFonts w:ascii="楷体_GB2312" w:eastAsia="楷体_GB2312" w:cs="楷体_GB2312" w:hAnsiTheme="minorHAnsi"/>
                <w:kern w:val="0"/>
                <w:szCs w:val="21"/>
              </w:rPr>
            </w:pPr>
            <w:r>
              <w:rPr>
                <w:rFonts w:hint="eastAsia" w:ascii="楷体_GB2312" w:eastAsia="楷体_GB2312" w:cs="楷体_GB2312" w:hAnsiTheme="minorHAnsi"/>
                <w:kern w:val="0"/>
                <w:szCs w:val="21"/>
              </w:rPr>
              <w:t>确保</w:t>
            </w:r>
            <w:r>
              <w:rPr>
                <w:rFonts w:ascii="楷体_GB2312" w:eastAsia="楷体_GB2312" w:cs="楷体_GB2312" w:hAnsiTheme="minorHAnsi"/>
                <w:kern w:val="0"/>
                <w:szCs w:val="21"/>
              </w:rPr>
              <w:t>环保设施</w:t>
            </w:r>
            <w:r>
              <w:rPr>
                <w:rFonts w:hint="eastAsia" w:ascii="楷体_GB2312" w:eastAsia="楷体_GB2312" w:cs="楷体_GB2312" w:hAnsiTheme="minorHAnsi"/>
                <w:kern w:val="0"/>
                <w:szCs w:val="21"/>
              </w:rPr>
              <w:t>“</w:t>
            </w:r>
            <w:r>
              <w:rPr>
                <w:rFonts w:ascii="楷体_GB2312" w:eastAsia="楷体_GB2312" w:cs="楷体_GB2312" w:hAnsiTheme="minorHAnsi"/>
                <w:kern w:val="0"/>
                <w:szCs w:val="21"/>
              </w:rPr>
              <w:t xml:space="preserve">三同时 </w:t>
            </w:r>
            <w:r>
              <w:rPr>
                <w:rFonts w:hint="eastAsia" w:ascii="楷体_GB2312" w:eastAsia="楷体_GB2312" w:cs="楷体_GB2312" w:hAnsiTheme="minorHAnsi"/>
                <w:kern w:val="0"/>
                <w:szCs w:val="21"/>
              </w:rPr>
              <w:t>”</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其他</w:t>
            </w:r>
          </w:p>
        </w:tc>
        <w:tc>
          <w:tcPr>
            <w:tcW w:w="6095" w:type="dxa"/>
            <w:shd w:val="clear" w:color="auto" w:fill="auto"/>
            <w:vAlign w:val="center"/>
          </w:tcPr>
          <w:p>
            <w:pPr>
              <w:pStyle w:val="4"/>
              <w:rPr>
                <w:kern w:val="0"/>
                <w:szCs w:val="21"/>
              </w:rPr>
            </w:pPr>
            <w:r>
              <w:rPr>
                <w:rFonts w:hint="eastAsia" w:ascii="楷体_GB2312" w:eastAsia="楷体_GB2312" w:cs="楷体_GB2312" w:hAnsiTheme="minorHAnsi"/>
                <w:kern w:val="0"/>
                <w:szCs w:val="21"/>
              </w:rPr>
              <w:t>接受群众监督、开辟群众监督渠道；由项目业主聘请独立环境管理顾问，独立于环境监理工程师和承包商。独立环境顾问的任务是评估项目施工期间《环境管理计划》的实施情况，为项目业主提供管理建议，并最终确保该项目符合《环境管理计划》的要求；水保部门做好水土保持措施的监督，确保水保措施落实，保证水土流失在可控范围；</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restart"/>
            <w:shd w:val="clear" w:color="auto" w:fill="auto"/>
            <w:vAlign w:val="center"/>
          </w:tcPr>
          <w:p>
            <w:pPr>
              <w:widowControl/>
              <w:spacing w:line="400" w:lineRule="exact"/>
              <w:jc w:val="center"/>
              <w:rPr>
                <w:kern w:val="0"/>
                <w:szCs w:val="21"/>
              </w:rPr>
            </w:pPr>
            <w:r>
              <w:rPr>
                <w:kern w:val="0"/>
                <w:szCs w:val="21"/>
              </w:rPr>
              <w:t>运营期</w:t>
            </w:r>
          </w:p>
        </w:tc>
        <w:tc>
          <w:tcPr>
            <w:tcW w:w="1809" w:type="dxa"/>
            <w:shd w:val="clear" w:color="auto" w:fill="auto"/>
            <w:vAlign w:val="center"/>
          </w:tcPr>
          <w:p>
            <w:pPr>
              <w:widowControl/>
              <w:spacing w:line="400" w:lineRule="exact"/>
              <w:jc w:val="center"/>
              <w:rPr>
                <w:kern w:val="0"/>
                <w:szCs w:val="21"/>
              </w:rPr>
            </w:pPr>
            <w:r>
              <w:rPr>
                <w:kern w:val="0"/>
                <w:szCs w:val="21"/>
              </w:rPr>
              <w:t>项目办</w:t>
            </w:r>
          </w:p>
        </w:tc>
        <w:tc>
          <w:tcPr>
            <w:tcW w:w="6095" w:type="dxa"/>
            <w:shd w:val="clear" w:color="auto" w:fill="auto"/>
            <w:vAlign w:val="center"/>
          </w:tcPr>
          <w:p>
            <w:pPr>
              <w:widowControl/>
              <w:spacing w:line="400" w:lineRule="exact"/>
              <w:jc w:val="center"/>
              <w:rPr>
                <w:kern w:val="0"/>
                <w:szCs w:val="21"/>
              </w:rPr>
            </w:pPr>
            <w:r>
              <w:rPr>
                <w:rFonts w:hint="eastAsia" w:ascii="楷体_GB2312" w:eastAsia="楷体_GB2312" w:cs="楷体_GB2312" w:hAnsiTheme="minorHAnsi"/>
                <w:kern w:val="0"/>
                <w:szCs w:val="21"/>
              </w:rPr>
              <w:t>完成项目的交接</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业主和运营单位</w:t>
            </w:r>
          </w:p>
        </w:tc>
        <w:tc>
          <w:tcPr>
            <w:tcW w:w="6095" w:type="dxa"/>
            <w:shd w:val="clear" w:color="auto" w:fill="auto"/>
            <w:vAlign w:val="center"/>
          </w:tcPr>
          <w:p>
            <w:pPr>
              <w:widowControl/>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成立环境保护部门，负责项目的环境管理，落实运营阶段的环保措施及做好应急演练</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环境监测单位</w:t>
            </w:r>
          </w:p>
        </w:tc>
        <w:tc>
          <w:tcPr>
            <w:tcW w:w="6095" w:type="dxa"/>
            <w:shd w:val="clear" w:color="auto" w:fill="auto"/>
            <w:vAlign w:val="center"/>
          </w:tcPr>
          <w:p>
            <w:pPr>
              <w:autoSpaceDE w:val="0"/>
              <w:autoSpaceDN w:val="0"/>
              <w:adjustRightInd w:val="0"/>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根据环境影响评价报告中所含的环境监</w:t>
            </w:r>
          </w:p>
          <w:p>
            <w:pPr>
              <w:autoSpaceDE w:val="0"/>
              <w:autoSpaceDN w:val="0"/>
              <w:adjustRightInd w:val="0"/>
              <w:jc w:val="left"/>
              <w:rPr>
                <w:kern w:val="0"/>
                <w:szCs w:val="21"/>
              </w:rPr>
            </w:pPr>
            <w:r>
              <w:rPr>
                <w:rFonts w:hint="eastAsia" w:ascii="楷体_GB2312" w:eastAsia="楷体_GB2312" w:cs="楷体_GB2312" w:hAnsiTheme="minorHAnsi"/>
                <w:kern w:val="0"/>
                <w:szCs w:val="21"/>
              </w:rPr>
              <w:t>测计划开展环境质量监测</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jc w:val="center"/>
              <w:rPr>
                <w:kern w:val="0"/>
                <w:szCs w:val="21"/>
              </w:rPr>
            </w:pPr>
            <w:r>
              <w:rPr>
                <w:kern w:val="0"/>
                <w:szCs w:val="21"/>
              </w:rPr>
              <w:t>运营有关的主管部门</w:t>
            </w:r>
          </w:p>
        </w:tc>
        <w:tc>
          <w:tcPr>
            <w:tcW w:w="6095" w:type="dxa"/>
            <w:shd w:val="clear" w:color="auto" w:fill="auto"/>
            <w:vAlign w:val="center"/>
          </w:tcPr>
          <w:p>
            <w:pPr>
              <w:widowControl/>
              <w:jc w:val="left"/>
              <w:rPr>
                <w:rFonts w:ascii="楷体_GB2312" w:eastAsia="楷体_GB2312" w:cs="楷体_GB2312" w:hAnsiTheme="minorHAnsi"/>
                <w:kern w:val="0"/>
                <w:szCs w:val="21"/>
              </w:rPr>
            </w:pPr>
            <w:r>
              <w:rPr>
                <w:rFonts w:hint="eastAsia" w:ascii="楷体_GB2312" w:eastAsia="楷体_GB2312" w:cs="楷体_GB2312" w:hAnsiTheme="minorHAnsi"/>
                <w:kern w:val="0"/>
                <w:szCs w:val="21"/>
              </w:rPr>
              <w:t>环保部门</w:t>
            </w:r>
            <w:r>
              <w:rPr>
                <w:rFonts w:ascii="楷体_GB2312" w:eastAsia="楷体_GB2312" w:cs="楷体_GB2312" w:hAnsiTheme="minorHAnsi"/>
                <w:kern w:val="0"/>
                <w:szCs w:val="21"/>
              </w:rPr>
              <w:t>检查监测计划的实施</w:t>
            </w:r>
            <w:r>
              <w:rPr>
                <w:rFonts w:hint="eastAsia" w:ascii="楷体_GB2312" w:eastAsia="楷体_GB2312" w:cs="楷体_GB2312" w:hAnsiTheme="minorHAnsi"/>
                <w:kern w:val="0"/>
                <w:szCs w:val="21"/>
              </w:rPr>
              <w:t>；</w:t>
            </w:r>
            <w:r>
              <w:rPr>
                <w:rFonts w:ascii="楷体_GB2312" w:eastAsia="楷体_GB2312" w:cs="楷体_GB2312" w:hAnsiTheme="minorHAnsi"/>
                <w:kern w:val="0"/>
                <w:szCs w:val="21"/>
              </w:rPr>
              <w:t>检查有无必要采取进一步的环保措施（可能出现原未估计到的环境问题）</w:t>
            </w:r>
            <w:r>
              <w:rPr>
                <w:rFonts w:hint="eastAsia" w:ascii="楷体_GB2312" w:eastAsia="楷体_GB2312" w:cs="楷体_GB2312" w:hAnsiTheme="minorHAnsi"/>
                <w:kern w:val="0"/>
                <w:szCs w:val="21"/>
              </w:rPr>
              <w:t>；</w:t>
            </w:r>
          </w:p>
        </w:tc>
        <w:tc>
          <w:tcPr>
            <w:tcW w:w="691" w:type="dxa"/>
            <w:shd w:val="clear" w:color="auto" w:fill="auto"/>
            <w:vAlign w:val="center"/>
          </w:tcPr>
          <w:p>
            <w:pPr>
              <w:widowControl/>
              <w:spacing w:line="400" w:lineRule="exact"/>
              <w:ind w:left="-107" w:leftChars="-51" w:right="-126" w:rightChars="-60"/>
              <w:jc w:val="center"/>
              <w:rPr>
                <w:kern w:val="0"/>
                <w:szCs w:val="21"/>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trHeight w:val="170" w:hRule="atLeast"/>
          <w:jc w:val="center"/>
        </w:trPr>
        <w:tc>
          <w:tcPr>
            <w:tcW w:w="426" w:type="dxa"/>
            <w:vMerge w:val="continue"/>
            <w:shd w:val="clear" w:color="auto" w:fill="auto"/>
            <w:vAlign w:val="center"/>
          </w:tcPr>
          <w:p>
            <w:pPr>
              <w:widowControl/>
              <w:spacing w:line="400" w:lineRule="exact"/>
              <w:jc w:val="center"/>
              <w:rPr>
                <w:kern w:val="0"/>
                <w:szCs w:val="21"/>
              </w:rPr>
            </w:pPr>
          </w:p>
        </w:tc>
        <w:tc>
          <w:tcPr>
            <w:tcW w:w="1809" w:type="dxa"/>
            <w:shd w:val="clear" w:color="auto" w:fill="auto"/>
            <w:vAlign w:val="center"/>
          </w:tcPr>
          <w:p>
            <w:pPr>
              <w:widowControl/>
              <w:spacing w:line="400" w:lineRule="exact"/>
              <w:ind w:right="-105" w:rightChars="-50"/>
              <w:jc w:val="center"/>
              <w:rPr>
                <w:kern w:val="0"/>
                <w:szCs w:val="21"/>
              </w:rPr>
            </w:pPr>
            <w:r>
              <w:rPr>
                <w:kern w:val="0"/>
                <w:szCs w:val="21"/>
              </w:rPr>
              <w:t>其他相关管理部门</w:t>
            </w:r>
          </w:p>
        </w:tc>
        <w:tc>
          <w:tcPr>
            <w:tcW w:w="6095" w:type="dxa"/>
            <w:shd w:val="clear" w:color="auto" w:fill="auto"/>
            <w:vAlign w:val="center"/>
          </w:tcPr>
          <w:p>
            <w:pPr>
              <w:autoSpaceDE w:val="0"/>
              <w:autoSpaceDN w:val="0"/>
              <w:adjustRightInd w:val="0"/>
              <w:rPr>
                <w:rFonts w:ascii="楷体_GB2312" w:eastAsia="楷体_GB2312" w:cs="楷体_GB2312" w:hAnsiTheme="minorHAnsi"/>
                <w:kern w:val="0"/>
                <w:szCs w:val="21"/>
              </w:rPr>
            </w:pPr>
            <w:r>
              <w:rPr>
                <w:rFonts w:hint="eastAsia" w:ascii="楷体_GB2312" w:eastAsia="楷体_GB2312" w:cs="楷体_GB2312" w:hAnsiTheme="minorHAnsi"/>
                <w:kern w:val="0"/>
                <w:szCs w:val="21"/>
              </w:rPr>
              <w:t>渔业部门做好增殖放流；水保管理部门做好水土流失的监测；</w:t>
            </w:r>
          </w:p>
        </w:tc>
        <w:tc>
          <w:tcPr>
            <w:tcW w:w="691" w:type="dxa"/>
            <w:shd w:val="clear" w:color="auto" w:fill="auto"/>
            <w:vAlign w:val="center"/>
          </w:tcPr>
          <w:p>
            <w:pPr>
              <w:widowControl/>
              <w:spacing w:line="400" w:lineRule="exact"/>
              <w:ind w:left="-107" w:leftChars="-51" w:right="-126" w:rightChars="-60"/>
              <w:jc w:val="center"/>
              <w:rPr>
                <w:kern w:val="0"/>
                <w:szCs w:val="21"/>
              </w:rPr>
            </w:pPr>
          </w:p>
        </w:tc>
      </w:tr>
    </w:tbl>
    <w:p>
      <w:pPr>
        <w:pStyle w:val="4"/>
        <w:spacing w:line="360" w:lineRule="auto"/>
        <w:ind w:firstLine="480"/>
        <w:rPr>
          <w:sz w:val="24"/>
        </w:rPr>
      </w:pPr>
    </w:p>
    <w:p>
      <w:pPr>
        <w:pStyle w:val="3"/>
        <w:tabs>
          <w:tab w:val="clear" w:pos="3695"/>
        </w:tabs>
        <w:spacing w:before="120" w:after="120"/>
        <w:ind w:left="567"/>
      </w:pPr>
      <w:bookmarkStart w:id="271" w:name="_Toc442195776"/>
      <w:bookmarkStart w:id="272" w:name="_Toc428864006"/>
      <w:bookmarkStart w:id="273" w:name="_Toc303787123"/>
      <w:r>
        <w:rPr>
          <w:rFonts w:hint="eastAsia"/>
        </w:rPr>
        <w:t>减缓措施</w:t>
      </w:r>
      <w:bookmarkEnd w:id="271"/>
    </w:p>
    <w:p>
      <w:pPr>
        <w:pStyle w:val="4"/>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根据国内相关法规、规范和管理办法，</w:t>
      </w:r>
      <w:r>
        <w:rPr>
          <w:color w:val="000000" w:themeColor="text1"/>
          <w:sz w:val="24"/>
          <w14:textFill>
            <w14:solidFill>
              <w14:schemeClr w14:val="tx1"/>
            </w14:solidFill>
          </w14:textFill>
        </w:rPr>
        <w:t>以往类似项目的经验</w:t>
      </w:r>
      <w:r>
        <w:rPr>
          <w:rFonts w:hint="eastAsia"/>
          <w:color w:val="000000" w:themeColor="text1"/>
          <w:sz w:val="24"/>
          <w14:textFill>
            <w14:solidFill>
              <w14:schemeClr w14:val="tx1"/>
            </w14:solidFill>
          </w14:textFill>
        </w:rPr>
        <w:t>和教训，并</w:t>
      </w:r>
      <w:r>
        <w:rPr>
          <w:color w:val="000000" w:themeColor="text1"/>
          <w:sz w:val="24"/>
          <w14:textFill>
            <w14:solidFill>
              <w14:schemeClr w14:val="tx1"/>
            </w14:solidFill>
          </w14:textFill>
        </w:rPr>
        <w:t>参考了世界银行《环境、健康与安全通用指南》（简称《EHS</w:t>
      </w:r>
      <w:r>
        <w:rPr>
          <w:rFonts w:hint="eastAsia"/>
          <w:color w:val="000000" w:themeColor="text1"/>
          <w:sz w:val="24"/>
          <w14:textFill>
            <w14:solidFill>
              <w14:schemeClr w14:val="tx1"/>
            </w14:solidFill>
          </w14:textFill>
        </w:rPr>
        <w:t>通用</w:t>
      </w:r>
      <w:r>
        <w:rPr>
          <w:color w:val="000000" w:themeColor="text1"/>
          <w:sz w:val="24"/>
          <w14:textFill>
            <w14:solidFill>
              <w14:schemeClr w14:val="tx1"/>
            </w14:solidFill>
          </w14:textFill>
        </w:rPr>
        <w:t>指南》</w:t>
      </w:r>
      <w:r>
        <w:rPr>
          <w:rFonts w:hint="eastAsia"/>
          <w:color w:val="000000" w:themeColor="text1"/>
          <w:sz w:val="24"/>
          <w14:textFill>
            <w14:solidFill>
              <w14:schemeClr w14:val="tx1"/>
            </w14:solidFill>
          </w14:textFill>
        </w:rPr>
        <w:t>）、《船舶和港口</w:t>
      </w:r>
      <w:r>
        <w:rPr>
          <w:color w:val="000000" w:themeColor="text1"/>
          <w:sz w:val="24"/>
          <w14:textFill>
            <w14:solidFill>
              <w14:schemeClr w14:val="tx1"/>
            </w14:solidFill>
          </w14:textFill>
        </w:rPr>
        <w:t>环境、健康与安全</w:t>
      </w:r>
      <w:r>
        <w:rPr>
          <w:rFonts w:hint="eastAsia"/>
          <w:color w:val="000000" w:themeColor="text1"/>
          <w:sz w:val="24"/>
          <w14:textFill>
            <w14:solidFill>
              <w14:schemeClr w14:val="tx1"/>
            </w14:solidFill>
          </w14:textFill>
        </w:rPr>
        <w:t>指南》。</w:t>
      </w:r>
      <w:r>
        <w:rPr>
          <w:color w:val="000000" w:themeColor="text1"/>
          <w:sz w:val="24"/>
          <w14:textFill>
            <w14:solidFill>
              <w14:schemeClr w14:val="tx1"/>
            </w14:solidFill>
          </w14:textFill>
        </w:rPr>
        <w:t>针对工程施工期和运营期提出的具体</w:t>
      </w:r>
      <w:r>
        <w:rPr>
          <w:rFonts w:hint="eastAsia"/>
          <w:color w:val="000000" w:themeColor="text1"/>
          <w:sz w:val="24"/>
          <w14:textFill>
            <w14:solidFill>
              <w14:schemeClr w14:val="tx1"/>
            </w14:solidFill>
          </w14:textFill>
        </w:rPr>
        <w:t>措施，见表8.2-1。资金来源均自</w:t>
      </w:r>
      <w:r>
        <w:rPr>
          <w:rFonts w:hint="eastAsia" w:hAnsi="宋体"/>
          <w:color w:val="000000" w:themeColor="text1"/>
          <w:sz w:val="24"/>
          <w14:textFill>
            <w14:solidFill>
              <w14:schemeClr w14:val="tx1"/>
            </w14:solidFill>
          </w14:textFill>
        </w:rPr>
        <w:t>宜昌市世界银行贷款项目领导组办公室，或合同中包含的项目资金。</w:t>
      </w:r>
    </w:p>
    <w:p>
      <w:pPr>
        <w:pStyle w:val="4"/>
      </w:pPr>
    </w:p>
    <w:p>
      <w:pPr>
        <w:pStyle w:val="4"/>
        <w:sectPr>
          <w:headerReference r:id="rId17" w:type="default"/>
          <w:pgSz w:w="11907" w:h="16840"/>
          <w:pgMar w:top="1661" w:right="1503" w:bottom="1440" w:left="1599" w:header="1134" w:footer="992" w:gutter="0"/>
          <w:cols w:space="720" w:num="1"/>
          <w:docGrid w:linePitch="326" w:charSpace="0"/>
        </w:sectPr>
      </w:pPr>
    </w:p>
    <w:p>
      <w:pPr>
        <w:autoSpaceDE w:val="0"/>
        <w:autoSpaceDN w:val="0"/>
        <w:adjustRightInd w:val="0"/>
        <w:ind w:firstLine="420" w:firstLineChars="200"/>
        <w:jc w:val="center"/>
        <w:rPr>
          <w:rFonts w:ascii="Calibri" w:hAnsi="Calibri" w:cs="Calibri"/>
          <w:color w:val="0070C0"/>
          <w:kern w:val="0"/>
        </w:rPr>
      </w:pPr>
      <w:r>
        <w:rPr>
          <w:rFonts w:hint="eastAsia" w:ascii="Calibri" w:hAnsi="Calibri" w:cs="Calibri"/>
          <w:color w:val="0070C0"/>
          <w:kern w:val="0"/>
        </w:rPr>
        <w:t>主要环境影响和减缓措施</w:t>
      </w:r>
    </w:p>
    <w:tbl>
      <w:tblPr>
        <w:tblStyle w:val="104"/>
        <w:tblW w:w="13739" w:type="dxa"/>
        <w:jc w:val="center"/>
        <w:tblInd w:w="0" w:type="dxa"/>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770"/>
        <w:gridCol w:w="343"/>
        <w:gridCol w:w="1297"/>
        <w:gridCol w:w="6521"/>
        <w:gridCol w:w="1559"/>
        <w:gridCol w:w="1559"/>
        <w:gridCol w:w="1690"/>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456" w:hRule="exact"/>
          <w:tblHeader/>
          <w:jc w:val="center"/>
        </w:trPr>
        <w:tc>
          <w:tcPr>
            <w:tcW w:w="770" w:type="dxa"/>
            <w:tcBorders>
              <w:right w:val="single" w:color="auto" w:sz="4" w:space="0"/>
            </w:tcBorders>
            <w:vAlign w:val="center"/>
          </w:tcPr>
          <w:p>
            <w:pPr>
              <w:autoSpaceDE w:val="0"/>
              <w:autoSpaceDN w:val="0"/>
              <w:adjustRightInd w:val="0"/>
              <w:jc w:val="center"/>
              <w:rPr>
                <w:rFonts w:ascii="宋体" w:hAnsi="宋体" w:cs="宋体"/>
                <w:color w:val="0070C0"/>
                <w:kern w:val="0"/>
                <w:szCs w:val="21"/>
              </w:rPr>
            </w:pPr>
            <w:r>
              <w:rPr>
                <w:rFonts w:hint="eastAsia" w:ascii="宋体" w:hAnsi="宋体" w:cs="宋体"/>
                <w:color w:val="0070C0"/>
                <w:kern w:val="0"/>
                <w:szCs w:val="21"/>
              </w:rPr>
              <w:t>活动</w:t>
            </w:r>
          </w:p>
        </w:tc>
        <w:tc>
          <w:tcPr>
            <w:tcW w:w="1640" w:type="dxa"/>
            <w:gridSpan w:val="2"/>
            <w:tcBorders>
              <w:left w:val="single" w:color="auto" w:sz="4" w:space="0"/>
              <w:right w:val="single" w:color="auto" w:sz="4" w:space="0"/>
            </w:tcBorders>
            <w:vAlign w:val="center"/>
          </w:tcPr>
          <w:p>
            <w:pPr>
              <w:autoSpaceDE w:val="0"/>
              <w:autoSpaceDN w:val="0"/>
              <w:adjustRightInd w:val="0"/>
              <w:jc w:val="center"/>
              <w:rPr>
                <w:rFonts w:ascii="宋体" w:hAnsi="宋体" w:cs="宋体"/>
                <w:color w:val="0070C0"/>
                <w:kern w:val="0"/>
                <w:szCs w:val="21"/>
              </w:rPr>
            </w:pPr>
            <w:r>
              <w:rPr>
                <w:rFonts w:hint="eastAsia" w:ascii="宋体" w:hAnsi="宋体" w:cs="宋体"/>
                <w:color w:val="0070C0"/>
                <w:kern w:val="0"/>
                <w:szCs w:val="21"/>
              </w:rPr>
              <w:t>潜在影响</w:t>
            </w:r>
          </w:p>
        </w:tc>
        <w:tc>
          <w:tcPr>
            <w:tcW w:w="6521" w:type="dxa"/>
            <w:tcBorders>
              <w:left w:val="single" w:color="auto" w:sz="4" w:space="0"/>
              <w:right w:val="single" w:color="auto" w:sz="4" w:space="0"/>
            </w:tcBorders>
            <w:vAlign w:val="center"/>
          </w:tcPr>
          <w:p>
            <w:pPr>
              <w:autoSpaceDE w:val="0"/>
              <w:autoSpaceDN w:val="0"/>
              <w:adjustRightInd w:val="0"/>
              <w:jc w:val="center"/>
              <w:rPr>
                <w:rFonts w:ascii="宋体" w:hAnsi="宋体" w:cs="宋体"/>
                <w:color w:val="0070C0"/>
                <w:kern w:val="0"/>
                <w:szCs w:val="21"/>
              </w:rPr>
            </w:pPr>
            <w:r>
              <w:rPr>
                <w:rFonts w:hint="eastAsia" w:ascii="宋体" w:hAnsi="宋体" w:cs="宋体"/>
                <w:color w:val="0070C0"/>
                <w:kern w:val="0"/>
                <w:szCs w:val="21"/>
              </w:rPr>
              <w:t>减缓措施</w:t>
            </w:r>
          </w:p>
        </w:tc>
        <w:tc>
          <w:tcPr>
            <w:tcW w:w="1559" w:type="dxa"/>
            <w:tcBorders>
              <w:left w:val="single" w:color="auto" w:sz="4" w:space="0"/>
              <w:right w:val="single" w:color="auto" w:sz="4" w:space="0"/>
            </w:tcBorders>
            <w:vAlign w:val="center"/>
          </w:tcPr>
          <w:p>
            <w:pPr>
              <w:autoSpaceDE w:val="0"/>
              <w:autoSpaceDN w:val="0"/>
              <w:adjustRightInd w:val="0"/>
              <w:jc w:val="center"/>
              <w:rPr>
                <w:rFonts w:ascii="宋体" w:hAnsi="宋体" w:cs="宋体"/>
                <w:color w:val="0070C0"/>
                <w:kern w:val="0"/>
                <w:szCs w:val="21"/>
              </w:rPr>
            </w:pPr>
            <w:r>
              <w:rPr>
                <w:rFonts w:hint="eastAsia" w:ascii="宋体" w:hAnsi="宋体" w:cs="宋体"/>
                <w:color w:val="0070C0"/>
                <w:kern w:val="0"/>
                <w:szCs w:val="21"/>
              </w:rPr>
              <w:t>实施机构</w:t>
            </w:r>
          </w:p>
        </w:tc>
        <w:tc>
          <w:tcPr>
            <w:tcW w:w="1559" w:type="dxa"/>
            <w:tcBorders>
              <w:left w:val="single" w:color="auto" w:sz="4" w:space="0"/>
              <w:right w:val="single" w:color="auto" w:sz="4" w:space="0"/>
            </w:tcBorders>
            <w:vAlign w:val="center"/>
          </w:tcPr>
          <w:p>
            <w:pPr>
              <w:autoSpaceDE w:val="0"/>
              <w:autoSpaceDN w:val="0"/>
              <w:adjustRightInd w:val="0"/>
              <w:ind w:left="-107" w:leftChars="-51" w:right="-107" w:rightChars="-51"/>
              <w:jc w:val="center"/>
              <w:rPr>
                <w:rFonts w:ascii="宋体" w:hAnsi="宋体" w:cs="宋体"/>
                <w:color w:val="0070C0"/>
                <w:kern w:val="0"/>
                <w:szCs w:val="21"/>
              </w:rPr>
            </w:pPr>
            <w:r>
              <w:rPr>
                <w:rFonts w:hint="eastAsia" w:ascii="宋体" w:hAnsi="宋体" w:cs="宋体"/>
                <w:color w:val="0070C0"/>
                <w:kern w:val="0"/>
                <w:szCs w:val="21"/>
              </w:rPr>
              <w:t>费用估算（万元）</w:t>
            </w:r>
          </w:p>
        </w:tc>
        <w:tc>
          <w:tcPr>
            <w:tcW w:w="1690" w:type="dxa"/>
            <w:tcBorders>
              <w:left w:val="single" w:color="auto" w:sz="4" w:space="0"/>
              <w:right w:val="single" w:color="auto" w:sz="4" w:space="0"/>
            </w:tcBorders>
            <w:vAlign w:val="center"/>
          </w:tcPr>
          <w:p>
            <w:pPr>
              <w:autoSpaceDE w:val="0"/>
              <w:autoSpaceDN w:val="0"/>
              <w:adjustRightInd w:val="0"/>
              <w:jc w:val="center"/>
              <w:rPr>
                <w:rFonts w:ascii="宋体" w:hAnsi="宋体" w:cs="宋体"/>
                <w:color w:val="0070C0"/>
                <w:kern w:val="0"/>
                <w:szCs w:val="21"/>
              </w:rPr>
            </w:pPr>
            <w:r>
              <w:rPr>
                <w:rFonts w:hint="eastAsia" w:ascii="宋体" w:hAnsi="宋体" w:cs="宋体"/>
                <w:color w:val="0070C0"/>
                <w:kern w:val="0"/>
                <w:szCs w:val="21"/>
              </w:rPr>
              <w:t>监督机构</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244" w:hRule="atLeast"/>
          <w:jc w:val="center"/>
        </w:trPr>
        <w:tc>
          <w:tcPr>
            <w:tcW w:w="2410" w:type="dxa"/>
            <w:gridSpan w:val="3"/>
            <w:tcBorders>
              <w:right w:val="single" w:color="auto" w:sz="4" w:space="0"/>
            </w:tcBorders>
            <w:vAlign w:val="center"/>
          </w:tcPr>
          <w:p>
            <w:pPr>
              <w:pStyle w:val="175"/>
              <w:spacing w:line="360" w:lineRule="auto"/>
              <w:jc w:val="center"/>
              <w:rPr>
                <w:rFonts w:hAnsi="宋体"/>
                <w:b/>
                <w:color w:val="0070C0"/>
                <w:sz w:val="21"/>
                <w:szCs w:val="21"/>
              </w:rPr>
            </w:pPr>
            <w:r>
              <w:rPr>
                <w:rFonts w:hAnsi="宋体"/>
                <w:b/>
                <w:color w:val="0070C0"/>
                <w:sz w:val="21"/>
                <w:szCs w:val="21"/>
              </w:rPr>
              <w:t>A.设计阶段</w:t>
            </w:r>
          </w:p>
        </w:tc>
        <w:tc>
          <w:tcPr>
            <w:tcW w:w="6521" w:type="dxa"/>
            <w:tcBorders>
              <w:left w:val="single" w:color="auto" w:sz="4" w:space="0"/>
              <w:right w:val="single" w:color="auto" w:sz="4" w:space="0"/>
            </w:tcBorders>
            <w:vAlign w:val="center"/>
          </w:tcPr>
          <w:p>
            <w:pPr>
              <w:pStyle w:val="175"/>
              <w:spacing w:line="360" w:lineRule="auto"/>
              <w:jc w:val="center"/>
              <w:rPr>
                <w:rFonts w:hAnsi="宋体"/>
                <w:b/>
                <w:color w:val="0070C0"/>
                <w:sz w:val="21"/>
                <w:szCs w:val="21"/>
              </w:rPr>
            </w:pPr>
          </w:p>
        </w:tc>
        <w:tc>
          <w:tcPr>
            <w:tcW w:w="1559" w:type="dxa"/>
            <w:tcBorders>
              <w:left w:val="single" w:color="auto" w:sz="4" w:space="0"/>
              <w:right w:val="single" w:color="auto" w:sz="4" w:space="0"/>
            </w:tcBorders>
            <w:vAlign w:val="center"/>
          </w:tcPr>
          <w:p>
            <w:pPr>
              <w:pStyle w:val="175"/>
              <w:spacing w:line="360" w:lineRule="auto"/>
              <w:jc w:val="center"/>
              <w:rPr>
                <w:rFonts w:hAnsi="宋体"/>
                <w:b/>
                <w:color w:val="0070C0"/>
                <w:sz w:val="21"/>
                <w:szCs w:val="21"/>
              </w:rPr>
            </w:pPr>
          </w:p>
        </w:tc>
        <w:tc>
          <w:tcPr>
            <w:tcW w:w="1559" w:type="dxa"/>
            <w:tcBorders>
              <w:left w:val="single" w:color="auto" w:sz="4" w:space="0"/>
              <w:right w:val="single" w:color="auto" w:sz="4" w:space="0"/>
            </w:tcBorders>
            <w:vAlign w:val="center"/>
          </w:tcPr>
          <w:p>
            <w:pPr>
              <w:pStyle w:val="175"/>
              <w:spacing w:line="360" w:lineRule="auto"/>
              <w:jc w:val="center"/>
              <w:rPr>
                <w:rFonts w:hAnsi="宋体"/>
                <w:b/>
                <w:color w:val="0070C0"/>
                <w:sz w:val="21"/>
                <w:szCs w:val="21"/>
              </w:rPr>
            </w:pPr>
          </w:p>
        </w:tc>
        <w:tc>
          <w:tcPr>
            <w:tcW w:w="1690" w:type="dxa"/>
            <w:tcBorders>
              <w:left w:val="single" w:color="auto" w:sz="4" w:space="0"/>
              <w:right w:val="single" w:color="auto" w:sz="4" w:space="0"/>
            </w:tcBorders>
            <w:vAlign w:val="center"/>
          </w:tcPr>
          <w:p>
            <w:pPr>
              <w:pStyle w:val="175"/>
              <w:spacing w:line="360" w:lineRule="auto"/>
              <w:jc w:val="center"/>
              <w:rPr>
                <w:rFonts w:hAnsi="宋体"/>
                <w:b/>
                <w:color w:val="0070C0"/>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1104"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招投标</w:t>
            </w:r>
          </w:p>
        </w:tc>
        <w:tc>
          <w:tcPr>
            <w:tcW w:w="1640" w:type="dxa"/>
            <w:gridSpan w:val="2"/>
            <w:tcBorders>
              <w:left w:val="single" w:color="auto" w:sz="4" w:space="0"/>
            </w:tcBorders>
            <w:vAlign w:val="center"/>
          </w:tcPr>
          <w:p>
            <w:pPr>
              <w:pStyle w:val="175"/>
              <w:jc w:val="center"/>
              <w:rPr>
                <w:rFonts w:hAnsi="宋体"/>
                <w:color w:val="0070C0"/>
                <w:sz w:val="21"/>
                <w:szCs w:val="21"/>
                <w:highlight w:val="yellow"/>
              </w:rPr>
            </w:pPr>
            <w:r>
              <w:rPr>
                <w:rFonts w:hint="eastAsia" w:hAnsi="宋体"/>
                <w:color w:val="0070C0"/>
                <w:sz w:val="21"/>
                <w:szCs w:val="21"/>
                <w:highlight w:val="yellow"/>
              </w:rPr>
              <w:t>-</w:t>
            </w:r>
          </w:p>
        </w:tc>
        <w:tc>
          <w:tcPr>
            <w:tcW w:w="6521" w:type="dxa"/>
            <w:vAlign w:val="center"/>
          </w:tcPr>
          <w:p>
            <w:pPr>
              <w:pStyle w:val="175"/>
              <w:rPr>
                <w:rFonts w:hAnsi="宋体"/>
                <w:color w:val="0070C0"/>
                <w:sz w:val="21"/>
                <w:szCs w:val="21"/>
              </w:rPr>
            </w:pPr>
            <w:r>
              <w:rPr>
                <w:rFonts w:hint="eastAsia" w:hAnsi="宋体"/>
                <w:color w:val="0070C0"/>
                <w:sz w:val="21"/>
                <w:szCs w:val="21"/>
              </w:rPr>
              <w:t>1．标书中纳入环境管理计划（EMP）；</w:t>
            </w:r>
          </w:p>
          <w:p>
            <w:pPr>
              <w:pStyle w:val="175"/>
              <w:jc w:val="both"/>
              <w:rPr>
                <w:rFonts w:hAnsi="宋体"/>
                <w:color w:val="0070C0"/>
                <w:sz w:val="21"/>
                <w:szCs w:val="21"/>
              </w:rPr>
            </w:pPr>
            <w:r>
              <w:rPr>
                <w:rFonts w:hint="eastAsia" w:hAnsi="宋体"/>
                <w:color w:val="0070C0"/>
                <w:sz w:val="21"/>
                <w:szCs w:val="21"/>
              </w:rPr>
              <w:t>2．环境管理计划纳入承包商、工程监理、环境建立的合同，以便落实</w:t>
            </w:r>
          </w:p>
        </w:tc>
        <w:tc>
          <w:tcPr>
            <w:tcW w:w="1559" w:type="dxa"/>
            <w:vAlign w:val="center"/>
          </w:tcPr>
          <w:p>
            <w:pPr>
              <w:pStyle w:val="175"/>
              <w:rPr>
                <w:rFonts w:hAnsi="宋体"/>
                <w:color w:val="0070C0"/>
                <w:sz w:val="21"/>
                <w:szCs w:val="21"/>
              </w:rPr>
            </w:pPr>
            <w:r>
              <w:rPr>
                <w:rFonts w:hint="eastAsia" w:hAnsi="宋体"/>
                <w:color w:val="0070C0"/>
                <w:sz w:val="21"/>
                <w:szCs w:val="21"/>
              </w:rPr>
              <w:t>宜昌交通投资有限公司</w:t>
            </w:r>
          </w:p>
        </w:tc>
        <w:tc>
          <w:tcPr>
            <w:tcW w:w="1559" w:type="dxa"/>
            <w:vAlign w:val="center"/>
          </w:tcPr>
          <w:p>
            <w:pPr>
              <w:pStyle w:val="175"/>
              <w:jc w:val="center"/>
              <w:rPr>
                <w:rFonts w:hAnsi="宋体"/>
                <w:color w:val="0070C0"/>
                <w:sz w:val="21"/>
                <w:szCs w:val="21"/>
              </w:rPr>
            </w:pPr>
            <w:r>
              <w:rPr>
                <w:rFonts w:hint="eastAsia" w:hAnsi="宋体"/>
                <w:color w:val="0070C0"/>
                <w:sz w:val="21"/>
                <w:szCs w:val="21"/>
              </w:rPr>
              <w:t>-</w:t>
            </w:r>
          </w:p>
        </w:tc>
        <w:tc>
          <w:tcPr>
            <w:tcW w:w="1690" w:type="dxa"/>
            <w:vAlign w:val="center"/>
          </w:tcPr>
          <w:p>
            <w:pPr>
              <w:pStyle w:val="175"/>
              <w:jc w:val="center"/>
              <w:rPr>
                <w:rFonts w:hAnsi="宋体"/>
                <w:color w:val="0070C0"/>
                <w:sz w:val="21"/>
                <w:szCs w:val="21"/>
              </w:rPr>
            </w:pPr>
            <w:r>
              <w:rPr>
                <w:rFonts w:hint="eastAsia" w:hAnsi="宋体"/>
                <w:color w:val="0070C0"/>
                <w:sz w:val="21"/>
                <w:szCs w:val="21"/>
              </w:rPr>
              <w:t>世行办；世行</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1104"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方案选择</w:t>
            </w:r>
          </w:p>
        </w:tc>
        <w:tc>
          <w:tcPr>
            <w:tcW w:w="1640" w:type="dxa"/>
            <w:gridSpan w:val="2"/>
            <w:tcBorders>
              <w:left w:val="single" w:color="auto" w:sz="4" w:space="0"/>
            </w:tcBorders>
            <w:vAlign w:val="center"/>
          </w:tcPr>
          <w:p>
            <w:pPr>
              <w:pStyle w:val="175"/>
              <w:jc w:val="center"/>
              <w:rPr>
                <w:rFonts w:hAnsi="宋体"/>
                <w:color w:val="0070C0"/>
                <w:sz w:val="21"/>
                <w:szCs w:val="21"/>
                <w:highlight w:val="yellow"/>
              </w:rPr>
            </w:pPr>
            <w:r>
              <w:rPr>
                <w:rFonts w:hint="eastAsia" w:hAnsi="宋体"/>
                <w:color w:val="0070C0"/>
                <w:sz w:val="21"/>
                <w:szCs w:val="21"/>
                <w:highlight w:val="yellow"/>
              </w:rPr>
              <w:t>-</w:t>
            </w:r>
          </w:p>
        </w:tc>
        <w:tc>
          <w:tcPr>
            <w:tcW w:w="6521" w:type="dxa"/>
            <w:vAlign w:val="center"/>
          </w:tcPr>
          <w:p>
            <w:pPr>
              <w:pStyle w:val="175"/>
              <w:jc w:val="both"/>
              <w:rPr>
                <w:rFonts w:hAnsi="宋体"/>
                <w:color w:val="0070C0"/>
                <w:sz w:val="21"/>
                <w:szCs w:val="21"/>
              </w:rPr>
            </w:pPr>
            <w:r>
              <w:rPr>
                <w:rFonts w:hint="eastAsia" w:hAnsi="宋体"/>
                <w:color w:val="0070C0"/>
                <w:sz w:val="21"/>
                <w:szCs w:val="21"/>
              </w:rPr>
              <w:t>1、合理布局，充分利用厂区纵深、宽度，尽量在设计阶段将噪声较大、运行时间较长的机械和容易造成大气污染的堆场集中布置于远离厂界的地方。</w:t>
            </w:r>
          </w:p>
          <w:p>
            <w:pPr>
              <w:pStyle w:val="175"/>
              <w:jc w:val="both"/>
              <w:rPr>
                <w:rFonts w:hAnsi="宋体"/>
                <w:color w:val="0070C0"/>
                <w:sz w:val="21"/>
                <w:szCs w:val="21"/>
              </w:rPr>
            </w:pPr>
            <w:r>
              <w:rPr>
                <w:rFonts w:hint="eastAsia"/>
                <w:color w:val="000000" w:themeColor="text1"/>
                <w14:textFill>
                  <w14:solidFill>
                    <w14:schemeClr w14:val="tx1"/>
                  </w14:solidFill>
                </w14:textFill>
              </w:rPr>
              <w:t>2、</w:t>
            </w:r>
            <w:r>
              <w:rPr>
                <w:rFonts w:hint="eastAsia" w:hAnsi="宋体"/>
                <w:color w:val="0070C0"/>
                <w:sz w:val="21"/>
                <w:szCs w:val="21"/>
              </w:rPr>
              <w:t>从环境影响的角度看，尽量纵向调配全线土石方，平衡利用是减小取土场、弃渣场影响的最好办法，调配土石方平衡不单单考虑本项目也要与整个开发区结合起来。</w:t>
            </w:r>
          </w:p>
          <w:p>
            <w:pPr>
              <w:pStyle w:val="175"/>
              <w:jc w:val="both"/>
              <w:rPr>
                <w:rFonts w:hAnsi="宋体"/>
                <w:color w:val="0070C0"/>
                <w:sz w:val="21"/>
                <w:szCs w:val="21"/>
              </w:rPr>
            </w:pPr>
            <w:r>
              <w:rPr>
                <w:rFonts w:hint="eastAsia" w:hAnsi="宋体"/>
                <w:color w:val="0070C0"/>
                <w:sz w:val="21"/>
                <w:szCs w:val="21"/>
              </w:rPr>
              <w:t>3、须符合宜昌港总体规划、宜昌市白洋工业园区总体规划</w:t>
            </w:r>
          </w:p>
        </w:tc>
        <w:tc>
          <w:tcPr>
            <w:tcW w:w="1559" w:type="dxa"/>
            <w:vAlign w:val="center"/>
          </w:tcPr>
          <w:p>
            <w:pPr>
              <w:pStyle w:val="175"/>
              <w:rPr>
                <w:rFonts w:hAnsi="宋体"/>
                <w:color w:val="0070C0"/>
                <w:sz w:val="21"/>
                <w:szCs w:val="21"/>
              </w:rPr>
            </w:pPr>
            <w:r>
              <w:rPr>
                <w:rFonts w:hint="eastAsia" w:hAnsi="宋体"/>
                <w:color w:val="0070C0"/>
                <w:sz w:val="21"/>
                <w:szCs w:val="21"/>
              </w:rPr>
              <w:t>设计单位；宜昌交通投资有限公司</w:t>
            </w:r>
          </w:p>
        </w:tc>
        <w:tc>
          <w:tcPr>
            <w:tcW w:w="1559" w:type="dxa"/>
            <w:vAlign w:val="center"/>
          </w:tcPr>
          <w:p>
            <w:pPr>
              <w:pStyle w:val="175"/>
              <w:jc w:val="center"/>
              <w:rPr>
                <w:rFonts w:hAnsi="宋体"/>
                <w:color w:val="0070C0"/>
                <w:sz w:val="21"/>
                <w:szCs w:val="21"/>
              </w:rPr>
            </w:pPr>
            <w:r>
              <w:rPr>
                <w:rFonts w:hint="eastAsia" w:hAnsi="宋体"/>
                <w:color w:val="0070C0"/>
                <w:sz w:val="21"/>
                <w:szCs w:val="21"/>
              </w:rPr>
              <w:t>-</w:t>
            </w:r>
          </w:p>
        </w:tc>
        <w:tc>
          <w:tcPr>
            <w:tcW w:w="1690" w:type="dxa"/>
            <w:vAlign w:val="center"/>
          </w:tcPr>
          <w:p>
            <w:pPr>
              <w:pStyle w:val="175"/>
              <w:jc w:val="center"/>
              <w:rPr>
                <w:rFonts w:hAnsi="宋体"/>
                <w:color w:val="0070C0"/>
                <w:sz w:val="21"/>
                <w:szCs w:val="21"/>
              </w:rPr>
            </w:pPr>
            <w:r>
              <w:rPr>
                <w:rFonts w:hint="eastAsia" w:hAnsi="宋体"/>
                <w:color w:val="0070C0"/>
                <w:sz w:val="21"/>
                <w:szCs w:val="21"/>
              </w:rPr>
              <w:t>世行办；</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1104"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公参</w:t>
            </w:r>
          </w:p>
        </w:tc>
        <w:tc>
          <w:tcPr>
            <w:tcW w:w="1640" w:type="dxa"/>
            <w:gridSpan w:val="2"/>
            <w:tcBorders>
              <w:left w:val="single" w:color="auto" w:sz="4" w:space="0"/>
            </w:tcBorders>
            <w:vAlign w:val="center"/>
          </w:tcPr>
          <w:p>
            <w:pPr>
              <w:pStyle w:val="175"/>
              <w:jc w:val="center"/>
              <w:rPr>
                <w:rFonts w:hAnsi="宋体"/>
                <w:color w:val="0070C0"/>
                <w:sz w:val="21"/>
                <w:szCs w:val="21"/>
                <w:highlight w:val="yellow"/>
              </w:rPr>
            </w:pPr>
            <w:r>
              <w:rPr>
                <w:rFonts w:hint="eastAsia" w:hAnsi="宋体"/>
                <w:color w:val="0070C0"/>
                <w:sz w:val="21"/>
                <w:szCs w:val="21"/>
              </w:rPr>
              <w:t>生态敏感点受到影响;居民房屋需要拆迁;农民土地被征用</w:t>
            </w:r>
          </w:p>
        </w:tc>
        <w:tc>
          <w:tcPr>
            <w:tcW w:w="6521" w:type="dxa"/>
            <w:tcBorders>
              <w:right w:val="single" w:color="auto" w:sz="4" w:space="0"/>
            </w:tcBorders>
            <w:vAlign w:val="center"/>
          </w:tcPr>
          <w:p>
            <w:pPr>
              <w:pStyle w:val="175"/>
              <w:jc w:val="both"/>
              <w:rPr>
                <w:rFonts w:hAnsi="宋体"/>
                <w:color w:val="0070C0"/>
                <w:sz w:val="21"/>
                <w:szCs w:val="21"/>
              </w:rPr>
            </w:pPr>
            <w:r>
              <w:rPr>
                <w:rFonts w:hAnsi="宋体"/>
                <w:color w:val="0070C0"/>
                <w:sz w:val="21"/>
                <w:szCs w:val="21"/>
              </w:rPr>
              <w:fldChar w:fldCharType="begin"/>
            </w:r>
            <w:r>
              <w:rPr>
                <w:rFonts w:hAnsi="宋体"/>
                <w:color w:val="0070C0"/>
                <w:sz w:val="21"/>
                <w:szCs w:val="21"/>
              </w:rPr>
              <w:instrText xml:space="preserve"> </w:instrText>
            </w:r>
            <w:r>
              <w:rPr>
                <w:rFonts w:hint="eastAsia" w:hAnsi="宋体"/>
                <w:color w:val="0070C0"/>
                <w:sz w:val="21"/>
                <w:szCs w:val="21"/>
              </w:rPr>
              <w:instrText xml:space="preserve">eq \o\ac(○,</w:instrText>
            </w:r>
            <w:r>
              <w:rPr>
                <w:rFonts w:hint="eastAsia" w:hAnsi="宋体"/>
                <w:color w:val="0070C0"/>
                <w:position w:val="2"/>
                <w:sz w:val="14"/>
                <w:szCs w:val="21"/>
              </w:rPr>
              <w:instrText xml:space="preserve">1</w:instrText>
            </w:r>
            <w:r>
              <w:rPr>
                <w:rFonts w:hint="eastAsia" w:hAnsi="宋体"/>
                <w:color w:val="0070C0"/>
                <w:sz w:val="21"/>
                <w:szCs w:val="21"/>
              </w:rPr>
              <w:instrText xml:space="preserve">)</w:instrText>
            </w:r>
            <w:r>
              <w:rPr>
                <w:rFonts w:hAnsi="宋体"/>
                <w:color w:val="0070C0"/>
                <w:sz w:val="21"/>
                <w:szCs w:val="21"/>
              </w:rPr>
              <w:fldChar w:fldCharType="end"/>
            </w:r>
            <w:r>
              <w:rPr>
                <w:rFonts w:hint="eastAsia" w:hAnsi="宋体"/>
                <w:color w:val="0070C0"/>
                <w:sz w:val="21"/>
                <w:szCs w:val="21"/>
              </w:rPr>
              <w:t>一步优化建设方案及比选，减少征地面积。</w:t>
            </w:r>
          </w:p>
          <w:p>
            <w:pPr>
              <w:pStyle w:val="175"/>
              <w:jc w:val="both"/>
              <w:rPr>
                <w:rFonts w:hAnsi="宋体"/>
                <w:color w:val="0070C0"/>
                <w:sz w:val="21"/>
                <w:szCs w:val="21"/>
              </w:rPr>
            </w:pPr>
            <w:r>
              <w:rPr>
                <w:rFonts w:hint="eastAsia" w:hAnsi="宋体"/>
                <w:color w:val="0070C0"/>
                <w:sz w:val="21"/>
                <w:szCs w:val="21"/>
              </w:rPr>
              <w:t>②安置计划的制定应该和项目影响区的群众进行充分的协商，制定移民安置行动计划。</w:t>
            </w:r>
          </w:p>
        </w:tc>
        <w:tc>
          <w:tcPr>
            <w:tcW w:w="1559" w:type="dxa"/>
            <w:tcBorders>
              <w:left w:val="single" w:color="auto" w:sz="4" w:space="0"/>
              <w:right w:val="single" w:color="auto" w:sz="4" w:space="0"/>
            </w:tcBorders>
            <w:vAlign w:val="center"/>
          </w:tcPr>
          <w:p>
            <w:pPr>
              <w:pStyle w:val="175"/>
              <w:rPr>
                <w:rFonts w:hAnsi="宋体"/>
                <w:color w:val="0070C0"/>
                <w:sz w:val="21"/>
                <w:szCs w:val="21"/>
              </w:rPr>
            </w:pPr>
            <w:r>
              <w:rPr>
                <w:rFonts w:hint="eastAsia" w:hAnsi="宋体"/>
                <w:color w:val="0070C0"/>
                <w:sz w:val="21"/>
                <w:szCs w:val="21"/>
              </w:rPr>
              <w:t>武汉大学移民安置办公室</w:t>
            </w:r>
          </w:p>
        </w:tc>
        <w:tc>
          <w:tcPr>
            <w:tcW w:w="1559" w:type="dxa"/>
            <w:tcBorders>
              <w:left w:val="single" w:color="auto" w:sz="4" w:space="0"/>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项目预备金</w:t>
            </w:r>
          </w:p>
        </w:tc>
        <w:tc>
          <w:tcPr>
            <w:tcW w:w="1690" w:type="dxa"/>
            <w:tcBorders>
              <w:left w:val="single" w:color="auto" w:sz="4" w:space="0"/>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 w:hRule="atLeast"/>
          <w:jc w:val="center"/>
        </w:trPr>
        <w:tc>
          <w:tcPr>
            <w:tcW w:w="8931" w:type="dxa"/>
            <w:gridSpan w:val="4"/>
            <w:tcBorders>
              <w:right w:val="single" w:color="auto" w:sz="4" w:space="0"/>
            </w:tcBorders>
            <w:vAlign w:val="center"/>
          </w:tcPr>
          <w:p>
            <w:pPr>
              <w:widowControl/>
              <w:jc w:val="left"/>
              <w:rPr>
                <w:rFonts w:ascii="宋体" w:hAnsi="宋体" w:cs="宋体"/>
                <w:color w:val="0070C0"/>
                <w:kern w:val="0"/>
                <w:szCs w:val="21"/>
              </w:rPr>
            </w:pPr>
            <w:r>
              <w:rPr>
                <w:rFonts w:hint="eastAsia" w:ascii="宋体" w:hAnsi="宋体" w:cs="宋体"/>
                <w:b/>
                <w:color w:val="0070C0"/>
                <w:kern w:val="0"/>
                <w:szCs w:val="21"/>
              </w:rPr>
              <w:t>B</w:t>
            </w:r>
            <w:r>
              <w:rPr>
                <w:rFonts w:ascii="宋体" w:hAnsi="宋体" w:cs="宋体"/>
                <w:b/>
                <w:color w:val="0070C0"/>
                <w:kern w:val="0"/>
                <w:szCs w:val="21"/>
              </w:rPr>
              <w:t>.施工阶段</w:t>
            </w:r>
          </w:p>
        </w:tc>
        <w:tc>
          <w:tcPr>
            <w:tcW w:w="1559" w:type="dxa"/>
            <w:tcBorders>
              <w:left w:val="single" w:color="auto" w:sz="4" w:space="0"/>
              <w:right w:val="single" w:color="auto" w:sz="4" w:space="0"/>
            </w:tcBorders>
            <w:vAlign w:val="center"/>
          </w:tcPr>
          <w:p>
            <w:pPr>
              <w:widowControl/>
              <w:jc w:val="left"/>
              <w:rPr>
                <w:rFonts w:ascii="宋体" w:hAnsi="宋体" w:cs="宋体"/>
                <w:color w:val="0070C0"/>
                <w:kern w:val="0"/>
                <w:szCs w:val="21"/>
              </w:rPr>
            </w:pPr>
          </w:p>
        </w:tc>
        <w:tc>
          <w:tcPr>
            <w:tcW w:w="1559" w:type="dxa"/>
            <w:tcBorders>
              <w:left w:val="single" w:color="auto" w:sz="4" w:space="0"/>
              <w:right w:val="single" w:color="auto" w:sz="4" w:space="0"/>
            </w:tcBorders>
            <w:vAlign w:val="center"/>
          </w:tcPr>
          <w:p>
            <w:pPr>
              <w:widowControl/>
              <w:jc w:val="left"/>
              <w:rPr>
                <w:rFonts w:ascii="宋体" w:hAnsi="宋体" w:cs="宋体"/>
                <w:color w:val="0070C0"/>
                <w:kern w:val="0"/>
                <w:szCs w:val="21"/>
              </w:rPr>
            </w:pPr>
          </w:p>
        </w:tc>
        <w:tc>
          <w:tcPr>
            <w:tcW w:w="1690" w:type="dxa"/>
            <w:tcBorders>
              <w:left w:val="single" w:color="auto" w:sz="4" w:space="0"/>
              <w:right w:val="single" w:color="auto" w:sz="4" w:space="0"/>
            </w:tcBorders>
            <w:vAlign w:val="center"/>
          </w:tcPr>
          <w:p>
            <w:pPr>
              <w:widowControl/>
              <w:jc w:val="left"/>
              <w:rPr>
                <w:rFonts w:ascii="宋体" w:hAnsi="宋体" w:cs="宋体"/>
                <w:color w:val="0070C0"/>
                <w:kern w:val="0"/>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65"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弃土弃渣</w:t>
            </w:r>
          </w:p>
        </w:tc>
        <w:tc>
          <w:tcPr>
            <w:tcW w:w="1640" w:type="dxa"/>
            <w:gridSpan w:val="2"/>
            <w:tcBorders>
              <w:left w:val="single" w:color="auto" w:sz="4" w:space="0"/>
            </w:tcBorders>
            <w:vAlign w:val="center"/>
          </w:tcPr>
          <w:p>
            <w:pPr>
              <w:pStyle w:val="175"/>
              <w:rPr>
                <w:rFonts w:hAnsi="宋体"/>
                <w:color w:val="0070C0"/>
                <w:sz w:val="21"/>
                <w:szCs w:val="21"/>
              </w:rPr>
            </w:pPr>
            <w:r>
              <w:rPr>
                <w:rFonts w:hint="eastAsia" w:hAnsi="宋体"/>
                <w:color w:val="0070C0"/>
                <w:sz w:val="21"/>
                <w:szCs w:val="21"/>
              </w:rPr>
              <w:t>扬尘、</w:t>
            </w:r>
          </w:p>
          <w:p>
            <w:pPr>
              <w:pStyle w:val="175"/>
              <w:rPr>
                <w:rFonts w:hAnsi="宋体"/>
                <w:color w:val="0070C0"/>
                <w:sz w:val="21"/>
                <w:szCs w:val="21"/>
              </w:rPr>
            </w:pPr>
            <w:r>
              <w:rPr>
                <w:rFonts w:hint="eastAsia" w:hAnsi="宋体"/>
                <w:color w:val="0070C0"/>
                <w:sz w:val="21"/>
                <w:szCs w:val="21"/>
              </w:rPr>
              <w:t>土壤侵蚀、占地</w:t>
            </w:r>
          </w:p>
        </w:tc>
        <w:tc>
          <w:tcPr>
            <w:tcW w:w="6521" w:type="dxa"/>
            <w:vAlign w:val="center"/>
          </w:tcPr>
          <w:p>
            <w:pPr>
              <w:pStyle w:val="175"/>
              <w:jc w:val="both"/>
              <w:rPr>
                <w:rFonts w:hAnsi="宋体"/>
                <w:color w:val="0070C0"/>
                <w:sz w:val="21"/>
                <w:szCs w:val="21"/>
              </w:rPr>
            </w:pPr>
            <w:r>
              <w:rPr>
                <w:rFonts w:hint="eastAsia" w:hAnsi="宋体"/>
                <w:color w:val="0070C0"/>
                <w:sz w:val="21"/>
                <w:szCs w:val="21"/>
              </w:rPr>
              <w:t>①施工单位必须按规定办理好余泥渣土排放的手续，获得批准后方可在指定的建筑渣土回填场进行堆</w:t>
            </w:r>
            <w:r>
              <w:rPr>
                <w:rFonts w:ascii="Times New Roman" w:hAnsi="宋体" w:cs="Times New Roman"/>
                <w:color w:val="0070C0"/>
                <w:sz w:val="21"/>
                <w:szCs w:val="21"/>
              </w:rPr>
              <w:t>放。</w:t>
            </w:r>
          </w:p>
          <w:p>
            <w:pPr>
              <w:pStyle w:val="175"/>
              <w:jc w:val="both"/>
              <w:rPr>
                <w:rFonts w:hAnsi="宋体"/>
                <w:color w:val="0070C0"/>
                <w:sz w:val="21"/>
                <w:szCs w:val="21"/>
              </w:rPr>
            </w:pPr>
            <w:r>
              <w:rPr>
                <w:rFonts w:hint="eastAsia" w:hAnsi="宋体"/>
                <w:color w:val="0070C0"/>
                <w:sz w:val="21"/>
                <w:szCs w:val="21"/>
              </w:rPr>
              <w:t>②加强回填土方堆放场的管理，制定土方表面压实、定期喷水、覆盖等措施；不需要的泥土，建筑材料弃渣应及时运走，不宜长时间堆积。</w:t>
            </w:r>
          </w:p>
          <w:p>
            <w:pPr>
              <w:pStyle w:val="175"/>
              <w:jc w:val="both"/>
              <w:rPr>
                <w:rFonts w:hAnsi="宋体"/>
                <w:color w:val="0070C0"/>
                <w:sz w:val="21"/>
                <w:szCs w:val="21"/>
              </w:rPr>
            </w:pPr>
            <w:r>
              <w:rPr>
                <w:rFonts w:hint="eastAsia" w:hAnsi="宋体"/>
                <w:color w:val="0070C0"/>
                <w:sz w:val="21"/>
                <w:szCs w:val="21"/>
              </w:rPr>
              <w:t>③要加强回收；钻孔桩废渣等可用于场地回填。对内部工程及生产辅助建筑开挖土石方的进行调配利用，最大限度减少工程建设产生的弃土（渣）量地。临时弃土堆放点应采取防护措施，避免在降雨期间挖填土方，以防雨水冲刷造成水土流失、污染水体。</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列入工程</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宜昌市市环保局</w:t>
            </w:r>
          </w:p>
          <w:p>
            <w:pPr>
              <w:pStyle w:val="175"/>
              <w:jc w:val="center"/>
              <w:rPr>
                <w:rFonts w:hAnsi="宋体"/>
                <w:color w:val="0070C0"/>
                <w:sz w:val="21"/>
                <w:szCs w:val="21"/>
              </w:rPr>
            </w:pPr>
            <w:r>
              <w:rPr>
                <w:rFonts w:hint="eastAsia" w:hAnsi="宋体"/>
                <w:color w:val="0070C0"/>
                <w:sz w:val="21"/>
                <w:szCs w:val="21"/>
              </w:rPr>
              <w:t>宜昌市水利局</w:t>
            </w:r>
          </w:p>
          <w:p>
            <w:pPr>
              <w:pStyle w:val="175"/>
              <w:jc w:val="center"/>
              <w:rPr>
                <w:rFonts w:hAnsi="宋体"/>
                <w:color w:val="0070C0"/>
                <w:sz w:val="21"/>
                <w:szCs w:val="21"/>
              </w:rPr>
            </w:pPr>
            <w:r>
              <w:rPr>
                <w:rFonts w:hint="eastAsia" w:hAnsi="宋体"/>
                <w:color w:val="0070C0"/>
                <w:sz w:val="21"/>
                <w:szCs w:val="21"/>
              </w:rPr>
              <w:t>环境监理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393" w:hRule="atLeast"/>
          <w:jc w:val="center"/>
        </w:trPr>
        <w:tc>
          <w:tcPr>
            <w:tcW w:w="770" w:type="dxa"/>
            <w:vMerge w:val="restart"/>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施工</w:t>
            </w: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施工</w:t>
            </w:r>
          </w:p>
          <w:p>
            <w:pPr>
              <w:pStyle w:val="175"/>
              <w:jc w:val="center"/>
              <w:rPr>
                <w:rFonts w:hAnsi="宋体"/>
                <w:color w:val="0070C0"/>
                <w:sz w:val="21"/>
                <w:szCs w:val="21"/>
              </w:rPr>
            </w:pPr>
            <w:r>
              <w:rPr>
                <w:rFonts w:hint="eastAsia" w:hAnsi="宋体"/>
                <w:color w:val="0070C0"/>
                <w:sz w:val="21"/>
                <w:szCs w:val="21"/>
              </w:rPr>
              <w:t>现场</w:t>
            </w:r>
          </w:p>
        </w:tc>
        <w:tc>
          <w:tcPr>
            <w:tcW w:w="6521" w:type="dxa"/>
            <w:vAlign w:val="center"/>
          </w:tcPr>
          <w:p>
            <w:pPr>
              <w:pStyle w:val="175"/>
              <w:jc w:val="both"/>
              <w:rPr>
                <w:rFonts w:hAnsi="宋体"/>
                <w:color w:val="0070C0"/>
                <w:sz w:val="21"/>
                <w:szCs w:val="21"/>
              </w:rPr>
            </w:pPr>
            <w:r>
              <w:rPr>
                <w:rFonts w:hint="eastAsia" w:hAnsi="宋体"/>
                <w:color w:val="0070C0"/>
                <w:sz w:val="21"/>
                <w:szCs w:val="21"/>
              </w:rPr>
              <w:t>①严格限定施工范围，尽量不占水域；在施工现场设置告示牌和安全围栏；</w:t>
            </w:r>
          </w:p>
          <w:p>
            <w:pPr>
              <w:pStyle w:val="175"/>
              <w:jc w:val="both"/>
              <w:rPr>
                <w:rFonts w:hAnsi="宋体"/>
                <w:color w:val="0070C0"/>
                <w:sz w:val="21"/>
                <w:szCs w:val="21"/>
              </w:rPr>
            </w:pPr>
            <w:r>
              <w:rPr>
                <w:rFonts w:hint="eastAsia" w:hAnsi="宋体"/>
                <w:color w:val="0070C0"/>
                <w:sz w:val="21"/>
                <w:szCs w:val="21"/>
              </w:rPr>
              <w:t>②施工现场地坪必须进行硬化处理；</w:t>
            </w:r>
          </w:p>
          <w:p>
            <w:pPr>
              <w:pStyle w:val="175"/>
              <w:jc w:val="both"/>
              <w:rPr>
                <w:rFonts w:hAnsi="宋体"/>
                <w:color w:val="0070C0"/>
                <w:sz w:val="21"/>
                <w:szCs w:val="21"/>
              </w:rPr>
            </w:pPr>
            <w:r>
              <w:rPr>
                <w:rFonts w:hint="eastAsia" w:hAnsi="宋体"/>
                <w:color w:val="0070C0"/>
                <w:sz w:val="21"/>
                <w:szCs w:val="21"/>
              </w:rPr>
              <w:t>③开挖、钻孔和拆迁过程以及回填土方时，需洒水防止粉尘飞扬；</w:t>
            </w:r>
          </w:p>
          <w:p>
            <w:pPr>
              <w:pStyle w:val="175"/>
              <w:jc w:val="both"/>
              <w:rPr>
                <w:rFonts w:hAnsi="宋体"/>
                <w:color w:val="0070C0"/>
                <w:sz w:val="21"/>
                <w:szCs w:val="21"/>
              </w:rPr>
            </w:pPr>
            <w:r>
              <w:rPr>
                <w:rFonts w:hint="eastAsia" w:hAnsi="宋体"/>
                <w:color w:val="0070C0"/>
                <w:sz w:val="21"/>
                <w:szCs w:val="21"/>
              </w:rPr>
              <w:t>④施工结束时，应及时根据规划用途恢复。</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35.0</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宜昌市环保局</w:t>
            </w:r>
          </w:p>
          <w:p>
            <w:pPr>
              <w:pStyle w:val="175"/>
              <w:jc w:val="center"/>
              <w:rPr>
                <w:rFonts w:hAnsi="宋体"/>
                <w:color w:val="0070C0"/>
                <w:sz w:val="21"/>
                <w:szCs w:val="21"/>
              </w:rPr>
            </w:pPr>
            <w:r>
              <w:rPr>
                <w:rFonts w:hint="eastAsia" w:hAnsi="宋体"/>
                <w:color w:val="0070C0"/>
                <w:sz w:val="21"/>
                <w:szCs w:val="21"/>
              </w:rPr>
              <w:t>宜昌市规划局</w:t>
            </w:r>
          </w:p>
          <w:p>
            <w:pPr>
              <w:pStyle w:val="175"/>
              <w:jc w:val="center"/>
              <w:rPr>
                <w:rFonts w:hAnsi="宋体"/>
                <w:color w:val="0070C0"/>
                <w:sz w:val="21"/>
                <w:szCs w:val="21"/>
              </w:rPr>
            </w:pPr>
            <w:r>
              <w:rPr>
                <w:rFonts w:hint="eastAsia" w:hAnsi="宋体"/>
                <w:color w:val="0070C0"/>
                <w:sz w:val="21"/>
                <w:szCs w:val="21"/>
              </w:rPr>
              <w:t>环境监理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393"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施工废水</w:t>
            </w:r>
          </w:p>
        </w:tc>
        <w:tc>
          <w:tcPr>
            <w:tcW w:w="6521" w:type="dxa"/>
            <w:vAlign w:val="center"/>
          </w:tcPr>
          <w:p>
            <w:pPr>
              <w:pStyle w:val="175"/>
              <w:jc w:val="both"/>
              <w:rPr>
                <w:rFonts w:hAnsi="宋体"/>
                <w:color w:val="0070C0"/>
                <w:sz w:val="21"/>
                <w:szCs w:val="21"/>
              </w:rPr>
            </w:pPr>
            <w:r>
              <w:rPr>
                <w:rFonts w:hint="eastAsia" w:hAnsi="宋体"/>
                <w:color w:val="0070C0"/>
                <w:sz w:val="21"/>
                <w:szCs w:val="21"/>
              </w:rPr>
              <w:t>①</w:t>
            </w:r>
            <w:r>
              <w:rPr>
                <w:rFonts w:hAnsi="宋体"/>
                <w:color w:val="0070C0"/>
                <w:sz w:val="21"/>
                <w:szCs w:val="21"/>
              </w:rPr>
              <w:t>在施工营地设置化粪池，生活污水经化粪池处理后用于农田灌溉</w:t>
            </w:r>
            <w:r>
              <w:rPr>
                <w:rFonts w:hint="eastAsia" w:hAnsi="宋体"/>
                <w:color w:val="0070C0"/>
                <w:sz w:val="21"/>
                <w:szCs w:val="21"/>
              </w:rPr>
              <w:t>；</w:t>
            </w:r>
          </w:p>
          <w:p>
            <w:pPr>
              <w:pStyle w:val="175"/>
              <w:jc w:val="both"/>
              <w:rPr>
                <w:rFonts w:hAnsi="宋体"/>
                <w:color w:val="0070C0"/>
                <w:sz w:val="21"/>
                <w:szCs w:val="21"/>
              </w:rPr>
            </w:pPr>
            <w:r>
              <w:rPr>
                <w:rFonts w:hint="eastAsia" w:hAnsi="宋体"/>
                <w:color w:val="0070C0"/>
                <w:sz w:val="21"/>
                <w:szCs w:val="21"/>
              </w:rPr>
              <w:t>②施工废水应经隔油沉淀处理后回用，严禁排入周边水体。</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12.0</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宜昌市环保局</w:t>
            </w:r>
          </w:p>
          <w:p>
            <w:pPr>
              <w:pStyle w:val="175"/>
              <w:jc w:val="center"/>
              <w:rPr>
                <w:rFonts w:hAnsi="宋体"/>
                <w:color w:val="0070C0"/>
                <w:sz w:val="21"/>
                <w:szCs w:val="21"/>
              </w:rPr>
            </w:pPr>
            <w:r>
              <w:rPr>
                <w:rFonts w:hint="eastAsia" w:hAnsi="宋体"/>
                <w:color w:val="0070C0"/>
                <w:sz w:val="21"/>
                <w:szCs w:val="21"/>
              </w:rPr>
              <w:t>环境监理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452"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施工</w:t>
            </w:r>
          </w:p>
          <w:p>
            <w:pPr>
              <w:pStyle w:val="175"/>
              <w:jc w:val="center"/>
              <w:rPr>
                <w:rFonts w:hAnsi="宋体"/>
                <w:color w:val="0070C0"/>
                <w:sz w:val="21"/>
                <w:szCs w:val="21"/>
              </w:rPr>
            </w:pPr>
            <w:r>
              <w:rPr>
                <w:rFonts w:hint="eastAsia" w:hAnsi="宋体"/>
                <w:color w:val="0070C0"/>
                <w:sz w:val="21"/>
                <w:szCs w:val="21"/>
              </w:rPr>
              <w:t>噪声</w:t>
            </w:r>
          </w:p>
        </w:tc>
        <w:tc>
          <w:tcPr>
            <w:tcW w:w="6521" w:type="dxa"/>
            <w:vAlign w:val="center"/>
          </w:tcPr>
          <w:p>
            <w:pPr>
              <w:pStyle w:val="175"/>
              <w:jc w:val="both"/>
              <w:rPr>
                <w:rFonts w:hAnsi="宋体"/>
                <w:color w:val="0070C0"/>
                <w:sz w:val="21"/>
                <w:szCs w:val="21"/>
              </w:rPr>
            </w:pPr>
            <w:r>
              <w:rPr>
                <w:rFonts w:hint="eastAsia" w:hAnsi="宋体"/>
                <w:color w:val="0070C0"/>
                <w:sz w:val="21"/>
                <w:szCs w:val="21"/>
              </w:rPr>
              <w:t>①严禁高噪音、高振动的设备在中午或夜间休息时间作业，施工单位应选用低噪音机械设备或带隔声、消声设备。</w:t>
            </w:r>
          </w:p>
          <w:p>
            <w:pPr>
              <w:pStyle w:val="175"/>
              <w:jc w:val="both"/>
              <w:rPr>
                <w:rFonts w:hAnsi="宋体"/>
                <w:color w:val="0070C0"/>
                <w:sz w:val="21"/>
                <w:szCs w:val="21"/>
              </w:rPr>
            </w:pPr>
            <w:r>
              <w:rPr>
                <w:rFonts w:hint="eastAsia" w:hAnsi="宋体"/>
                <w:color w:val="0070C0"/>
                <w:sz w:val="21"/>
                <w:szCs w:val="21"/>
              </w:rPr>
              <w:t>②合理安排好施工时间与施工场所，高噪声作业区应远离声敏感点；</w:t>
            </w:r>
          </w:p>
          <w:p>
            <w:pPr>
              <w:pStyle w:val="175"/>
              <w:jc w:val="both"/>
              <w:rPr>
                <w:rFonts w:hAnsi="宋体"/>
                <w:color w:val="0070C0"/>
                <w:sz w:val="21"/>
                <w:szCs w:val="21"/>
              </w:rPr>
            </w:pPr>
            <w:r>
              <w:rPr>
                <w:rFonts w:hint="eastAsia" w:hAnsi="宋体"/>
                <w:color w:val="0070C0"/>
                <w:sz w:val="21"/>
                <w:szCs w:val="21"/>
              </w:rPr>
              <w:t>③夜间施工时对附近敏感点进行噪声监测。</w:t>
            </w:r>
          </w:p>
          <w:p>
            <w:pPr>
              <w:pStyle w:val="175"/>
              <w:jc w:val="both"/>
              <w:rPr>
                <w:rFonts w:hAnsi="宋体"/>
                <w:color w:val="0070C0"/>
                <w:sz w:val="21"/>
                <w:szCs w:val="21"/>
              </w:rPr>
            </w:pPr>
            <w:r>
              <w:rPr>
                <w:rFonts w:hint="eastAsia" w:hAnsi="宋体"/>
                <w:color w:val="0070C0"/>
                <w:sz w:val="21"/>
                <w:szCs w:val="21"/>
              </w:rPr>
              <w:t>夜间施工应该采取如下措施</w:t>
            </w:r>
            <w:r>
              <w:rPr>
                <w:rFonts w:hAnsi="宋体"/>
                <w:color w:val="0070C0"/>
                <w:sz w:val="21"/>
                <w:szCs w:val="21"/>
              </w:rPr>
              <w:t>:</w:t>
            </w:r>
          </w:p>
          <w:p>
            <w:pPr>
              <w:pStyle w:val="175"/>
              <w:jc w:val="both"/>
              <w:rPr>
                <w:rFonts w:hAnsi="宋体"/>
                <w:color w:val="0070C0"/>
                <w:sz w:val="21"/>
                <w:szCs w:val="21"/>
              </w:rPr>
            </w:pPr>
            <w:r>
              <w:rPr>
                <w:rFonts w:hint="eastAsia" w:hAnsi="宋体"/>
                <w:color w:val="0070C0"/>
                <w:sz w:val="21"/>
                <w:szCs w:val="21"/>
              </w:rPr>
              <w:t>应报请宜昌市环境保护局批准及备案，并应提前对周围的居民等环境敏感点进行公告，夜间施工时采取隔音围护等降噪措施，尽可能减少夜间施工噪声对周围环境的影响。</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26.0</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宜昌市环保局</w:t>
            </w:r>
          </w:p>
          <w:p>
            <w:pPr>
              <w:pStyle w:val="175"/>
              <w:jc w:val="center"/>
              <w:rPr>
                <w:rFonts w:hAnsi="宋体"/>
                <w:color w:val="0070C0"/>
                <w:sz w:val="21"/>
                <w:szCs w:val="21"/>
              </w:rPr>
            </w:pPr>
            <w:r>
              <w:rPr>
                <w:rFonts w:hint="eastAsia" w:hAnsi="宋体"/>
                <w:color w:val="0070C0"/>
                <w:sz w:val="21"/>
                <w:szCs w:val="21"/>
              </w:rPr>
              <w:t>环境监理</w:t>
            </w:r>
          </w:p>
          <w:p>
            <w:pPr>
              <w:pStyle w:val="175"/>
              <w:jc w:val="center"/>
              <w:rPr>
                <w:rFonts w:hAnsi="宋体"/>
                <w:color w:val="0070C0"/>
                <w:sz w:val="21"/>
                <w:szCs w:val="21"/>
              </w:rPr>
            </w:pPr>
            <w:r>
              <w:rPr>
                <w:rFonts w:hint="eastAsia" w:hAnsi="宋体"/>
                <w:color w:val="0070C0"/>
                <w:sz w:val="21"/>
                <w:szCs w:val="21"/>
              </w:rPr>
              <w:t>宜昌市环境监测站</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452"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施工</w:t>
            </w:r>
          </w:p>
          <w:p>
            <w:pPr>
              <w:pStyle w:val="175"/>
              <w:jc w:val="center"/>
              <w:rPr>
                <w:rFonts w:hAnsi="宋体"/>
                <w:color w:val="0070C0"/>
                <w:sz w:val="21"/>
                <w:szCs w:val="21"/>
              </w:rPr>
            </w:pPr>
            <w:r>
              <w:rPr>
                <w:rFonts w:hint="eastAsia" w:hAnsi="宋体"/>
                <w:color w:val="0070C0"/>
                <w:sz w:val="21"/>
                <w:szCs w:val="21"/>
              </w:rPr>
              <w:t>废气</w:t>
            </w:r>
          </w:p>
        </w:tc>
        <w:tc>
          <w:tcPr>
            <w:tcW w:w="6521" w:type="dxa"/>
            <w:vAlign w:val="center"/>
          </w:tcPr>
          <w:p>
            <w:pPr>
              <w:pStyle w:val="175"/>
              <w:jc w:val="both"/>
              <w:rPr>
                <w:rFonts w:hAnsi="宋体"/>
                <w:color w:val="0070C0"/>
                <w:sz w:val="21"/>
                <w:szCs w:val="21"/>
              </w:rPr>
            </w:pPr>
            <w:r>
              <w:rPr>
                <w:rFonts w:hint="eastAsia" w:hAnsi="宋体"/>
                <w:color w:val="0070C0"/>
                <w:sz w:val="21"/>
                <w:szCs w:val="21"/>
              </w:rPr>
              <w:t>①对施工运输道路加强洒水，减少道路扬尘对周围环境的影响。</w:t>
            </w:r>
          </w:p>
          <w:p>
            <w:pPr>
              <w:pStyle w:val="175"/>
              <w:jc w:val="both"/>
              <w:rPr>
                <w:rFonts w:hAnsi="宋体"/>
                <w:color w:val="0070C0"/>
                <w:sz w:val="21"/>
                <w:szCs w:val="21"/>
              </w:rPr>
            </w:pPr>
            <w:r>
              <w:rPr>
                <w:rFonts w:hint="eastAsia" w:hAnsi="宋体"/>
                <w:color w:val="0070C0"/>
                <w:sz w:val="21"/>
                <w:szCs w:val="21"/>
              </w:rPr>
              <w:t>②施工期间应采取全密闭施工方式防止粉尘污染。物料</w:t>
            </w:r>
            <w:r>
              <w:rPr>
                <w:rFonts w:hAnsi="宋体"/>
                <w:color w:val="0070C0"/>
                <w:sz w:val="21"/>
                <w:szCs w:val="21"/>
              </w:rPr>
              <w:t>运输车应按规定加盖苫布、蓬盖或其它防止洒落措施，装载不宜过满，保证运输过程中不散落</w:t>
            </w:r>
            <w:r>
              <w:rPr>
                <w:rFonts w:hint="eastAsia" w:hAnsi="宋体"/>
                <w:color w:val="0070C0"/>
                <w:sz w:val="21"/>
                <w:szCs w:val="21"/>
              </w:rPr>
              <w:t>，并规划好运输车辆的运行路线与时间，尽量避免在居民住宅等敏感区行驶；</w:t>
            </w:r>
          </w:p>
          <w:p>
            <w:pPr>
              <w:pStyle w:val="175"/>
              <w:jc w:val="both"/>
              <w:rPr>
                <w:rFonts w:hAnsi="宋体"/>
                <w:color w:val="0070C0"/>
                <w:sz w:val="21"/>
                <w:szCs w:val="21"/>
              </w:rPr>
            </w:pPr>
            <w:r>
              <w:rPr>
                <w:rFonts w:hint="eastAsia" w:hAnsi="宋体"/>
                <w:color w:val="0070C0"/>
                <w:sz w:val="21"/>
                <w:szCs w:val="21"/>
              </w:rPr>
              <w:t>③码头结构及建筑物施工</w:t>
            </w:r>
            <w:r>
              <w:rPr>
                <w:rFonts w:hAnsi="宋体"/>
                <w:color w:val="0070C0"/>
                <w:sz w:val="21"/>
                <w:szCs w:val="21"/>
              </w:rPr>
              <w:t>采用直接商业购买成品，降低对环境空气的影响</w:t>
            </w:r>
          </w:p>
          <w:p>
            <w:pPr>
              <w:pStyle w:val="175"/>
              <w:jc w:val="both"/>
              <w:rPr>
                <w:rFonts w:hAnsi="宋体"/>
                <w:color w:val="0070C0"/>
                <w:sz w:val="21"/>
                <w:szCs w:val="21"/>
              </w:rPr>
            </w:pPr>
            <w:r>
              <w:rPr>
                <w:rFonts w:hAnsi="宋体"/>
                <w:color w:val="0070C0"/>
                <w:sz w:val="21"/>
                <w:szCs w:val="21"/>
              </w:rPr>
              <w:fldChar w:fldCharType="begin"/>
            </w:r>
            <w:r>
              <w:rPr>
                <w:rFonts w:hAnsi="宋体"/>
                <w:color w:val="0070C0"/>
                <w:sz w:val="21"/>
                <w:szCs w:val="21"/>
              </w:rPr>
              <w:instrText xml:space="preserve"> </w:instrText>
            </w:r>
            <w:r>
              <w:rPr>
                <w:rFonts w:hint="eastAsia" w:hAnsi="宋体"/>
                <w:color w:val="0070C0"/>
                <w:sz w:val="21"/>
                <w:szCs w:val="21"/>
              </w:rPr>
              <w:instrText xml:space="preserve">eq \o\ac(○,</w:instrText>
            </w:r>
            <w:r>
              <w:rPr>
                <w:rFonts w:hint="eastAsia" w:hAnsi="宋体"/>
                <w:color w:val="0070C0"/>
                <w:position w:val="2"/>
                <w:sz w:val="14"/>
                <w:szCs w:val="21"/>
              </w:rPr>
              <w:instrText xml:space="preserve">4</w:instrText>
            </w:r>
            <w:r>
              <w:rPr>
                <w:rFonts w:hint="eastAsia" w:hAnsi="宋体"/>
                <w:color w:val="0070C0"/>
                <w:sz w:val="21"/>
                <w:szCs w:val="21"/>
              </w:rPr>
              <w:instrText xml:space="preserve">)</w:instrText>
            </w:r>
            <w:r>
              <w:rPr>
                <w:rFonts w:hAnsi="宋体"/>
                <w:color w:val="0070C0"/>
                <w:sz w:val="21"/>
                <w:szCs w:val="21"/>
              </w:rPr>
              <w:fldChar w:fldCharType="end"/>
            </w:r>
            <w:r>
              <w:rPr>
                <w:rFonts w:hint="eastAsia" w:hAnsi="宋体"/>
                <w:color w:val="0070C0"/>
                <w:sz w:val="21"/>
                <w:szCs w:val="21"/>
              </w:rPr>
              <w:t>施工过程中，严禁将废弃的建筑材料作为燃料燃烧。工地食堂应使用液化石油气或电炊具，不能使用燃油炊具。</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20.0</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宜昌市环保局</w:t>
            </w:r>
          </w:p>
          <w:p>
            <w:pPr>
              <w:pStyle w:val="175"/>
              <w:jc w:val="center"/>
              <w:rPr>
                <w:rFonts w:hAnsi="宋体"/>
                <w:color w:val="0070C0"/>
                <w:sz w:val="21"/>
                <w:szCs w:val="21"/>
              </w:rPr>
            </w:pPr>
            <w:r>
              <w:rPr>
                <w:rFonts w:hint="eastAsia" w:hAnsi="宋体"/>
                <w:color w:val="0070C0"/>
                <w:sz w:val="21"/>
                <w:szCs w:val="21"/>
              </w:rPr>
              <w:t>环境监理</w:t>
            </w:r>
          </w:p>
          <w:p>
            <w:pPr>
              <w:pStyle w:val="175"/>
              <w:jc w:val="center"/>
              <w:rPr>
                <w:rFonts w:hAnsi="宋体"/>
                <w:color w:val="0070C0"/>
                <w:sz w:val="21"/>
                <w:szCs w:val="21"/>
              </w:rPr>
            </w:pPr>
            <w:r>
              <w:rPr>
                <w:rFonts w:hint="eastAsia" w:hAnsi="宋体"/>
                <w:color w:val="0070C0"/>
                <w:sz w:val="21"/>
                <w:szCs w:val="21"/>
              </w:rPr>
              <w:t>宜昌市环境监测站</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54" w:hRule="atLeast"/>
          <w:jc w:val="center"/>
        </w:trPr>
        <w:tc>
          <w:tcPr>
            <w:tcW w:w="770" w:type="dxa"/>
            <w:vMerge w:val="continue"/>
            <w:tcBorders>
              <w:right w:val="single" w:color="auto" w:sz="4" w:space="0"/>
            </w:tcBorders>
            <w:vAlign w:val="center"/>
          </w:tcPr>
          <w:p>
            <w:pPr>
              <w:pStyle w:val="175"/>
              <w:jc w:val="both"/>
              <w:rPr>
                <w:rFonts w:hAnsi="宋体"/>
                <w:color w:val="0070C0"/>
                <w:sz w:val="21"/>
                <w:szCs w:val="21"/>
              </w:rPr>
            </w:pPr>
          </w:p>
        </w:tc>
        <w:tc>
          <w:tcPr>
            <w:tcW w:w="343" w:type="dxa"/>
            <w:tcBorders>
              <w:left w:val="single" w:color="auto" w:sz="4" w:space="0"/>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生态</w:t>
            </w:r>
          </w:p>
          <w:p>
            <w:pPr>
              <w:pStyle w:val="175"/>
              <w:jc w:val="center"/>
              <w:rPr>
                <w:rFonts w:hAnsi="宋体"/>
                <w:color w:val="0070C0"/>
                <w:sz w:val="21"/>
                <w:szCs w:val="21"/>
              </w:rPr>
            </w:pPr>
            <w:r>
              <w:rPr>
                <w:rFonts w:hint="eastAsia" w:hAnsi="宋体"/>
                <w:color w:val="0070C0"/>
                <w:sz w:val="21"/>
                <w:szCs w:val="21"/>
              </w:rPr>
              <w:t>环境</w:t>
            </w:r>
          </w:p>
        </w:tc>
        <w:tc>
          <w:tcPr>
            <w:tcW w:w="1297" w:type="dxa"/>
            <w:tcBorders>
              <w:left w:val="single" w:color="auto" w:sz="4" w:space="0"/>
            </w:tcBorders>
            <w:vAlign w:val="center"/>
          </w:tcPr>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r>
              <w:rPr>
                <w:rFonts w:hint="eastAsia" w:hAnsi="宋体"/>
                <w:color w:val="0070C0"/>
                <w:sz w:val="21"/>
                <w:szCs w:val="21"/>
              </w:rPr>
              <w:t>陆生生态环境</w:t>
            </w: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p>
          <w:p>
            <w:pPr>
              <w:pStyle w:val="175"/>
              <w:jc w:val="center"/>
              <w:rPr>
                <w:rFonts w:hAnsi="宋体"/>
                <w:color w:val="0070C0"/>
                <w:sz w:val="21"/>
                <w:szCs w:val="21"/>
              </w:rPr>
            </w:pPr>
            <w:r>
              <w:rPr>
                <w:rFonts w:hint="eastAsia" w:hAnsi="宋体"/>
                <w:color w:val="0070C0"/>
                <w:sz w:val="21"/>
                <w:szCs w:val="21"/>
              </w:rPr>
              <w:t>水生生态环境</w:t>
            </w:r>
          </w:p>
        </w:tc>
        <w:tc>
          <w:tcPr>
            <w:tcW w:w="6521" w:type="dxa"/>
            <w:vAlign w:val="center"/>
          </w:tcPr>
          <w:p>
            <w:pPr>
              <w:rPr>
                <w:rFonts w:ascii="宋体" w:hAnsi="宋体" w:cs="宋体"/>
                <w:color w:val="0070C0"/>
                <w:kern w:val="0"/>
                <w:szCs w:val="21"/>
              </w:rPr>
            </w:pPr>
            <w:r>
              <w:rPr>
                <w:rFonts w:hint="eastAsia" w:ascii="宋体" w:hAnsi="宋体" w:cs="宋体"/>
                <w:color w:val="0070C0"/>
                <w:szCs w:val="21"/>
              </w:rPr>
              <w:t>①</w:t>
            </w:r>
            <w:r>
              <w:rPr>
                <w:rFonts w:hint="eastAsia" w:ascii="宋体" w:hAnsi="宋体" w:cs="宋体"/>
                <w:color w:val="0070C0"/>
                <w:kern w:val="0"/>
                <w:szCs w:val="21"/>
              </w:rPr>
              <w:t>尽量保存当地农用地的耕作熟土用于完工后场地恢复和区域绿化；</w:t>
            </w:r>
          </w:p>
          <w:p>
            <w:pPr>
              <w:pStyle w:val="175"/>
              <w:jc w:val="both"/>
              <w:rPr>
                <w:rFonts w:hAnsi="宋体"/>
                <w:color w:val="0070C0"/>
                <w:sz w:val="21"/>
                <w:szCs w:val="21"/>
              </w:rPr>
            </w:pPr>
            <w:r>
              <w:rPr>
                <w:rFonts w:hint="eastAsia" w:hAnsi="宋体"/>
                <w:color w:val="0070C0"/>
                <w:sz w:val="21"/>
                <w:szCs w:val="21"/>
              </w:rPr>
              <w:t>②在农田附近施工时，施工活动要保证在征地范围内进行，施工临时占地要尽量控制在规划红线范围内，施工便道主要利用道路路基，缩小施工活动范围，减少对耕地的占用，加强对林草地的保护。</w:t>
            </w:r>
            <w:r>
              <w:rPr>
                <w:rFonts w:hAnsi="宋体"/>
                <w:color w:val="0070C0"/>
                <w:sz w:val="21"/>
                <w:szCs w:val="21"/>
              </w:rPr>
              <w:t>新搭建的施工营地</w:t>
            </w:r>
            <w:r>
              <w:rPr>
                <w:rFonts w:hint="eastAsia" w:hAnsi="宋体"/>
                <w:color w:val="0070C0"/>
                <w:sz w:val="21"/>
                <w:szCs w:val="21"/>
              </w:rPr>
              <w:t>应集中安置或利用沿线居民点、企业，尽量避免随处而放或零散放置；</w:t>
            </w:r>
            <w:r>
              <w:rPr>
                <w:rFonts w:hAnsi="宋体"/>
                <w:color w:val="0070C0"/>
                <w:sz w:val="21"/>
                <w:szCs w:val="21"/>
              </w:rPr>
              <w:t>施工人员的生活垃圾</w:t>
            </w:r>
            <w:r>
              <w:rPr>
                <w:rFonts w:hint="eastAsia" w:hAnsi="宋体"/>
                <w:color w:val="0070C0"/>
                <w:sz w:val="21"/>
                <w:szCs w:val="21"/>
              </w:rPr>
              <w:t>应进行统一处理后</w:t>
            </w:r>
            <w:r>
              <w:rPr>
                <w:rFonts w:hAnsi="宋体"/>
                <w:color w:val="0070C0"/>
                <w:sz w:val="21"/>
                <w:szCs w:val="21"/>
              </w:rPr>
              <w:t>，</w:t>
            </w:r>
            <w:r>
              <w:rPr>
                <w:rFonts w:hint="eastAsia" w:hAnsi="宋体"/>
                <w:color w:val="0070C0"/>
                <w:sz w:val="21"/>
                <w:szCs w:val="21"/>
              </w:rPr>
              <w:t>集中运出施工区以外，杜绝随意乱丢乱扔，影响当地生态环境；</w:t>
            </w:r>
          </w:p>
          <w:p>
            <w:pPr>
              <w:pStyle w:val="175"/>
              <w:jc w:val="both"/>
              <w:rPr>
                <w:rFonts w:hAnsi="宋体"/>
                <w:snapToGrid w:val="0"/>
              </w:rPr>
            </w:pPr>
            <w:r>
              <w:rPr>
                <w:rFonts w:hint="eastAsia" w:hAnsi="宋体"/>
                <w:color w:val="0070C0"/>
                <w:sz w:val="21"/>
                <w:szCs w:val="21"/>
              </w:rPr>
              <w:t>③提高施工人员的保护意识，严禁捕猎野生动物；</w:t>
            </w:r>
          </w:p>
          <w:p>
            <w:pPr>
              <w:pStyle w:val="175"/>
              <w:jc w:val="both"/>
              <w:rPr>
                <w:rFonts w:hAnsi="宋体"/>
                <w:color w:val="0070C0"/>
                <w:sz w:val="21"/>
                <w:szCs w:val="21"/>
              </w:rPr>
            </w:pPr>
            <w:r>
              <w:rPr>
                <w:rFonts w:hint="eastAsia" w:hAnsi="宋体"/>
                <w:color w:val="0070C0"/>
                <w:sz w:val="21"/>
                <w:szCs w:val="21"/>
              </w:rPr>
              <w:t>④水保措施；</w:t>
            </w:r>
          </w:p>
          <w:p>
            <w:pPr>
              <w:pStyle w:val="175"/>
              <w:jc w:val="both"/>
              <w:rPr>
                <w:rFonts w:hAnsi="宋体"/>
                <w:color w:val="0070C0"/>
                <w:sz w:val="21"/>
                <w:szCs w:val="21"/>
              </w:rPr>
            </w:pPr>
            <w:r>
              <w:rPr>
                <w:rFonts w:hAnsi="宋体"/>
                <w:color w:val="0070C0"/>
                <w:sz w:val="21"/>
                <w:szCs w:val="21"/>
              </w:rPr>
              <w:fldChar w:fldCharType="begin"/>
            </w:r>
            <w:r>
              <w:rPr>
                <w:rFonts w:hAnsi="宋体"/>
                <w:color w:val="0070C0"/>
                <w:sz w:val="21"/>
                <w:szCs w:val="21"/>
              </w:rPr>
              <w:instrText xml:space="preserve"> </w:instrText>
            </w:r>
            <w:r>
              <w:rPr>
                <w:rFonts w:hint="eastAsia" w:hAnsi="宋体"/>
                <w:color w:val="0070C0"/>
                <w:sz w:val="21"/>
                <w:szCs w:val="21"/>
              </w:rPr>
              <w:instrText xml:space="preserve">eq \o\ac(○,</w:instrText>
            </w:r>
            <w:r>
              <w:rPr>
                <w:rFonts w:hint="eastAsia" w:hAnsi="宋体"/>
                <w:color w:val="0070C0"/>
                <w:position w:val="2"/>
                <w:sz w:val="21"/>
                <w:szCs w:val="21"/>
              </w:rPr>
              <w:instrText xml:space="preserve">5</w:instrText>
            </w:r>
            <w:r>
              <w:rPr>
                <w:rFonts w:hint="eastAsia" w:hAnsi="宋体"/>
                <w:color w:val="0070C0"/>
                <w:sz w:val="21"/>
                <w:szCs w:val="21"/>
              </w:rPr>
              <w:instrText xml:space="preserve">)</w:instrText>
            </w:r>
            <w:r>
              <w:rPr>
                <w:rFonts w:hAnsi="宋体"/>
                <w:color w:val="0070C0"/>
                <w:sz w:val="21"/>
                <w:szCs w:val="21"/>
              </w:rPr>
              <w:fldChar w:fldCharType="end"/>
            </w:r>
            <w:r>
              <w:rPr>
                <w:rFonts w:hint="eastAsia" w:hAnsi="宋体"/>
                <w:color w:val="0070C0"/>
                <w:sz w:val="21"/>
                <w:szCs w:val="21"/>
              </w:rPr>
              <w:t>绿化</w:t>
            </w:r>
          </w:p>
          <w:p>
            <w:pPr>
              <w:pStyle w:val="175"/>
              <w:ind w:left="-40" w:leftChars="-19"/>
              <w:jc w:val="both"/>
              <w:rPr>
                <w:rFonts w:hAnsi="宋体"/>
                <w:color w:val="0070C0"/>
                <w:sz w:val="21"/>
                <w:szCs w:val="21"/>
              </w:rPr>
            </w:pPr>
            <w:r>
              <w:fldChar w:fldCharType="begin"/>
            </w:r>
            <w:r>
              <w:instrText xml:space="preserve"> </w:instrText>
            </w:r>
            <w:r>
              <w:rPr>
                <w:rFonts w:hint="eastAsia"/>
              </w:rPr>
              <w:instrText xml:space="preserve">eq \o\ac(○,</w:instrText>
            </w:r>
            <w:r>
              <w:rPr>
                <w:rFonts w:hint="eastAsia" w:ascii="Calibri"/>
                <w:position w:val="3"/>
                <w:sz w:val="16"/>
              </w:rPr>
              <w:instrText xml:space="preserve">6</w:instrText>
            </w:r>
            <w:r>
              <w:rPr>
                <w:rFonts w:hint="eastAsia"/>
              </w:rPr>
              <w:instrText xml:space="preserve">)</w:instrText>
            </w:r>
            <w:r>
              <w:fldChar w:fldCharType="end"/>
            </w:r>
            <w:r>
              <w:rPr>
                <w:rFonts w:hint="eastAsia" w:hAnsi="宋体"/>
                <w:color w:val="0070C0"/>
                <w:sz w:val="21"/>
                <w:szCs w:val="21"/>
              </w:rPr>
              <w:t>加强对承包商、施工人员的宣传教育工作，严禁施工人员利用水上作业之便捕捞珍稀水生保护动物；合理进行施工组织，工程水下施工应避开长江中华鲟种群产卵期（</w:t>
            </w:r>
            <w:r>
              <w:rPr>
                <w:rFonts w:hAnsi="宋体"/>
                <w:color w:val="0070C0"/>
                <w:sz w:val="21"/>
                <w:szCs w:val="21"/>
              </w:rPr>
              <w:t xml:space="preserve">10 </w:t>
            </w:r>
            <w:r>
              <w:rPr>
                <w:rFonts w:hint="eastAsia" w:hAnsi="宋体"/>
                <w:color w:val="0070C0"/>
                <w:sz w:val="21"/>
                <w:szCs w:val="21"/>
              </w:rPr>
              <w:t>月中旬～</w:t>
            </w:r>
            <w:r>
              <w:rPr>
                <w:rFonts w:hAnsi="宋体"/>
                <w:color w:val="0070C0"/>
                <w:sz w:val="21"/>
                <w:szCs w:val="21"/>
              </w:rPr>
              <w:t>11</w:t>
            </w:r>
            <w:r>
              <w:rPr>
                <w:rFonts w:hint="eastAsia" w:hAnsi="宋体"/>
                <w:color w:val="0070C0"/>
                <w:sz w:val="21"/>
                <w:szCs w:val="21"/>
              </w:rPr>
              <w:t>月中旬），一般鱼类产卵繁殖期及鱼苗摄食育肥期（</w:t>
            </w:r>
            <w:r>
              <w:rPr>
                <w:rFonts w:hAnsi="宋体"/>
                <w:color w:val="0070C0"/>
                <w:sz w:val="21"/>
                <w:szCs w:val="21"/>
              </w:rPr>
              <w:t xml:space="preserve">4 </w:t>
            </w:r>
            <w:r>
              <w:rPr>
                <w:rFonts w:hint="eastAsia" w:hAnsi="宋体"/>
                <w:color w:val="0070C0"/>
                <w:sz w:val="21"/>
                <w:szCs w:val="21"/>
              </w:rPr>
              <w:t>月～</w:t>
            </w:r>
            <w:r>
              <w:rPr>
                <w:rFonts w:hAnsi="宋体"/>
                <w:color w:val="0070C0"/>
                <w:sz w:val="21"/>
                <w:szCs w:val="21"/>
              </w:rPr>
              <w:t xml:space="preserve">6 </w:t>
            </w:r>
            <w:r>
              <w:rPr>
                <w:rFonts w:hint="eastAsia" w:hAnsi="宋体"/>
                <w:color w:val="0070C0"/>
                <w:sz w:val="21"/>
                <w:szCs w:val="21"/>
              </w:rPr>
              <w:t>月），以及珍稀保护水生动物的活动高峰期（</w:t>
            </w:r>
            <w:r>
              <w:rPr>
                <w:rFonts w:hAnsi="宋体"/>
                <w:color w:val="0070C0"/>
                <w:sz w:val="21"/>
                <w:szCs w:val="21"/>
              </w:rPr>
              <w:t xml:space="preserve">5 </w:t>
            </w:r>
            <w:r>
              <w:rPr>
                <w:rFonts w:hint="eastAsia" w:hAnsi="宋体"/>
                <w:color w:val="0070C0"/>
                <w:sz w:val="21"/>
                <w:szCs w:val="21"/>
              </w:rPr>
              <w:t>月～</w:t>
            </w:r>
            <w:r>
              <w:rPr>
                <w:rFonts w:hAnsi="宋体"/>
                <w:color w:val="0070C0"/>
                <w:sz w:val="21"/>
                <w:szCs w:val="21"/>
              </w:rPr>
              <w:t xml:space="preserve">8 </w:t>
            </w:r>
            <w:r>
              <w:rPr>
                <w:rFonts w:hint="eastAsia" w:hAnsi="宋体"/>
                <w:color w:val="0070C0"/>
                <w:sz w:val="21"/>
                <w:szCs w:val="21"/>
              </w:rPr>
              <w:t>月），选择在枯水季节（</w:t>
            </w:r>
            <w:r>
              <w:rPr>
                <w:rFonts w:hAnsi="宋体"/>
                <w:color w:val="0070C0"/>
                <w:sz w:val="21"/>
                <w:szCs w:val="21"/>
              </w:rPr>
              <w:t xml:space="preserve">12 </w:t>
            </w:r>
            <w:r>
              <w:rPr>
                <w:rFonts w:hint="eastAsia" w:hAnsi="宋体"/>
                <w:color w:val="0070C0"/>
                <w:sz w:val="21"/>
                <w:szCs w:val="21"/>
              </w:rPr>
              <w:t>月～</w:t>
            </w:r>
            <w:r>
              <w:rPr>
                <w:rFonts w:hAnsi="宋体"/>
                <w:color w:val="0070C0"/>
                <w:sz w:val="21"/>
                <w:szCs w:val="21"/>
              </w:rPr>
              <w:t xml:space="preserve">2 </w:t>
            </w:r>
            <w:r>
              <w:rPr>
                <w:rFonts w:hint="eastAsia" w:hAnsi="宋体"/>
                <w:color w:val="0070C0"/>
                <w:sz w:val="21"/>
                <w:szCs w:val="21"/>
              </w:rPr>
              <w:t>月）进行施工，避开珍稀保护水生动物的洄游高峰期。</w:t>
            </w:r>
          </w:p>
          <w:p>
            <w:pPr>
              <w:autoSpaceDE w:val="0"/>
              <w:autoSpaceDN w:val="0"/>
              <w:adjustRightInd w:val="0"/>
              <w:ind w:leftChars="-19" w:hanging="40" w:hangingChars="19"/>
              <w:jc w:val="left"/>
              <w:rPr>
                <w:rFonts w:ascii="宋体" w:hAnsi="宋体" w:cs="宋体"/>
                <w:color w:val="0070C0"/>
                <w:kern w:val="0"/>
                <w:szCs w:val="21"/>
              </w:rPr>
            </w:pPr>
            <w:r>
              <w:rPr>
                <w:rFonts w:ascii="宋体" w:hAnsi="宋体" w:cs="宋体"/>
                <w:color w:val="0070C0"/>
                <w:kern w:val="0"/>
                <w:szCs w:val="21"/>
              </w:rPr>
              <w:fldChar w:fldCharType="begin"/>
            </w:r>
            <w:r>
              <w:rPr>
                <w:rFonts w:ascii="宋体" w:hAnsi="宋体" w:cs="宋体"/>
                <w:color w:val="0070C0"/>
                <w:kern w:val="0"/>
                <w:szCs w:val="21"/>
              </w:rPr>
              <w:instrText xml:space="preserve"> </w:instrText>
            </w:r>
            <w:r>
              <w:rPr>
                <w:rFonts w:hint="eastAsia" w:ascii="宋体" w:hAnsi="宋体" w:cs="宋体"/>
                <w:color w:val="0070C0"/>
                <w:kern w:val="0"/>
                <w:szCs w:val="21"/>
              </w:rPr>
              <w:instrText xml:space="preserve">eq \o\ac(○,</w:instrText>
            </w:r>
            <w:r>
              <w:rPr>
                <w:rFonts w:hint="eastAsia" w:ascii="宋体" w:hAnsi="宋体" w:cs="宋体"/>
                <w:color w:val="0070C0"/>
                <w:kern w:val="0"/>
                <w:position w:val="2"/>
                <w:sz w:val="14"/>
                <w:szCs w:val="21"/>
              </w:rPr>
              <w:instrText xml:space="preserve">7</w:instrText>
            </w:r>
            <w:r>
              <w:rPr>
                <w:rFonts w:hint="eastAsia" w:ascii="宋体" w:hAnsi="宋体" w:cs="宋体"/>
                <w:color w:val="0070C0"/>
                <w:kern w:val="0"/>
                <w:szCs w:val="21"/>
              </w:rPr>
              <w:instrText xml:space="preserve">)</w:instrText>
            </w:r>
            <w:r>
              <w:rPr>
                <w:rFonts w:ascii="宋体" w:hAnsi="宋体" w:cs="宋体"/>
                <w:color w:val="0070C0"/>
                <w:kern w:val="0"/>
                <w:szCs w:val="21"/>
              </w:rPr>
              <w:fldChar w:fldCharType="end"/>
            </w:r>
            <w:r>
              <w:rPr>
                <w:rFonts w:hint="eastAsia" w:ascii="宋体" w:hAnsi="宋体" w:cs="宋体"/>
                <w:color w:val="0070C0"/>
                <w:kern w:val="0"/>
                <w:szCs w:val="21"/>
              </w:rPr>
              <w:t>优化施工管理和施工工艺</w:t>
            </w:r>
          </w:p>
          <w:p>
            <w:pPr>
              <w:autoSpaceDE w:val="0"/>
              <w:autoSpaceDN w:val="0"/>
              <w:adjustRightInd w:val="0"/>
              <w:ind w:leftChars="-19" w:hanging="40" w:hangingChars="19"/>
              <w:jc w:val="left"/>
              <w:rPr>
                <w:rFonts w:ascii="宋体" w:hAnsi="宋体" w:cs="宋体"/>
                <w:color w:val="0070C0"/>
                <w:kern w:val="0"/>
                <w:szCs w:val="21"/>
              </w:rPr>
            </w:pPr>
            <w:r>
              <w:rPr>
                <w:rFonts w:hint="eastAsia" w:ascii="宋体" w:hAnsi="宋体" w:cs="宋体"/>
                <w:color w:val="0070C0"/>
                <w:kern w:val="0"/>
                <w:szCs w:val="21"/>
              </w:rPr>
              <w:t>为避免施工船舶对江段珍稀水生生物造成伤害，施工单位应优化施工工艺方案，控制施工作业、施工船舶污染物排放。抓紧施工进度，尽量缩短水上作业时间。</w:t>
            </w:r>
          </w:p>
          <w:p>
            <w:pPr>
              <w:autoSpaceDE w:val="0"/>
              <w:autoSpaceDN w:val="0"/>
              <w:adjustRightInd w:val="0"/>
              <w:ind w:leftChars="-19" w:hanging="40" w:hangingChars="19"/>
              <w:jc w:val="left"/>
              <w:rPr>
                <w:rFonts w:ascii="宋体" w:hAnsi="宋体" w:cs="宋体"/>
                <w:color w:val="0070C0"/>
                <w:kern w:val="0"/>
                <w:szCs w:val="21"/>
              </w:rPr>
            </w:pPr>
            <w:r>
              <w:rPr>
                <w:rFonts w:ascii="宋体" w:hAnsi="宋体" w:cs="宋体"/>
                <w:color w:val="0070C0"/>
                <w:kern w:val="0"/>
                <w:szCs w:val="21"/>
              </w:rPr>
              <w:fldChar w:fldCharType="begin"/>
            </w:r>
            <w:r>
              <w:rPr>
                <w:rFonts w:ascii="宋体" w:hAnsi="宋体" w:cs="宋体"/>
                <w:color w:val="0070C0"/>
                <w:kern w:val="0"/>
                <w:szCs w:val="21"/>
              </w:rPr>
              <w:instrText xml:space="preserve"> </w:instrText>
            </w:r>
            <w:r>
              <w:rPr>
                <w:rFonts w:hint="eastAsia" w:ascii="宋体" w:hAnsi="宋体" w:cs="宋体"/>
                <w:color w:val="0070C0"/>
                <w:kern w:val="0"/>
                <w:szCs w:val="21"/>
              </w:rPr>
              <w:instrText xml:space="preserve">eq \o\ac(○,</w:instrText>
            </w:r>
            <w:r>
              <w:rPr>
                <w:rFonts w:hint="eastAsia" w:ascii="宋体" w:hAnsi="宋体" w:cs="宋体"/>
                <w:color w:val="0070C0"/>
                <w:kern w:val="0"/>
                <w:position w:val="2"/>
                <w:sz w:val="14"/>
                <w:szCs w:val="21"/>
              </w:rPr>
              <w:instrText xml:space="preserve">8</w:instrText>
            </w:r>
            <w:r>
              <w:rPr>
                <w:rFonts w:hint="eastAsia" w:ascii="宋体" w:hAnsi="宋体" w:cs="宋体"/>
                <w:color w:val="0070C0"/>
                <w:kern w:val="0"/>
                <w:szCs w:val="21"/>
              </w:rPr>
              <w:instrText xml:space="preserve">)</w:instrText>
            </w:r>
            <w:r>
              <w:rPr>
                <w:rFonts w:ascii="宋体" w:hAnsi="宋体" w:cs="宋体"/>
                <w:color w:val="0070C0"/>
                <w:kern w:val="0"/>
                <w:szCs w:val="21"/>
              </w:rPr>
              <w:fldChar w:fldCharType="end"/>
            </w:r>
            <w:r>
              <w:rPr>
                <w:rFonts w:hint="eastAsia" w:ascii="宋体" w:hAnsi="宋体" w:cs="宋体"/>
                <w:color w:val="0070C0"/>
                <w:kern w:val="0"/>
                <w:szCs w:val="21"/>
              </w:rPr>
              <w:t>水下施工中</w:t>
            </w:r>
            <w:r>
              <w:rPr>
                <w:rFonts w:ascii="宋体" w:hAnsi="宋体" w:cs="宋体"/>
                <w:color w:val="0070C0"/>
                <w:kern w:val="0"/>
                <w:szCs w:val="21"/>
              </w:rPr>
              <w:t xml:space="preserve">SS </w:t>
            </w:r>
            <w:r>
              <w:rPr>
                <w:rFonts w:hint="eastAsia" w:ascii="宋体" w:hAnsi="宋体" w:cs="宋体"/>
                <w:color w:val="0070C0"/>
                <w:kern w:val="0"/>
                <w:szCs w:val="21"/>
              </w:rPr>
              <w:t>发生量则取决于施工机械、施工方法、土石质量和粒度分布情况及长江水文条件等。施工中应尽量采用先进的施工技术，合理安排施工挖泥进度，最大限度地控制水下施工作业对底泥的搅动范围和强度，减少悬浮泥砂的发生量。</w:t>
            </w:r>
          </w:p>
          <w:p>
            <w:pPr>
              <w:autoSpaceDE w:val="0"/>
              <w:autoSpaceDN w:val="0"/>
              <w:adjustRightInd w:val="0"/>
              <w:ind w:leftChars="-19" w:hanging="40" w:hangingChars="19"/>
              <w:jc w:val="left"/>
              <w:rPr>
                <w:rFonts w:ascii="宋体" w:hAnsi="宋体" w:cs="宋体"/>
                <w:color w:val="0070C0"/>
                <w:szCs w:val="21"/>
              </w:rPr>
            </w:pPr>
            <w:r>
              <w:rPr>
                <w:rFonts w:ascii="宋体" w:hAnsi="宋体" w:cs="宋体"/>
                <w:color w:val="0070C0"/>
                <w:kern w:val="0"/>
                <w:szCs w:val="21"/>
              </w:rPr>
              <w:fldChar w:fldCharType="begin"/>
            </w:r>
            <w:r>
              <w:rPr>
                <w:rFonts w:ascii="宋体" w:hAnsi="宋体" w:cs="宋体"/>
                <w:color w:val="0070C0"/>
                <w:kern w:val="0"/>
                <w:szCs w:val="21"/>
              </w:rPr>
              <w:instrText xml:space="preserve"> </w:instrText>
            </w:r>
            <w:r>
              <w:rPr>
                <w:rFonts w:hint="eastAsia" w:ascii="宋体" w:hAnsi="宋体" w:cs="宋体"/>
                <w:color w:val="0070C0"/>
                <w:kern w:val="0"/>
                <w:szCs w:val="21"/>
              </w:rPr>
              <w:instrText xml:space="preserve">eq \o\ac(○,</w:instrText>
            </w:r>
            <w:r>
              <w:rPr>
                <w:rFonts w:hint="eastAsia" w:ascii="宋体" w:hAnsi="宋体" w:cs="宋体"/>
                <w:color w:val="0070C0"/>
                <w:kern w:val="0"/>
                <w:position w:val="2"/>
                <w:sz w:val="14"/>
                <w:szCs w:val="21"/>
              </w:rPr>
              <w:instrText xml:space="preserve">9</w:instrText>
            </w:r>
            <w:r>
              <w:rPr>
                <w:rFonts w:hint="eastAsia" w:ascii="宋体" w:hAnsi="宋体" w:cs="宋体"/>
                <w:color w:val="0070C0"/>
                <w:kern w:val="0"/>
                <w:szCs w:val="21"/>
              </w:rPr>
              <w:instrText xml:space="preserve">)</w:instrText>
            </w:r>
            <w:r>
              <w:rPr>
                <w:rFonts w:ascii="宋体" w:hAnsi="宋体" w:cs="宋体"/>
                <w:color w:val="0070C0"/>
                <w:kern w:val="0"/>
                <w:szCs w:val="21"/>
              </w:rPr>
              <w:fldChar w:fldCharType="end"/>
            </w:r>
            <w:r>
              <w:rPr>
                <w:rFonts w:hint="eastAsia" w:ascii="宋体" w:hAnsi="宋体" w:cs="宋体"/>
                <w:color w:val="0070C0"/>
                <w:kern w:val="0"/>
                <w:szCs w:val="21"/>
              </w:rPr>
              <w:t>施工期的各种固体废物均进行收集处理，不得随意抛弃至长江中。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100</w:t>
            </w:r>
            <w:r>
              <w:rPr>
                <w:rFonts w:hAnsi="宋体"/>
                <w:color w:val="0070C0"/>
                <w:sz w:val="21"/>
                <w:szCs w:val="21"/>
              </w:rPr>
              <w:t>3.04</w:t>
            </w:r>
            <w:r>
              <w:rPr>
                <w:rFonts w:hint="eastAsia" w:hAnsi="宋体"/>
                <w:color w:val="0070C0"/>
                <w:sz w:val="21"/>
                <w:szCs w:val="21"/>
              </w:rPr>
              <w:t>（水土保持费用993.04，其他费用10万）</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环境监理</w:t>
            </w:r>
          </w:p>
          <w:p>
            <w:pPr>
              <w:pStyle w:val="175"/>
              <w:ind w:left="-73" w:leftChars="-35" w:right="-162" w:rightChars="-77"/>
              <w:rPr>
                <w:rFonts w:hAnsi="宋体"/>
                <w:color w:val="0070C0"/>
                <w:sz w:val="21"/>
                <w:szCs w:val="21"/>
              </w:rPr>
            </w:pPr>
            <w:r>
              <w:rPr>
                <w:rFonts w:hint="eastAsia" w:hAnsi="宋体"/>
                <w:color w:val="0070C0"/>
                <w:sz w:val="21"/>
                <w:szCs w:val="21"/>
              </w:rPr>
              <w:t>宜昌中华鲟保护区管理局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549"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社会</w:t>
            </w:r>
          </w:p>
          <w:p>
            <w:pPr>
              <w:pStyle w:val="175"/>
              <w:jc w:val="center"/>
              <w:rPr>
                <w:rFonts w:hAnsi="宋体"/>
                <w:color w:val="0070C0"/>
                <w:sz w:val="21"/>
                <w:szCs w:val="21"/>
              </w:rPr>
            </w:pPr>
            <w:r>
              <w:rPr>
                <w:rFonts w:hint="eastAsia" w:hAnsi="宋体"/>
                <w:color w:val="0070C0"/>
                <w:sz w:val="21"/>
                <w:szCs w:val="21"/>
              </w:rPr>
              <w:t>环境</w:t>
            </w:r>
          </w:p>
        </w:tc>
        <w:tc>
          <w:tcPr>
            <w:tcW w:w="6521" w:type="dxa"/>
            <w:vAlign w:val="center"/>
          </w:tcPr>
          <w:p>
            <w:pPr>
              <w:pStyle w:val="175"/>
              <w:jc w:val="both"/>
              <w:rPr>
                <w:rFonts w:hAnsi="宋体"/>
                <w:color w:val="0070C0"/>
                <w:sz w:val="21"/>
                <w:szCs w:val="21"/>
              </w:rPr>
            </w:pPr>
            <w:r>
              <w:rPr>
                <w:rFonts w:hint="eastAsia" w:hAnsi="宋体"/>
                <w:color w:val="0070C0"/>
                <w:sz w:val="21"/>
                <w:szCs w:val="21"/>
              </w:rPr>
              <w:t>①施工过程中若发现文物须立即停止土方挖掘工作, 并把有关情况报告给当地文物保护部门。在主管部门未结束文物鉴定工作及必要的保护措施未采取前, 挖掘工作不得重新进行。</w:t>
            </w:r>
          </w:p>
          <w:p>
            <w:pPr>
              <w:ind w:left="-40" w:leftChars="-19"/>
              <w:rPr>
                <w:rFonts w:ascii="宋体" w:hAnsi="宋体" w:cs="宋体"/>
                <w:color w:val="0070C0"/>
                <w:kern w:val="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2</w:instrText>
            </w:r>
            <w:r>
              <w:rPr>
                <w:rFonts w:hint="eastAsia" w:hAnsi="宋体"/>
                <w:color w:val="0070C0"/>
                <w:szCs w:val="21"/>
              </w:rPr>
              <w:instrText xml:space="preserve">)</w:instrText>
            </w:r>
            <w:r>
              <w:rPr>
                <w:rFonts w:hAnsi="宋体"/>
                <w:color w:val="0070C0"/>
                <w:szCs w:val="21"/>
              </w:rPr>
              <w:fldChar w:fldCharType="end"/>
            </w:r>
            <w:r>
              <w:rPr>
                <w:rFonts w:hint="eastAsia" w:ascii="宋体" w:hAnsi="宋体" w:cs="宋体"/>
                <w:color w:val="0070C0"/>
                <w:kern w:val="0"/>
                <w:szCs w:val="21"/>
              </w:rPr>
              <w:t>对施工人员进行疾病控制等知识的教育为施工工人提供必要的自我保护装备，例如安全帽、耳塞以及其它安全防护装置；</w:t>
            </w:r>
          </w:p>
          <w:p>
            <w:pPr>
              <w:pStyle w:val="175"/>
              <w:jc w:val="both"/>
              <w:rPr>
                <w:rFonts w:hAnsi="宋体"/>
                <w:color w:val="0070C0"/>
                <w:sz w:val="21"/>
                <w:szCs w:val="21"/>
              </w:rPr>
            </w:pPr>
            <w:r>
              <w:rPr>
                <w:rFonts w:hAnsi="宋体"/>
                <w:color w:val="0070C0"/>
                <w:sz w:val="21"/>
                <w:szCs w:val="21"/>
              </w:rPr>
              <w:fldChar w:fldCharType="begin"/>
            </w:r>
            <w:r>
              <w:rPr>
                <w:rFonts w:hAnsi="宋体"/>
                <w:color w:val="0070C0"/>
                <w:sz w:val="21"/>
                <w:szCs w:val="21"/>
              </w:rPr>
              <w:instrText xml:space="preserve"> </w:instrText>
            </w:r>
            <w:r>
              <w:rPr>
                <w:rFonts w:hint="eastAsia" w:hAnsi="宋体"/>
                <w:color w:val="0070C0"/>
                <w:sz w:val="21"/>
                <w:szCs w:val="21"/>
              </w:rPr>
              <w:instrText xml:space="preserve">eq \o\ac(○,</w:instrText>
            </w:r>
            <w:r>
              <w:rPr>
                <w:rFonts w:hint="eastAsia" w:hAnsi="宋体"/>
                <w:color w:val="0070C0"/>
                <w:position w:val="2"/>
                <w:sz w:val="14"/>
                <w:szCs w:val="21"/>
              </w:rPr>
              <w:instrText xml:space="preserve">3</w:instrText>
            </w:r>
            <w:r>
              <w:rPr>
                <w:rFonts w:hint="eastAsia" w:hAnsi="宋体"/>
                <w:color w:val="0070C0"/>
                <w:sz w:val="21"/>
                <w:szCs w:val="21"/>
              </w:rPr>
              <w:instrText xml:space="preserve">)</w:instrText>
            </w:r>
            <w:r>
              <w:rPr>
                <w:rFonts w:hAnsi="宋体"/>
                <w:color w:val="0070C0"/>
                <w:sz w:val="21"/>
                <w:szCs w:val="21"/>
              </w:rPr>
              <w:fldChar w:fldCharType="end"/>
            </w:r>
            <w:r>
              <w:rPr>
                <w:rFonts w:hint="eastAsia" w:hAnsi="宋体"/>
                <w:color w:val="0070C0"/>
                <w:sz w:val="21"/>
                <w:szCs w:val="21"/>
              </w:rPr>
              <w:t>项目施工期间应提前利用广播、电视、报刊出安民告示；做好拆迁安置工作。</w:t>
            </w:r>
          </w:p>
        </w:tc>
        <w:tc>
          <w:tcPr>
            <w:tcW w:w="1559" w:type="dxa"/>
            <w:vAlign w:val="center"/>
          </w:tcPr>
          <w:p>
            <w:pPr>
              <w:pStyle w:val="175"/>
              <w:jc w:val="center"/>
              <w:rPr>
                <w:rFonts w:hAnsi="宋体"/>
                <w:color w:val="0070C0"/>
                <w:sz w:val="21"/>
                <w:szCs w:val="21"/>
              </w:rPr>
            </w:pPr>
            <w:r>
              <w:rPr>
                <w:rFonts w:hint="eastAsia" w:hAnsi="宋体"/>
                <w:color w:val="0070C0"/>
                <w:sz w:val="21"/>
                <w:szCs w:val="21"/>
              </w:rPr>
              <w:t>承包商</w:t>
            </w:r>
          </w:p>
          <w:p>
            <w:pPr>
              <w:pStyle w:val="175"/>
              <w:jc w:val="center"/>
              <w:rPr>
                <w:rFonts w:hAnsi="宋体"/>
                <w:color w:val="0070C0"/>
                <w:sz w:val="21"/>
                <w:szCs w:val="21"/>
              </w:rPr>
            </w:pPr>
            <w:r>
              <w:rPr>
                <w:rFonts w:hint="eastAsia" w:hAnsi="宋体"/>
                <w:color w:val="0070C0"/>
                <w:sz w:val="21"/>
                <w:szCs w:val="21"/>
              </w:rPr>
              <w:t>（由设计单位负责将其纳入招标文件中）</w:t>
            </w:r>
          </w:p>
        </w:tc>
        <w:tc>
          <w:tcPr>
            <w:tcW w:w="1559" w:type="dxa"/>
            <w:vAlign w:val="center"/>
          </w:tcPr>
          <w:p>
            <w:pPr>
              <w:pStyle w:val="175"/>
              <w:jc w:val="center"/>
              <w:rPr>
                <w:rFonts w:hAnsi="宋体"/>
                <w:color w:val="0070C0"/>
                <w:sz w:val="21"/>
                <w:szCs w:val="21"/>
              </w:rPr>
            </w:pPr>
            <w:r>
              <w:rPr>
                <w:rFonts w:hint="eastAsia" w:hAnsi="宋体"/>
                <w:color w:val="0070C0"/>
                <w:sz w:val="21"/>
                <w:szCs w:val="21"/>
              </w:rPr>
              <w:t>15.0</w:t>
            </w:r>
          </w:p>
        </w:tc>
        <w:tc>
          <w:tcPr>
            <w:tcW w:w="1690"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p>
            <w:pPr>
              <w:pStyle w:val="175"/>
              <w:jc w:val="center"/>
              <w:rPr>
                <w:rFonts w:hAnsi="宋体"/>
                <w:color w:val="0070C0"/>
                <w:sz w:val="21"/>
                <w:szCs w:val="21"/>
              </w:rPr>
            </w:pPr>
            <w:r>
              <w:rPr>
                <w:rFonts w:hint="eastAsia" w:hAnsi="宋体"/>
                <w:color w:val="0070C0"/>
                <w:sz w:val="21"/>
                <w:szCs w:val="21"/>
              </w:rPr>
              <w:t>环境监理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281" w:hRule="atLeast"/>
          <w:jc w:val="center"/>
        </w:trPr>
        <w:tc>
          <w:tcPr>
            <w:tcW w:w="12049" w:type="dxa"/>
            <w:gridSpan w:val="6"/>
            <w:tcBorders>
              <w:right w:val="single" w:color="auto" w:sz="4" w:space="0"/>
            </w:tcBorders>
            <w:vAlign w:val="center"/>
          </w:tcPr>
          <w:p>
            <w:pPr>
              <w:pStyle w:val="175"/>
              <w:jc w:val="both"/>
              <w:rPr>
                <w:rFonts w:hAnsi="宋体"/>
                <w:color w:val="0070C0"/>
                <w:sz w:val="21"/>
                <w:szCs w:val="21"/>
              </w:rPr>
            </w:pPr>
            <w:r>
              <w:rPr>
                <w:rFonts w:hint="eastAsia" w:hAnsi="宋体"/>
                <w:b/>
                <w:color w:val="0070C0"/>
                <w:sz w:val="21"/>
                <w:szCs w:val="21"/>
              </w:rPr>
              <w:t>C</w:t>
            </w:r>
            <w:r>
              <w:rPr>
                <w:rFonts w:hAnsi="宋体"/>
                <w:b/>
                <w:color w:val="0070C0"/>
                <w:sz w:val="21"/>
                <w:szCs w:val="21"/>
              </w:rPr>
              <w:t>.</w:t>
            </w:r>
            <w:r>
              <w:rPr>
                <w:rFonts w:hint="eastAsia" w:hAnsi="宋体"/>
                <w:b/>
                <w:color w:val="0070C0"/>
                <w:sz w:val="21"/>
                <w:szCs w:val="21"/>
              </w:rPr>
              <w:t>营运阶段</w:t>
            </w:r>
          </w:p>
        </w:tc>
        <w:tc>
          <w:tcPr>
            <w:tcW w:w="1690" w:type="dxa"/>
            <w:tcBorders>
              <w:left w:val="single" w:color="auto" w:sz="4" w:space="0"/>
              <w:right w:val="single" w:color="auto" w:sz="4" w:space="0"/>
            </w:tcBorders>
            <w:vAlign w:val="center"/>
          </w:tcPr>
          <w:p>
            <w:pPr>
              <w:pStyle w:val="175"/>
              <w:jc w:val="both"/>
              <w:rPr>
                <w:rFonts w:hAnsi="宋体"/>
                <w:color w:val="0070C0"/>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3001" w:hRule="atLeast"/>
          <w:jc w:val="center"/>
        </w:trPr>
        <w:tc>
          <w:tcPr>
            <w:tcW w:w="770" w:type="dxa"/>
            <w:vMerge w:val="restart"/>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各生产活动</w:t>
            </w:r>
          </w:p>
        </w:tc>
        <w:tc>
          <w:tcPr>
            <w:tcW w:w="1640" w:type="dxa"/>
            <w:gridSpan w:val="2"/>
            <w:tcBorders>
              <w:left w:val="single" w:color="auto" w:sz="4" w:space="0"/>
            </w:tcBorders>
            <w:vAlign w:val="center"/>
          </w:tcPr>
          <w:p>
            <w:pPr>
              <w:pStyle w:val="175"/>
              <w:spacing w:line="360" w:lineRule="auto"/>
              <w:jc w:val="center"/>
              <w:rPr>
                <w:rFonts w:hAnsi="宋体"/>
                <w:color w:val="0070C0"/>
                <w:sz w:val="21"/>
                <w:szCs w:val="21"/>
              </w:rPr>
            </w:pPr>
            <w:r>
              <w:rPr>
                <w:rFonts w:hint="eastAsia" w:hAnsi="宋体"/>
                <w:color w:val="0070C0"/>
                <w:sz w:val="21"/>
                <w:szCs w:val="21"/>
              </w:rPr>
              <w:t>噪声</w:t>
            </w:r>
          </w:p>
        </w:tc>
        <w:tc>
          <w:tcPr>
            <w:tcW w:w="6521" w:type="dxa"/>
            <w:vAlign w:val="center"/>
          </w:tcPr>
          <w:p>
            <w:pPr>
              <w:rPr>
                <w:rFonts w:ascii="宋体" w:hAnsi="宋体" w:cs="宋体"/>
                <w:color w:val="0070C0"/>
                <w:szCs w:val="21"/>
              </w:rPr>
            </w:pPr>
            <w:r>
              <w:rPr>
                <w:rFonts w:hint="eastAsia" w:ascii="宋体" w:hAnsi="宋体" w:cs="宋体"/>
                <w:color w:val="0070C0"/>
                <w:szCs w:val="21"/>
              </w:rPr>
              <w:t>①</w:t>
            </w:r>
            <w:r>
              <w:rPr>
                <w:rFonts w:hint="eastAsia" w:hAnsi="宋体"/>
                <w:snapToGrid w:val="0"/>
                <w:color w:val="0070C0"/>
                <w:kern w:val="0"/>
                <w:szCs w:val="21"/>
              </w:rPr>
              <w:t>《318 国道万城大桥至云池一级公路改扩建工程环境影响评价报告》，该工程拟对垭子山村居民采取设置通风隔声窗的措施，降噪措施环保投资7.5万元，该措施后可满足降噪要求，因此本评价对敏感点暂时不采取进一步工程降噪措施。</w:t>
            </w:r>
          </w:p>
          <w:p>
            <w:pPr>
              <w:rPr>
                <w:rFonts w:hAnsi="宋体"/>
                <w:snapToGrid w:val="0"/>
                <w:color w:val="0070C0"/>
                <w:kern w:val="0"/>
                <w:szCs w:val="21"/>
              </w:rPr>
            </w:pPr>
            <w:r>
              <w:rPr>
                <w:rFonts w:hint="eastAsia" w:hAnsi="宋体"/>
                <w:snapToGrid w:val="0"/>
                <w:color w:val="0070C0"/>
                <w:kern w:val="0"/>
                <w:szCs w:val="21"/>
              </w:rPr>
              <w:t>②提高车辆及作业机械性能，降低车辆和作业机械噪声，对作业机械和进出港车辆严格监管，禁止不符合噪声控制技术指标的车辆进出港，淘汰不符合噪声标准的作业机械。</w:t>
            </w:r>
          </w:p>
          <w:p>
            <w:pPr>
              <w:pStyle w:val="4"/>
              <w:ind w:firstLine="0" w:firstLineChars="0"/>
              <w:rPr>
                <w:rFonts w:hAnsi="宋体"/>
                <w:snapToGrid w:val="0"/>
                <w:color w:val="0070C0"/>
                <w:kern w:val="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3</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内部道路（桂湖路和松岗二路）建成后，做好绿化，加强道路后期的维护，保证路面的平整；</w:t>
            </w:r>
          </w:p>
          <w:p>
            <w:pPr>
              <w:pStyle w:val="4"/>
              <w:ind w:firstLine="0" w:firstLineChars="0"/>
              <w:rPr>
                <w:rFonts w:ascii="宋体" w:hAnsi="宋体" w:cs="宋体"/>
                <w:color w:val="0070C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4</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做好加工机械的隔声、减震</w:t>
            </w:r>
          </w:p>
        </w:tc>
        <w:tc>
          <w:tcPr>
            <w:tcW w:w="1559" w:type="dxa"/>
            <w:vAlign w:val="center"/>
          </w:tcPr>
          <w:p>
            <w:pPr>
              <w:pStyle w:val="175"/>
              <w:jc w:val="center"/>
              <w:rPr>
                <w:rFonts w:hAnsi="宋体"/>
                <w:color w:val="0070C0"/>
                <w:spacing w:val="5"/>
                <w:szCs w:val="21"/>
              </w:rPr>
            </w:pPr>
            <w:r>
              <w:rPr>
                <w:rFonts w:hint="eastAsia" w:hAnsi="宋体"/>
                <w:color w:val="0070C0"/>
                <w:sz w:val="21"/>
                <w:szCs w:val="21"/>
              </w:rPr>
              <w:t>运营企业</w:t>
            </w:r>
          </w:p>
        </w:tc>
        <w:tc>
          <w:tcPr>
            <w:tcW w:w="1559"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17.5万元（道路噪声措施来自原环评报告；暂列新增10.0万元加工机械噪声防治）</w:t>
            </w:r>
          </w:p>
        </w:tc>
        <w:tc>
          <w:tcPr>
            <w:tcW w:w="1690" w:type="dxa"/>
            <w:tcBorders>
              <w:left w:val="single" w:color="auto" w:sz="4" w:space="0"/>
              <w:right w:val="single" w:color="auto" w:sz="4" w:space="0"/>
            </w:tcBorders>
            <w:vAlign w:val="center"/>
          </w:tcPr>
          <w:p>
            <w:pPr>
              <w:pStyle w:val="46"/>
              <w:rPr>
                <w:rFonts w:hAnsi="宋体" w:cs="宋体"/>
                <w:color w:val="0070C0"/>
                <w:spacing w:val="5"/>
                <w:kern w:val="0"/>
                <w:szCs w:val="21"/>
              </w:rPr>
            </w:pPr>
            <w:r>
              <w:rPr>
                <w:rFonts w:hint="eastAsia" w:hAnsi="宋体" w:cs="宋体"/>
                <w:color w:val="0070C0"/>
                <w:spacing w:val="5"/>
                <w:kern w:val="0"/>
                <w:szCs w:val="21"/>
              </w:rPr>
              <w:t>湖北省环保厅</w:t>
            </w:r>
          </w:p>
          <w:p>
            <w:pPr>
              <w:pStyle w:val="46"/>
              <w:rPr>
                <w:rFonts w:hAnsi="宋体" w:cs="宋体"/>
                <w:color w:val="0070C0"/>
                <w:spacing w:val="5"/>
                <w:kern w:val="0"/>
                <w:szCs w:val="21"/>
              </w:rPr>
            </w:pPr>
            <w:r>
              <w:rPr>
                <w:rFonts w:hint="eastAsia" w:hAnsi="宋体" w:cs="宋体"/>
                <w:color w:val="0070C0"/>
                <w:spacing w:val="5"/>
                <w:kern w:val="0"/>
                <w:szCs w:val="21"/>
              </w:rPr>
              <w:t>宜昌市环保局</w:t>
            </w:r>
          </w:p>
          <w:p>
            <w:pPr>
              <w:pStyle w:val="46"/>
              <w:rPr>
                <w:rFonts w:hAnsi="宋体" w:cs="宋体"/>
                <w:color w:val="0070C0"/>
                <w:spacing w:val="5"/>
                <w:kern w:val="0"/>
                <w:szCs w:val="21"/>
              </w:rPr>
            </w:pPr>
            <w:r>
              <w:rPr>
                <w:rFonts w:hint="eastAsia" w:hAnsi="宋体" w:cs="宋体"/>
                <w:color w:val="0070C0"/>
                <w:spacing w:val="5"/>
                <w:kern w:val="0"/>
                <w:szCs w:val="21"/>
              </w:rPr>
              <w:t>宜昌市交通局</w:t>
            </w:r>
          </w:p>
          <w:p>
            <w:pPr>
              <w:pStyle w:val="46"/>
              <w:jc w:val="center"/>
              <w:rPr>
                <w:rFonts w:hAnsi="宋体" w:cs="宋体"/>
                <w:color w:val="0070C0"/>
                <w:spacing w:val="5"/>
                <w:kern w:val="0"/>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65"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spacing w:line="360" w:lineRule="auto"/>
              <w:jc w:val="center"/>
              <w:rPr>
                <w:rFonts w:hAnsi="宋体"/>
                <w:color w:val="0070C0"/>
                <w:sz w:val="21"/>
                <w:szCs w:val="21"/>
              </w:rPr>
            </w:pPr>
            <w:r>
              <w:rPr>
                <w:rFonts w:hint="eastAsia" w:hAnsi="宋体"/>
                <w:color w:val="0070C0"/>
                <w:sz w:val="21"/>
                <w:szCs w:val="21"/>
              </w:rPr>
              <w:t>废水</w:t>
            </w:r>
          </w:p>
        </w:tc>
        <w:tc>
          <w:tcPr>
            <w:tcW w:w="6521" w:type="dxa"/>
            <w:vAlign w:val="center"/>
          </w:tcPr>
          <w:p>
            <w:pPr>
              <w:pStyle w:val="4"/>
              <w:ind w:firstLine="0" w:firstLineChars="0"/>
              <w:rPr>
                <w:rFonts w:hAnsi="宋体"/>
                <w:snapToGrid w:val="0"/>
                <w:color w:val="0070C0"/>
                <w:kern w:val="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1</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三峡物流中心每天生活污水经过化粪池处理达到《污水综合排放标准》3级标准后后进入园区的城市污水管网。</w:t>
            </w:r>
          </w:p>
          <w:p>
            <w:pPr>
              <w:pStyle w:val="4"/>
              <w:ind w:firstLine="0" w:firstLineChars="0"/>
              <w:rPr>
                <w:rFonts w:hAnsi="宋体"/>
                <w:snapToGrid w:val="0"/>
                <w:color w:val="0070C0"/>
                <w:kern w:val="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2</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含油废水经沉淀隔油达到《污水综合排放标准》3级标准后排入园区污水管网。</w:t>
            </w:r>
          </w:p>
          <w:p>
            <w:pPr>
              <w:autoSpaceDE w:val="0"/>
              <w:autoSpaceDN w:val="0"/>
              <w:adjustRightInd w:val="0"/>
              <w:jc w:val="left"/>
              <w:rPr>
                <w:rFonts w:hAnsi="宋体"/>
                <w:snapToGrid w:val="0"/>
                <w:color w:val="0070C0"/>
                <w:kern w:val="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3</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地面冲洗水和初期雨污水</w:t>
            </w:r>
          </w:p>
          <w:p>
            <w:pPr>
              <w:autoSpaceDE w:val="0"/>
              <w:autoSpaceDN w:val="0"/>
              <w:adjustRightInd w:val="0"/>
              <w:jc w:val="left"/>
              <w:rPr>
                <w:rFonts w:hAnsi="宋体"/>
                <w:snapToGrid w:val="0"/>
                <w:color w:val="0070C0"/>
                <w:kern w:val="0"/>
                <w:szCs w:val="21"/>
              </w:rPr>
            </w:pPr>
            <w:r>
              <w:rPr>
                <w:rFonts w:hint="eastAsia" w:hAnsi="宋体"/>
                <w:snapToGrid w:val="0"/>
                <w:color w:val="0070C0"/>
                <w:kern w:val="0"/>
                <w:szCs w:val="21"/>
              </w:rPr>
              <w:t>主要包括码头面冲洗水和堆场径流雨水，这些污水收集后送入本工程进入沉淀池沉淀，沉淀后的废水用于堆场洒水，不会对长江水环境造成影响。</w:t>
            </w:r>
          </w:p>
          <w:p>
            <w:pPr>
              <w:autoSpaceDE w:val="0"/>
              <w:autoSpaceDN w:val="0"/>
              <w:adjustRightInd w:val="0"/>
              <w:jc w:val="left"/>
              <w:rPr>
                <w:rFonts w:hAnsi="宋体"/>
                <w:snapToGrid w:val="0"/>
                <w:color w:val="0070C0"/>
                <w:kern w:val="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4</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建立完善的污水收集系统</w:t>
            </w:r>
          </w:p>
          <w:p>
            <w:pPr>
              <w:pStyle w:val="4"/>
              <w:ind w:firstLine="0" w:firstLineChars="0"/>
              <w:rPr>
                <w:rFonts w:ascii="宋体" w:hAnsi="宋体" w:cs="宋体"/>
                <w:color w:val="0070C0"/>
                <w:szCs w:val="21"/>
              </w:rPr>
            </w:pPr>
            <w:r>
              <w:rPr>
                <w:rFonts w:hAnsi="宋体"/>
                <w:snapToGrid w:val="0"/>
                <w:color w:val="0070C0"/>
                <w:kern w:val="0"/>
                <w:szCs w:val="21"/>
              </w:rPr>
              <w:fldChar w:fldCharType="begin"/>
            </w:r>
            <w:r>
              <w:rPr>
                <w:rFonts w:hAnsi="宋体"/>
                <w:snapToGrid w:val="0"/>
                <w:color w:val="0070C0"/>
                <w:kern w:val="0"/>
                <w:szCs w:val="21"/>
              </w:rPr>
              <w:instrText xml:space="preserve"> </w:instrText>
            </w:r>
            <w:r>
              <w:rPr>
                <w:rFonts w:hint="eastAsia" w:hAnsi="宋体"/>
                <w:snapToGrid w:val="0"/>
                <w:color w:val="0070C0"/>
                <w:kern w:val="0"/>
                <w:szCs w:val="21"/>
              </w:rPr>
              <w:instrText xml:space="preserve">eq \o\ac(○,</w:instrText>
            </w:r>
            <w:r>
              <w:rPr>
                <w:rFonts w:hint="eastAsia" w:ascii="宋体" w:hAnsi="宋体"/>
                <w:snapToGrid w:val="0"/>
                <w:color w:val="0070C0"/>
                <w:kern w:val="0"/>
                <w:position w:val="2"/>
                <w:sz w:val="14"/>
                <w:szCs w:val="21"/>
              </w:rPr>
              <w:instrText xml:space="preserve">5</w:instrText>
            </w:r>
            <w:r>
              <w:rPr>
                <w:rFonts w:hint="eastAsia" w:hAnsi="宋体"/>
                <w:snapToGrid w:val="0"/>
                <w:color w:val="0070C0"/>
                <w:kern w:val="0"/>
                <w:szCs w:val="21"/>
              </w:rPr>
              <w:instrText xml:space="preserve">)</w:instrText>
            </w:r>
            <w:r>
              <w:rPr>
                <w:rFonts w:hAnsi="宋体"/>
                <w:snapToGrid w:val="0"/>
                <w:color w:val="0070C0"/>
                <w:kern w:val="0"/>
                <w:szCs w:val="21"/>
              </w:rPr>
              <w:fldChar w:fldCharType="end"/>
            </w:r>
            <w:r>
              <w:rPr>
                <w:rFonts w:hint="eastAsia" w:hAnsi="宋体"/>
                <w:snapToGrid w:val="0"/>
                <w:color w:val="0070C0"/>
                <w:kern w:val="0"/>
                <w:szCs w:val="21"/>
              </w:rPr>
              <w:t>到港船舶本身应配有处理机舱油污水的船用油水分离器，经处理后含油量应小于</w:t>
            </w:r>
            <w:r>
              <w:rPr>
                <w:rFonts w:hAnsi="宋体"/>
                <w:snapToGrid w:val="0"/>
                <w:color w:val="0070C0"/>
                <w:kern w:val="0"/>
                <w:szCs w:val="21"/>
              </w:rPr>
              <w:t>15mg/L</w:t>
            </w:r>
            <w:r>
              <w:rPr>
                <w:rFonts w:hint="eastAsia" w:hAnsi="宋体"/>
                <w:snapToGrid w:val="0"/>
                <w:color w:val="0070C0"/>
                <w:kern w:val="0"/>
                <w:szCs w:val="21"/>
              </w:rPr>
              <w:t>，不得在码头所在江段排放。到港船舶不得在本码头水域内排放船舶生活污水船舶舱底油污水和生活污水，确需岸上接收的，由船舶向海事部门提出申请，海事部门委托其认可单位污水接收船有偿接收处理船舶污废水</w:t>
            </w:r>
          </w:p>
        </w:tc>
        <w:tc>
          <w:tcPr>
            <w:tcW w:w="1559" w:type="dxa"/>
            <w:vAlign w:val="center"/>
          </w:tcPr>
          <w:p>
            <w:pPr>
              <w:pStyle w:val="46"/>
              <w:rPr>
                <w:rFonts w:hAnsi="宋体" w:cs="宋体"/>
                <w:color w:val="0070C0"/>
                <w:spacing w:val="5"/>
                <w:kern w:val="0"/>
                <w:szCs w:val="21"/>
              </w:rPr>
            </w:pPr>
            <w:r>
              <w:rPr>
                <w:rFonts w:hint="eastAsia" w:hAnsi="宋体" w:cs="宋体"/>
                <w:color w:val="0070C0"/>
                <w:szCs w:val="21"/>
              </w:rPr>
              <w:t>宜昌市世界银行贷款项目领导组办公室</w:t>
            </w:r>
          </w:p>
        </w:tc>
        <w:tc>
          <w:tcPr>
            <w:tcW w:w="1559"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200.0</w:t>
            </w:r>
          </w:p>
        </w:tc>
        <w:tc>
          <w:tcPr>
            <w:tcW w:w="1690"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湖北省环保厅</w:t>
            </w:r>
          </w:p>
          <w:p>
            <w:pPr>
              <w:pStyle w:val="46"/>
              <w:rPr>
                <w:rFonts w:hAnsi="宋体" w:cs="宋体"/>
                <w:color w:val="0070C0"/>
                <w:spacing w:val="5"/>
                <w:kern w:val="0"/>
                <w:szCs w:val="21"/>
              </w:rPr>
            </w:pPr>
            <w:r>
              <w:rPr>
                <w:rFonts w:hint="eastAsia" w:hAnsi="宋体" w:cs="宋体"/>
                <w:color w:val="0070C0"/>
                <w:spacing w:val="5"/>
                <w:kern w:val="0"/>
                <w:szCs w:val="21"/>
              </w:rPr>
              <w:t>宜昌市环保局</w:t>
            </w:r>
          </w:p>
          <w:p>
            <w:pPr>
              <w:pStyle w:val="46"/>
              <w:rPr>
                <w:rFonts w:hAnsi="宋体" w:cs="宋体"/>
                <w:color w:val="0070C0"/>
                <w:spacing w:val="5"/>
                <w:kern w:val="0"/>
                <w:szCs w:val="21"/>
              </w:rPr>
            </w:pPr>
            <w:r>
              <w:rPr>
                <w:rFonts w:hint="eastAsia" w:hAnsi="宋体" w:cs="宋体"/>
                <w:color w:val="0070C0"/>
                <w:spacing w:val="5"/>
                <w:kern w:val="0"/>
                <w:szCs w:val="21"/>
              </w:rPr>
              <w:t>宜昌市海事局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65" w:hRule="atLeast"/>
          <w:jc w:val="center"/>
        </w:trPr>
        <w:tc>
          <w:tcPr>
            <w:tcW w:w="770" w:type="dxa"/>
            <w:vMerge w:val="continue"/>
            <w:tcBorders>
              <w:right w:val="single" w:color="auto" w:sz="4" w:space="0"/>
            </w:tcBorders>
            <w:vAlign w:val="center"/>
          </w:tcPr>
          <w:p>
            <w:pPr>
              <w:pStyle w:val="175"/>
              <w:spacing w:line="360" w:lineRule="auto"/>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交通</w:t>
            </w:r>
          </w:p>
          <w:p>
            <w:pPr>
              <w:pStyle w:val="175"/>
              <w:jc w:val="center"/>
              <w:rPr>
                <w:rFonts w:hAnsi="宋体"/>
                <w:color w:val="0070C0"/>
                <w:sz w:val="21"/>
                <w:szCs w:val="21"/>
              </w:rPr>
            </w:pPr>
            <w:r>
              <w:rPr>
                <w:rFonts w:hint="eastAsia" w:hAnsi="宋体"/>
                <w:color w:val="0070C0"/>
                <w:sz w:val="21"/>
                <w:szCs w:val="21"/>
              </w:rPr>
              <w:t>安全</w:t>
            </w:r>
          </w:p>
        </w:tc>
        <w:tc>
          <w:tcPr>
            <w:tcW w:w="6521" w:type="dxa"/>
            <w:vAlign w:val="center"/>
          </w:tcPr>
          <w:p>
            <w:pPr>
              <w:rPr>
                <w:rFonts w:ascii="宋体" w:hAnsi="宋体" w:cs="宋体"/>
                <w:color w:val="0070C0"/>
                <w:szCs w:val="21"/>
              </w:rPr>
            </w:pPr>
            <w:r>
              <w:rPr>
                <w:rFonts w:hint="eastAsia" w:ascii="宋体" w:hAnsi="宋体" w:cs="宋体"/>
                <w:color w:val="0070C0"/>
                <w:szCs w:val="21"/>
              </w:rPr>
              <w:t>①根据设计，斑马线等过街设施；</w:t>
            </w:r>
          </w:p>
          <w:p>
            <w:pPr>
              <w:rPr>
                <w:rFonts w:ascii="宋体" w:hAnsi="宋体" w:cs="宋体"/>
                <w:color w:val="0070C0"/>
                <w:szCs w:val="21"/>
              </w:rPr>
            </w:pPr>
            <w:r>
              <w:rPr>
                <w:rFonts w:hint="eastAsia" w:ascii="宋体" w:hAnsi="宋体" w:cs="宋体"/>
                <w:color w:val="0070C0"/>
                <w:szCs w:val="21"/>
              </w:rPr>
              <w:t>②运行期对上述设施进行维护；</w:t>
            </w:r>
          </w:p>
          <w:p>
            <w:pPr>
              <w:rPr>
                <w:rFonts w:ascii="宋体" w:hAnsi="宋体" w:cs="宋体"/>
                <w:color w:val="0070C0"/>
                <w:szCs w:val="21"/>
              </w:rPr>
            </w:pPr>
            <w:r>
              <w:rPr>
                <w:rFonts w:hint="eastAsia" w:ascii="宋体" w:hAnsi="宋体" w:cs="宋体"/>
                <w:color w:val="0070C0"/>
                <w:szCs w:val="21"/>
              </w:rPr>
              <w:t>③加强交通管理，做好交通疏导工作，确保交通畅通。</w:t>
            </w:r>
          </w:p>
        </w:tc>
        <w:tc>
          <w:tcPr>
            <w:tcW w:w="1559" w:type="dxa"/>
            <w:vAlign w:val="center"/>
          </w:tcPr>
          <w:p>
            <w:pPr>
              <w:pStyle w:val="175"/>
              <w:jc w:val="center"/>
              <w:rPr>
                <w:rFonts w:hAnsi="宋体"/>
                <w:color w:val="0070C0"/>
                <w:spacing w:val="5"/>
                <w:szCs w:val="21"/>
              </w:rPr>
            </w:pPr>
            <w:r>
              <w:rPr>
                <w:rFonts w:hint="eastAsia" w:hAnsi="宋体"/>
                <w:color w:val="0070C0"/>
                <w:sz w:val="21"/>
                <w:szCs w:val="21"/>
              </w:rPr>
              <w:t>宜昌市世界银行贷款项目领导组办公室</w:t>
            </w:r>
          </w:p>
        </w:tc>
        <w:tc>
          <w:tcPr>
            <w:tcW w:w="1559" w:type="dxa"/>
            <w:vAlign w:val="center"/>
          </w:tcPr>
          <w:p>
            <w:pPr>
              <w:pStyle w:val="46"/>
              <w:ind w:firstLine="440" w:firstLineChars="200"/>
              <w:rPr>
                <w:rFonts w:hAnsi="宋体" w:cs="宋体"/>
                <w:color w:val="0070C0"/>
                <w:spacing w:val="5"/>
                <w:kern w:val="0"/>
                <w:szCs w:val="21"/>
              </w:rPr>
            </w:pPr>
            <w:r>
              <w:rPr>
                <w:rFonts w:hint="eastAsia" w:hAnsi="宋体" w:cs="宋体"/>
                <w:color w:val="0070C0"/>
                <w:spacing w:val="5"/>
                <w:kern w:val="0"/>
                <w:szCs w:val="21"/>
              </w:rPr>
              <w:t>-</w:t>
            </w:r>
          </w:p>
        </w:tc>
        <w:tc>
          <w:tcPr>
            <w:tcW w:w="1690"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宜昌市</w:t>
            </w:r>
          </w:p>
          <w:p>
            <w:pPr>
              <w:pStyle w:val="46"/>
              <w:jc w:val="center"/>
              <w:rPr>
                <w:rFonts w:hAnsi="宋体" w:cs="宋体"/>
                <w:color w:val="0070C0"/>
                <w:spacing w:val="5"/>
                <w:kern w:val="0"/>
                <w:szCs w:val="21"/>
              </w:rPr>
            </w:pPr>
            <w:r>
              <w:rPr>
                <w:rFonts w:hint="eastAsia" w:hAnsi="宋体" w:cs="宋体"/>
                <w:color w:val="0070C0"/>
                <w:spacing w:val="5"/>
                <w:kern w:val="0"/>
                <w:szCs w:val="21"/>
              </w:rPr>
              <w:t>交警大队</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5" w:hRule="atLeast"/>
          <w:jc w:val="center"/>
        </w:trPr>
        <w:tc>
          <w:tcPr>
            <w:tcW w:w="770" w:type="dxa"/>
            <w:vMerge w:val="continue"/>
            <w:tcBorders>
              <w:right w:val="single" w:color="auto" w:sz="4" w:space="0"/>
            </w:tcBorders>
            <w:vAlign w:val="center"/>
          </w:tcPr>
          <w:p>
            <w:pPr>
              <w:pStyle w:val="175"/>
              <w:jc w:val="center"/>
              <w:rPr>
                <w:rFonts w:hAnsi="宋体"/>
                <w:color w:val="0070C0"/>
                <w:sz w:val="21"/>
                <w:szCs w:val="21"/>
              </w:rPr>
            </w:pP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空气</w:t>
            </w:r>
          </w:p>
          <w:p>
            <w:pPr>
              <w:pStyle w:val="175"/>
              <w:jc w:val="center"/>
              <w:rPr>
                <w:rFonts w:hAnsi="宋体"/>
                <w:color w:val="0070C0"/>
                <w:sz w:val="21"/>
                <w:szCs w:val="21"/>
              </w:rPr>
            </w:pPr>
            <w:r>
              <w:rPr>
                <w:rFonts w:hint="eastAsia" w:hAnsi="宋体"/>
                <w:color w:val="0070C0"/>
                <w:sz w:val="21"/>
                <w:szCs w:val="21"/>
              </w:rPr>
              <w:t>污染</w:t>
            </w:r>
          </w:p>
        </w:tc>
        <w:tc>
          <w:tcPr>
            <w:tcW w:w="6521" w:type="dxa"/>
            <w:vAlign w:val="center"/>
          </w:tcPr>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\o\ac(○,1)</w:instrText>
            </w:r>
            <w:r>
              <w:rPr>
                <w:rFonts w:hAnsi="宋体"/>
                <w:color w:val="0070C0"/>
                <w:szCs w:val="21"/>
              </w:rPr>
              <w:fldChar w:fldCharType="end"/>
            </w:r>
            <w:r>
              <w:rPr>
                <w:rFonts w:hint="eastAsia" w:hAnsi="宋体"/>
                <w:color w:val="0070C0"/>
                <w:szCs w:val="21"/>
              </w:rPr>
              <w:t>管理程序</w:t>
            </w:r>
          </w:p>
          <w:p>
            <w:pPr>
              <w:autoSpaceDE w:val="0"/>
              <w:autoSpaceDN w:val="0"/>
              <w:adjustRightInd w:val="0"/>
              <w:ind w:firstLine="34" w:firstLineChars="16"/>
              <w:jc w:val="left"/>
              <w:rPr>
                <w:rFonts w:hAnsi="宋体"/>
                <w:color w:val="0070C0"/>
                <w:szCs w:val="21"/>
              </w:rPr>
            </w:pPr>
            <w:r>
              <w:rPr>
                <w:rFonts w:hAnsi="宋体"/>
                <w:color w:val="0070C0"/>
                <w:szCs w:val="21"/>
              </w:rPr>
              <w:t xml:space="preserve">􀁻 </w:t>
            </w:r>
            <w:r>
              <w:rPr>
                <w:rFonts w:hint="eastAsia" w:hAnsi="宋体"/>
                <w:color w:val="0070C0"/>
                <w:szCs w:val="21"/>
              </w:rPr>
              <w:t>转运设备（例如起重机、叉车和卡车）保持良好的工作状况；</w:t>
            </w:r>
          </w:p>
          <w:p>
            <w:pPr>
              <w:autoSpaceDE w:val="0"/>
              <w:autoSpaceDN w:val="0"/>
              <w:adjustRightInd w:val="0"/>
              <w:ind w:firstLine="34" w:firstLineChars="16"/>
              <w:jc w:val="left"/>
              <w:rPr>
                <w:rFonts w:hAnsi="宋体"/>
                <w:color w:val="0070C0"/>
                <w:szCs w:val="21"/>
              </w:rPr>
            </w:pPr>
            <w:r>
              <w:rPr>
                <w:rFonts w:hAnsi="宋体"/>
                <w:color w:val="0070C0"/>
                <w:szCs w:val="21"/>
              </w:rPr>
              <w:t xml:space="preserve">􀁻 </w:t>
            </w:r>
            <w:r>
              <w:rPr>
                <w:rFonts w:hint="eastAsia" w:hAnsi="宋体"/>
                <w:color w:val="0070C0"/>
                <w:szCs w:val="21"/>
              </w:rPr>
              <w:t>升级改造地面车队，采用低污染的卡车和车辆，使用替代燃料和混合燃料；</w:t>
            </w:r>
          </w:p>
          <w:p>
            <w:pPr>
              <w:autoSpaceDE w:val="0"/>
              <w:autoSpaceDN w:val="0"/>
              <w:adjustRightInd w:val="0"/>
              <w:ind w:firstLine="34" w:firstLineChars="16"/>
              <w:jc w:val="left"/>
              <w:rPr>
                <w:rFonts w:hAnsi="宋体"/>
                <w:color w:val="0070C0"/>
                <w:szCs w:val="21"/>
              </w:rPr>
            </w:pPr>
            <w:r>
              <w:rPr>
                <w:rFonts w:hAnsi="宋体"/>
                <w:color w:val="0070C0"/>
                <w:szCs w:val="21"/>
              </w:rPr>
              <w:t xml:space="preserve">􀁻 </w:t>
            </w:r>
            <w:r>
              <w:rPr>
                <w:rFonts w:hint="eastAsia" w:hAnsi="宋体"/>
                <w:color w:val="0070C0"/>
                <w:szCs w:val="21"/>
              </w:rPr>
              <w:t>鼓励减少装卸期间的发动机空转；</w:t>
            </w:r>
          </w:p>
          <w:p>
            <w:pPr>
              <w:autoSpaceDE w:val="0"/>
              <w:autoSpaceDN w:val="0"/>
              <w:adjustRightInd w:val="0"/>
              <w:ind w:firstLine="34" w:firstLineChars="16"/>
              <w:jc w:val="left"/>
              <w:rPr>
                <w:rFonts w:hAnsi="宋体"/>
                <w:color w:val="0070C0"/>
                <w:szCs w:val="21"/>
              </w:rPr>
            </w:pPr>
            <w:r>
              <w:rPr>
                <w:rFonts w:hAnsi="宋体"/>
                <w:color w:val="0070C0"/>
                <w:szCs w:val="21"/>
              </w:rPr>
              <w:t xml:space="preserve">􀁻 </w:t>
            </w:r>
            <w:r>
              <w:rPr>
                <w:rFonts w:hint="eastAsia" w:hAnsi="宋体"/>
                <w:color w:val="0070C0"/>
                <w:szCs w:val="21"/>
              </w:rPr>
              <w:t>鼓励进行储存规划，以避免或尽量减少货物的转储和重新装箱。</w:t>
            </w:r>
          </w:p>
          <w:p>
            <w:pPr>
              <w:autoSpaceDE w:val="0"/>
              <w:autoSpaceDN w:val="0"/>
              <w:adjustRightInd w:val="0"/>
              <w:ind w:firstLine="34" w:firstLineChars="16"/>
              <w:jc w:val="left"/>
              <w:rPr>
                <w:rFonts w:hAnsi="宋体"/>
                <w:color w:val="0070C0"/>
                <w:szCs w:val="21"/>
              </w:rPr>
            </w:pPr>
            <w:r>
              <w:rPr>
                <w:rFonts w:hAnsi="宋体"/>
                <w:color w:val="0070C0"/>
                <w:szCs w:val="21"/>
              </w:rPr>
              <w:t xml:space="preserve">􀁺 </w:t>
            </w:r>
            <w:r>
              <w:rPr>
                <w:rFonts w:hint="eastAsia" w:hAnsi="宋体"/>
                <w:color w:val="0070C0"/>
                <w:szCs w:val="21"/>
              </w:rPr>
              <w:t>设计新的设施，以尽量减少船舶装卸设施与货场之间的运输距离。</w:t>
            </w:r>
          </w:p>
          <w:p>
            <w:pPr>
              <w:pStyle w:val="4"/>
              <w:ind w:firstLine="0" w:firstLineChars="0"/>
              <w:rPr>
                <w:rFonts w:hAnsi="宋体"/>
                <w:color w:val="0070C0"/>
                <w:szCs w:val="21"/>
              </w:rPr>
            </w:pPr>
            <w:r>
              <w:rPr>
                <w:snapToGrid w:val="0"/>
                <w:color w:val="000000" w:themeColor="text1"/>
                <w:kern w:val="0"/>
                <w:sz w:val="24"/>
                <w14:textFill>
                  <w14:solidFill>
                    <w14:schemeClr w14:val="tx1"/>
                  </w14:solidFill>
                </w14:textFill>
              </w:rPr>
              <w:fldChar w:fldCharType="begin"/>
            </w:r>
            <w:r>
              <w:rPr>
                <w:snapToGrid w:val="0"/>
                <w:color w:val="000000" w:themeColor="text1"/>
                <w:kern w:val="0"/>
                <w:sz w:val="24"/>
                <w14:textFill>
                  <w14:solidFill>
                    <w14:schemeClr w14:val="tx1"/>
                  </w14:solidFill>
                </w14:textFill>
              </w:rPr>
              <w:instrText xml:space="preserve"> </w:instrText>
            </w:r>
            <w:r>
              <w:rPr>
                <w:rFonts w:hint="eastAsia"/>
                <w:snapToGrid w:val="0"/>
                <w:color w:val="000000" w:themeColor="text1"/>
                <w:kern w:val="0"/>
                <w:sz w:val="24"/>
                <w14:textFill>
                  <w14:solidFill>
                    <w14:schemeClr w14:val="tx1"/>
                  </w14:solidFill>
                </w14:textFill>
              </w:rPr>
              <w:instrText xml:space="preserve">eq \o\ac(○,</w:instrText>
            </w:r>
            <w:r>
              <w:rPr>
                <w:rFonts w:hint="eastAsia"/>
                <w:snapToGrid w:val="0"/>
                <w:color w:val="000000" w:themeColor="text1"/>
                <w:kern w:val="0"/>
                <w:position w:val="3"/>
                <w:sz w:val="16"/>
                <w14:textFill>
                  <w14:solidFill>
                    <w14:schemeClr w14:val="tx1"/>
                  </w14:solidFill>
                </w14:textFill>
              </w:rPr>
              <w:instrText xml:space="preserve">2</w:instrText>
            </w:r>
            <w:r>
              <w:rPr>
                <w:rFonts w:hint="eastAsia"/>
                <w:snapToGrid w:val="0"/>
                <w:color w:val="000000" w:themeColor="text1"/>
                <w:kern w:val="0"/>
                <w:sz w:val="24"/>
                <w14:textFill>
                  <w14:solidFill>
                    <w14:schemeClr w14:val="tx1"/>
                  </w14:solidFill>
                </w14:textFill>
              </w:rPr>
              <w:instrText xml:space="preserve">)</w:instrText>
            </w:r>
            <w:r>
              <w:rPr>
                <w:snapToGrid w:val="0"/>
                <w:color w:val="000000" w:themeColor="text1"/>
                <w:kern w:val="0"/>
                <w:sz w:val="24"/>
                <w14:textFill>
                  <w14:solidFill>
                    <w14:schemeClr w14:val="tx1"/>
                  </w14:solidFill>
                </w14:textFill>
              </w:rPr>
              <w:fldChar w:fldCharType="end"/>
            </w:r>
            <w:r>
              <w:rPr>
                <w:rFonts w:hint="eastAsia" w:hAnsi="宋体"/>
                <w:color w:val="0070C0"/>
                <w:szCs w:val="21"/>
              </w:rPr>
              <w:t>堆场喷淋洒水。</w:t>
            </w:r>
            <w:r>
              <w:rPr>
                <w:rFonts w:hAnsi="宋体"/>
                <w:color w:val="0070C0"/>
                <w:szCs w:val="21"/>
              </w:rPr>
              <w:t>门座起重机的卸船作业考虑洒水抑尘的除尘方式，除尘喷头的开启应与卸料抓斗的开启相对应，防止卸船作业粉尘污染；单斗装载机的装斗</w:t>
            </w:r>
            <w:r>
              <w:rPr>
                <w:rFonts w:hint="eastAsia" w:hAnsi="宋体"/>
                <w:color w:val="0070C0"/>
                <w:szCs w:val="21"/>
              </w:rPr>
              <w:t>、抓斗卸料漏斗</w:t>
            </w:r>
            <w:r>
              <w:rPr>
                <w:rFonts w:hAnsi="宋体"/>
                <w:color w:val="0070C0"/>
                <w:szCs w:val="21"/>
              </w:rPr>
              <w:t>也需安装洒水雾化喷头，在装卸过程中开启洒水雾化喷头，减少装卸过程粉尘污染。</w:t>
            </w:r>
          </w:p>
          <w:p>
            <w:pPr>
              <w:pStyle w:val="4"/>
              <w:ind w:firstLine="0" w:firstLineChars="0"/>
              <w:rPr>
                <w:rFonts w:hAnsi="宋体"/>
                <w:color w:val="0070C0"/>
                <w:szCs w:val="21"/>
              </w:rPr>
            </w:pPr>
            <w:r>
              <w:rPr>
                <w:rFonts w:hint="eastAsia" w:hAnsi="宋体"/>
                <w:color w:val="0070C0"/>
                <w:szCs w:val="21"/>
              </w:rPr>
              <w:t>尽可能减少物料的自由坠落，尽可可能降低散货装卸作业落料高度，降低干货的堆高，从货底部进行取货，在风速超过最大作业条件（10米/秒）时，应停止作业。</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\o\ac(○,3)</w:instrText>
            </w:r>
            <w:r>
              <w:rPr>
                <w:rFonts w:hAnsi="宋体"/>
                <w:color w:val="0070C0"/>
                <w:szCs w:val="21"/>
              </w:rPr>
              <w:fldChar w:fldCharType="end"/>
            </w:r>
            <w:r>
              <w:rPr>
                <w:rFonts w:hint="eastAsia" w:hAnsi="宋体"/>
                <w:color w:val="0070C0"/>
                <w:szCs w:val="21"/>
              </w:rPr>
              <w:t>在散货堆场东侧布置防风网150m，北侧布置防风网460m，西侧、西南侧布置防风网320m，防风网高8m。</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\o\ac(○,4)</w:instrText>
            </w:r>
            <w:r>
              <w:rPr>
                <w:rFonts w:hAnsi="宋体"/>
                <w:color w:val="0070C0"/>
                <w:szCs w:val="21"/>
              </w:rPr>
              <w:fldChar w:fldCharType="end"/>
            </w:r>
            <w:r>
              <w:rPr>
                <w:rFonts w:hAnsi="宋体"/>
                <w:color w:val="0070C0"/>
                <w:szCs w:val="21"/>
              </w:rPr>
              <w:t>对场地进行经常性清扫，并进行适当洒水，控制二次扬尘的污染。</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\o\ac(○,5)</w:instrText>
            </w:r>
            <w:r>
              <w:rPr>
                <w:rFonts w:hAnsi="宋体"/>
                <w:color w:val="0070C0"/>
                <w:szCs w:val="21"/>
              </w:rPr>
              <w:fldChar w:fldCharType="end"/>
            </w:r>
            <w:r>
              <w:rPr>
                <w:rFonts w:hAnsi="宋体"/>
                <w:color w:val="0070C0"/>
                <w:szCs w:val="21"/>
              </w:rPr>
              <w:t>在港区场界周围设置绿化带，树种选择应有吸附有害气体和减弱风速的作用，如侧柏、广玉兰、海桐、槐树等。其余空地尽量进行绿化，以达到防止粉尘污染。</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\o\ac(○,6)</w:instrText>
            </w:r>
            <w:r>
              <w:rPr>
                <w:rFonts w:hAnsi="宋体"/>
                <w:color w:val="0070C0"/>
                <w:szCs w:val="21"/>
              </w:rPr>
              <w:fldChar w:fldCharType="end"/>
            </w:r>
            <w:r>
              <w:rPr>
                <w:rFonts w:hint="eastAsia" w:hAnsi="宋体"/>
                <w:color w:val="0070C0"/>
                <w:szCs w:val="21"/>
              </w:rPr>
              <w:t>燃烧源</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制定针对船舶经营者的空气质量管理程序：</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氮氧化物（</w:t>
            </w:r>
            <w:r>
              <w:rPr>
                <w:rFonts w:hAnsi="宋体"/>
                <w:color w:val="0070C0"/>
                <w:szCs w:val="21"/>
              </w:rPr>
              <w:t>NOx</w:t>
            </w:r>
            <w:r>
              <w:rPr>
                <w:rFonts w:hint="eastAsia" w:hAnsi="宋体"/>
                <w:color w:val="0070C0"/>
                <w:szCs w:val="21"/>
              </w:rPr>
              <w:t>）和硫氧化物（</w:t>
            </w:r>
            <w:r>
              <w:rPr>
                <w:rFonts w:hAnsi="宋体"/>
                <w:color w:val="0070C0"/>
                <w:szCs w:val="21"/>
              </w:rPr>
              <w:t>SOx</w:t>
            </w:r>
            <w:r>
              <w:rPr>
                <w:rFonts w:hint="eastAsia" w:hAnsi="宋体"/>
                <w:color w:val="0070C0"/>
                <w:szCs w:val="21"/>
              </w:rPr>
              <w:t>）的排放不得超过国际条约所规定的限值；</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在可行的情况下，在港口使用低硫燃料；</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在港口出入区内减速航行，只有在离开港区之后才能全速航行；</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在港期间或在不利的大气状况下，避免或限制对蒸汽锅炉的管道或烟道进行吹灰；</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如果港口从岸上向船只提供电力以减少装卸期间的船载电力消耗，则如果系岸超过一定时间，要求船只关闭发电机（使用“岸上电力”）。</w:t>
            </w:r>
          </w:p>
          <w:p>
            <w:pPr>
              <w:autoSpaceDE w:val="0"/>
              <w:autoSpaceDN w:val="0"/>
              <w:adjustRightInd w:val="0"/>
              <w:jc w:val="left"/>
              <w:rPr>
                <w:rFonts w:hAnsi="宋体"/>
                <w:color w:val="0070C0"/>
                <w:szCs w:val="21"/>
              </w:rPr>
            </w:pPr>
            <w:r>
              <w:rPr>
                <w:rFonts w:hAnsi="宋体"/>
                <w:color w:val="0070C0"/>
                <w:szCs w:val="21"/>
              </w:rPr>
              <w:t xml:space="preserve">􀁺 </w:t>
            </w:r>
            <w:r>
              <w:rPr>
                <w:rFonts w:hint="eastAsia" w:hAnsi="宋体"/>
                <w:color w:val="0070C0"/>
                <w:szCs w:val="21"/>
              </w:rPr>
              <w:t>根据有必要加以考虑的当地空气质量问题，港务机构应制定针对地面作业的空气质量</w:t>
            </w:r>
          </w:p>
          <w:p>
            <w:pPr>
              <w:pStyle w:val="4"/>
              <w:ind w:firstLine="0" w:firstLineChars="0"/>
              <w:rPr>
                <w:rFonts w:hAnsi="宋体"/>
                <w:color w:val="0070C0"/>
                <w:szCs w:val="21"/>
              </w:rPr>
            </w:pPr>
            <w:r>
              <w:rPr>
                <w:color w:val="0070C0"/>
                <w:szCs w:val="21"/>
              </w:rPr>
              <w:t>􀁺</w:t>
            </w:r>
            <w:r>
              <w:rPr>
                <w:rFonts w:hAnsi="宋体"/>
                <w:color w:val="0070C0"/>
                <w:szCs w:val="21"/>
              </w:rPr>
              <w:t>对于船舶大气污染物，在《Marpol73/78公约》附则</w:t>
            </w:r>
            <w:r>
              <w:rPr>
                <w:rFonts w:hAnsi="宋体"/>
                <w:color w:val="0070C0"/>
                <w:szCs w:val="21"/>
              </w:rPr>
              <w:fldChar w:fldCharType="begin"/>
            </w:r>
            <w:r>
              <w:rPr>
                <w:rFonts w:hAnsi="宋体"/>
                <w:color w:val="0070C0"/>
                <w:szCs w:val="21"/>
              </w:rPr>
              <w:instrText xml:space="preserve"> = 5 \* ROMAN </w:instrText>
            </w:r>
            <w:r>
              <w:rPr>
                <w:rFonts w:hAnsi="宋体"/>
                <w:color w:val="0070C0"/>
                <w:szCs w:val="21"/>
              </w:rPr>
              <w:fldChar w:fldCharType="separate"/>
            </w:r>
            <w:r>
              <w:rPr>
                <w:rFonts w:hAnsi="宋体"/>
                <w:color w:val="0070C0"/>
                <w:szCs w:val="21"/>
              </w:rPr>
              <w:t>V</w:t>
            </w:r>
            <w:r>
              <w:rPr>
                <w:rFonts w:hAnsi="宋体"/>
                <w:color w:val="0070C0"/>
                <w:szCs w:val="21"/>
              </w:rPr>
              <w:fldChar w:fldCharType="end"/>
            </w:r>
            <w:r>
              <w:rPr>
                <w:rFonts w:hAnsi="宋体"/>
                <w:color w:val="0070C0"/>
                <w:szCs w:val="21"/>
              </w:rPr>
              <w:fldChar w:fldCharType="begin"/>
            </w:r>
            <w:r>
              <w:rPr>
                <w:rFonts w:hAnsi="宋体"/>
                <w:color w:val="0070C0"/>
                <w:szCs w:val="21"/>
              </w:rPr>
              <w:instrText xml:space="preserve"> = 6 \* ROMAN </w:instrText>
            </w:r>
            <w:r>
              <w:rPr>
                <w:rFonts w:hAnsi="宋体"/>
                <w:color w:val="0070C0"/>
                <w:szCs w:val="21"/>
              </w:rPr>
              <w:fldChar w:fldCharType="separate"/>
            </w:r>
            <w:r>
              <w:rPr>
                <w:rFonts w:hAnsi="宋体"/>
                <w:color w:val="0070C0"/>
                <w:szCs w:val="21"/>
              </w:rPr>
              <w:t>I</w:t>
            </w:r>
            <w:r>
              <w:rPr>
                <w:rFonts w:hAnsi="宋体"/>
                <w:color w:val="0070C0"/>
                <w:szCs w:val="21"/>
              </w:rPr>
              <w:fldChar w:fldCharType="end"/>
            </w:r>
            <w:r>
              <w:rPr>
                <w:rFonts w:hAnsi="宋体"/>
                <w:color w:val="0070C0"/>
                <w:szCs w:val="21"/>
              </w:rPr>
              <w:t>生效后，按其规定执行。</w:t>
            </w:r>
          </w:p>
        </w:tc>
        <w:tc>
          <w:tcPr>
            <w:tcW w:w="1559" w:type="dxa"/>
            <w:vAlign w:val="center"/>
          </w:tcPr>
          <w:p>
            <w:pPr>
              <w:pStyle w:val="175"/>
              <w:jc w:val="center"/>
              <w:rPr>
                <w:rFonts w:hAnsi="宋体"/>
                <w:color w:val="0070C0"/>
                <w:spacing w:val="5"/>
                <w:szCs w:val="21"/>
              </w:rPr>
            </w:pPr>
            <w:r>
              <w:rPr>
                <w:rFonts w:hint="eastAsia" w:hAnsi="宋体"/>
                <w:color w:val="0070C0"/>
                <w:sz w:val="21"/>
                <w:szCs w:val="21"/>
              </w:rPr>
              <w:t>宜昌市交通投资有限公司</w:t>
            </w:r>
          </w:p>
        </w:tc>
        <w:tc>
          <w:tcPr>
            <w:tcW w:w="1559"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2800（其中防风网2790万元，洒水车等10万元，其余资金在项目合同中）</w:t>
            </w:r>
          </w:p>
        </w:tc>
        <w:tc>
          <w:tcPr>
            <w:tcW w:w="1690"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湖北省环保厅</w:t>
            </w:r>
          </w:p>
          <w:p>
            <w:pPr>
              <w:pStyle w:val="46"/>
              <w:rPr>
                <w:rFonts w:hAnsi="宋体" w:cs="宋体"/>
                <w:color w:val="0070C0"/>
                <w:spacing w:val="5"/>
                <w:kern w:val="0"/>
                <w:szCs w:val="21"/>
              </w:rPr>
            </w:pPr>
            <w:r>
              <w:rPr>
                <w:rFonts w:hint="eastAsia" w:hAnsi="宋体" w:cs="宋体"/>
                <w:color w:val="0070C0"/>
                <w:spacing w:val="5"/>
                <w:kern w:val="0"/>
                <w:szCs w:val="21"/>
              </w:rPr>
              <w:t>宜昌市环保局</w:t>
            </w:r>
          </w:p>
          <w:p>
            <w:pPr>
              <w:pStyle w:val="46"/>
              <w:rPr>
                <w:rFonts w:hAnsi="宋体" w:cs="宋体"/>
                <w:color w:val="0070C0"/>
                <w:spacing w:val="5"/>
                <w:kern w:val="0"/>
                <w:szCs w:val="21"/>
              </w:rPr>
            </w:pPr>
            <w:r>
              <w:rPr>
                <w:rFonts w:hint="eastAsia" w:hAnsi="宋体" w:cs="宋体"/>
                <w:color w:val="0070C0"/>
                <w:spacing w:val="5"/>
                <w:kern w:val="0"/>
                <w:szCs w:val="21"/>
              </w:rPr>
              <w:t>宜昌市交通局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5"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物流园及港区运营</w:t>
            </w: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固废</w:t>
            </w:r>
          </w:p>
        </w:tc>
        <w:tc>
          <w:tcPr>
            <w:tcW w:w="6521" w:type="dxa"/>
            <w:vAlign w:val="center"/>
          </w:tcPr>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1</w:instrText>
            </w:r>
            <w:r>
              <w:rPr>
                <w:rFonts w:hint="eastAsia" w:hAnsi="宋体"/>
                <w:color w:val="0070C0"/>
                <w:szCs w:val="21"/>
              </w:rPr>
              <w:instrText xml:space="preserve">)</w:instrText>
            </w:r>
            <w:r>
              <w:rPr>
                <w:rFonts w:hAnsi="宋体"/>
                <w:color w:val="0070C0"/>
                <w:szCs w:val="21"/>
              </w:rPr>
              <w:fldChar w:fldCharType="end"/>
            </w:r>
            <w:r>
              <w:rPr>
                <w:rFonts w:hAnsi="宋体"/>
                <w:color w:val="0070C0"/>
                <w:szCs w:val="21"/>
              </w:rPr>
              <w:t>加强船舶垃圾的监管。港务监督部门应制订操作性较强的具体措施，加强巡查，严禁违章排放。强化《船舶垃圾记录簿》的管理，为及时处理违章排放垃圾提供依据。</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2</w:instrText>
            </w:r>
            <w:r>
              <w:rPr>
                <w:rFonts w:hint="eastAsia" w:hAnsi="宋体"/>
                <w:color w:val="0070C0"/>
                <w:szCs w:val="21"/>
              </w:rPr>
              <w:instrText xml:space="preserve">)</w:instrText>
            </w:r>
            <w:r>
              <w:rPr>
                <w:rFonts w:hAnsi="宋体"/>
                <w:color w:val="0070C0"/>
                <w:szCs w:val="21"/>
              </w:rPr>
              <w:fldChar w:fldCharType="end"/>
            </w:r>
            <w:r>
              <w:rPr>
                <w:rFonts w:hAnsi="宋体"/>
                <w:color w:val="0070C0"/>
                <w:szCs w:val="21"/>
              </w:rPr>
              <w:t>加入交通部与港口建立的船舶废弃物信息跟踪系统，从技术手段严防船舶垃圾偷排现象，同时做好宣传教育工作。</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3</w:instrText>
            </w:r>
            <w:r>
              <w:rPr>
                <w:rFonts w:hint="eastAsia" w:hAnsi="宋体"/>
                <w:color w:val="0070C0"/>
                <w:szCs w:val="21"/>
              </w:rPr>
              <w:instrText xml:space="preserve">)</w:instrText>
            </w:r>
            <w:r>
              <w:rPr>
                <w:rFonts w:hAnsi="宋体"/>
                <w:color w:val="0070C0"/>
                <w:szCs w:val="21"/>
              </w:rPr>
              <w:fldChar w:fldCharType="end"/>
            </w:r>
            <w:r>
              <w:rPr>
                <w:rFonts w:hAnsi="宋体"/>
                <w:color w:val="0070C0"/>
                <w:szCs w:val="21"/>
              </w:rPr>
              <w:t>港区船舶生活垃圾和生产垃圾严禁向水中倒弃。船舶垃圾须用密封式袋或桶盛装，统一收集至陆域处理；对来自疫区和境外的船舶产生的垃圾，必须进行卫生检疫，发现疫情时必须在船上杀菌、消毒处理。</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4</w:instrText>
            </w:r>
            <w:r>
              <w:rPr>
                <w:rFonts w:hint="eastAsia" w:hAnsi="宋体"/>
                <w:color w:val="0070C0"/>
                <w:szCs w:val="21"/>
              </w:rPr>
              <w:instrText xml:space="preserve">)</w:instrText>
            </w:r>
            <w:r>
              <w:rPr>
                <w:rFonts w:hAnsi="宋体"/>
                <w:color w:val="0070C0"/>
                <w:szCs w:val="21"/>
              </w:rPr>
              <w:fldChar w:fldCharType="end"/>
            </w:r>
            <w:r>
              <w:rPr>
                <w:rFonts w:hAnsi="宋体"/>
                <w:color w:val="0070C0"/>
                <w:szCs w:val="21"/>
              </w:rPr>
              <w:t>设备检修产生的含油棉纱和抹布</w:t>
            </w:r>
            <w:r>
              <w:rPr>
                <w:rFonts w:hint="eastAsia" w:hAnsi="宋体"/>
                <w:color w:val="0070C0"/>
                <w:szCs w:val="21"/>
              </w:rPr>
              <w:t>、切削废油</w:t>
            </w:r>
            <w:r>
              <w:rPr>
                <w:rFonts w:hAnsi="宋体"/>
                <w:color w:val="0070C0"/>
                <w:szCs w:val="21"/>
              </w:rPr>
              <w:t>经</w:t>
            </w:r>
            <w:r>
              <w:rPr>
                <w:rFonts w:hint="eastAsia" w:hAnsi="宋体"/>
                <w:color w:val="0070C0"/>
                <w:szCs w:val="21"/>
              </w:rPr>
              <w:t>园区</w:t>
            </w:r>
            <w:r>
              <w:rPr>
                <w:rFonts w:hAnsi="宋体"/>
                <w:color w:val="0070C0"/>
                <w:szCs w:val="21"/>
              </w:rPr>
              <w:t>统一收集后，应根据《危险废物贮存污染控制标准》（GB18597-2001）要求，在</w:t>
            </w:r>
            <w:r>
              <w:rPr>
                <w:rFonts w:hint="eastAsia" w:hAnsi="宋体"/>
                <w:color w:val="0070C0"/>
                <w:szCs w:val="21"/>
              </w:rPr>
              <w:t>园区</w:t>
            </w:r>
            <w:r>
              <w:rPr>
                <w:rFonts w:hAnsi="宋体"/>
                <w:color w:val="0070C0"/>
                <w:szCs w:val="21"/>
              </w:rPr>
              <w:t>设置临时贮存设施，使用符合标准的容器盛装上述危险废物，并在盛装危险废物的容器上粘贴符合标准要求的标签，最终交由具备相关资质的专业单位收集和处理。营运期，需做好危险废物情况的记录，定期对所贮存的危险废物包装容器进行检查，发现破损，应采取措施清理更换。</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5</w:instrText>
            </w:r>
            <w:r>
              <w:rPr>
                <w:rFonts w:hint="eastAsia" w:hAnsi="宋体"/>
                <w:color w:val="0070C0"/>
                <w:szCs w:val="21"/>
              </w:rPr>
              <w:instrText xml:space="preserve">)</w:instrText>
            </w:r>
            <w:r>
              <w:rPr>
                <w:rFonts w:hAnsi="宋体"/>
                <w:color w:val="0070C0"/>
                <w:szCs w:val="21"/>
              </w:rPr>
              <w:fldChar w:fldCharType="end"/>
            </w:r>
            <w:r>
              <w:rPr>
                <w:rFonts w:hAnsi="宋体"/>
                <w:color w:val="0070C0"/>
                <w:szCs w:val="21"/>
              </w:rPr>
              <w:t>营运期后方物流园区产生的生活垃圾，在站内设立垃圾集中堆放点，由项目所在区环卫部门定期对垃圾进行清运，处置。</w:t>
            </w:r>
          </w:p>
        </w:tc>
        <w:tc>
          <w:tcPr>
            <w:tcW w:w="1559" w:type="dxa"/>
            <w:vAlign w:val="center"/>
          </w:tcPr>
          <w:p>
            <w:pPr>
              <w:pStyle w:val="175"/>
              <w:jc w:val="center"/>
              <w:rPr>
                <w:rFonts w:hAnsi="宋体"/>
                <w:color w:val="0070C0"/>
                <w:sz w:val="21"/>
                <w:szCs w:val="21"/>
              </w:rPr>
            </w:pPr>
            <w:r>
              <w:rPr>
                <w:rFonts w:hint="eastAsia" w:hAnsi="宋体"/>
                <w:color w:val="0070C0"/>
                <w:sz w:val="21"/>
                <w:szCs w:val="21"/>
              </w:rPr>
              <w:t>三峡物流园相关企业</w:t>
            </w:r>
          </w:p>
        </w:tc>
        <w:tc>
          <w:tcPr>
            <w:tcW w:w="1559"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25.0</w:t>
            </w:r>
          </w:p>
        </w:tc>
        <w:tc>
          <w:tcPr>
            <w:tcW w:w="1690"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湖北省环境保护厅；宜昌市环境保护局；宜昌市交通投资有限公司；</w:t>
            </w:r>
            <w:r>
              <w:rPr>
                <w:rFonts w:hAnsi="宋体" w:cs="宋体"/>
                <w:color w:val="0070C0"/>
                <w:spacing w:val="5"/>
                <w:kern w:val="0"/>
                <w:szCs w:val="21"/>
              </w:rPr>
              <w:t xml:space="preserve"> </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5"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船舶运营</w:t>
            </w: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生态影响</w:t>
            </w:r>
          </w:p>
        </w:tc>
        <w:tc>
          <w:tcPr>
            <w:tcW w:w="6521" w:type="dxa"/>
            <w:vAlign w:val="center"/>
          </w:tcPr>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1</w:instrText>
            </w:r>
            <w:r>
              <w:rPr>
                <w:rFonts w:hint="eastAsia" w:hAnsi="宋体"/>
                <w:color w:val="0070C0"/>
                <w:szCs w:val="21"/>
              </w:rPr>
              <w:instrText xml:space="preserve">)</w:instrText>
            </w:r>
            <w:r>
              <w:rPr>
                <w:rFonts w:hAnsi="宋体"/>
                <w:color w:val="0070C0"/>
                <w:szCs w:val="21"/>
              </w:rPr>
              <w:fldChar w:fldCharType="end"/>
            </w:r>
            <w:r>
              <w:rPr>
                <w:rFonts w:hint="eastAsia" w:hAnsi="宋体"/>
                <w:color w:val="0070C0"/>
                <w:szCs w:val="21"/>
              </w:rPr>
              <w:t>中华鲟、胭脂鱼、青鱼、草鱼、鲢、鳙等进行增殖放流；</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2</w:instrText>
            </w:r>
            <w:r>
              <w:rPr>
                <w:rFonts w:hint="eastAsia" w:hAnsi="宋体"/>
                <w:color w:val="0070C0"/>
                <w:szCs w:val="21"/>
              </w:rPr>
              <w:instrText xml:space="preserve">)</w:instrText>
            </w:r>
            <w:r>
              <w:rPr>
                <w:rFonts w:hAnsi="宋体"/>
                <w:color w:val="0070C0"/>
                <w:szCs w:val="21"/>
              </w:rPr>
              <w:fldChar w:fldCharType="end"/>
            </w:r>
            <w:r>
              <w:rPr>
                <w:rFonts w:hint="eastAsia" w:hAnsi="宋体"/>
                <w:color w:val="0070C0"/>
                <w:szCs w:val="21"/>
              </w:rPr>
              <w:t>积极推进宜昌港联防、联控措施溢油事故应急措施；</w:t>
            </w:r>
          </w:p>
        </w:tc>
        <w:tc>
          <w:tcPr>
            <w:tcW w:w="1559" w:type="dxa"/>
            <w:vAlign w:val="center"/>
          </w:tcPr>
          <w:p>
            <w:pPr>
              <w:pStyle w:val="175"/>
              <w:jc w:val="center"/>
              <w:rPr>
                <w:rFonts w:hAnsi="宋体"/>
                <w:color w:val="0070C0"/>
                <w:sz w:val="21"/>
                <w:szCs w:val="21"/>
              </w:rPr>
            </w:pPr>
            <w:r>
              <w:rPr>
                <w:rFonts w:hint="eastAsia" w:hAnsi="宋体"/>
                <w:color w:val="0070C0"/>
                <w:sz w:val="21"/>
                <w:szCs w:val="21"/>
              </w:rPr>
              <w:t>宜昌市世界银行贷款项目领导组办公室</w:t>
            </w:r>
          </w:p>
        </w:tc>
        <w:tc>
          <w:tcPr>
            <w:tcW w:w="1559"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120</w:t>
            </w:r>
          </w:p>
        </w:tc>
        <w:tc>
          <w:tcPr>
            <w:tcW w:w="1690" w:type="dxa"/>
            <w:vAlign w:val="center"/>
          </w:tcPr>
          <w:p>
            <w:pPr>
              <w:pStyle w:val="46"/>
              <w:rPr>
                <w:rFonts w:hAnsi="宋体" w:cs="宋体"/>
                <w:color w:val="0070C0"/>
                <w:szCs w:val="21"/>
              </w:rPr>
            </w:pPr>
            <w:r>
              <w:rPr>
                <w:rFonts w:hint="eastAsia" w:hAnsi="宋体" w:cs="宋体"/>
                <w:color w:val="0070C0"/>
                <w:szCs w:val="21"/>
              </w:rPr>
              <w:t>宜昌市渔政船检港监管理处</w:t>
            </w:r>
          </w:p>
          <w:p>
            <w:pPr>
              <w:pStyle w:val="46"/>
              <w:rPr>
                <w:rFonts w:hAnsi="宋体" w:cs="宋体"/>
                <w:color w:val="0070C0"/>
                <w:spacing w:val="5"/>
                <w:kern w:val="0"/>
                <w:szCs w:val="21"/>
              </w:rPr>
            </w:pPr>
            <w:r>
              <w:rPr>
                <w:rFonts w:hint="eastAsia" w:hAnsi="宋体" w:cs="宋体"/>
                <w:color w:val="0070C0"/>
                <w:szCs w:val="21"/>
              </w:rPr>
              <w:t>宜昌市海事局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5"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物流园运营</w:t>
            </w: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累积影响</w:t>
            </w:r>
          </w:p>
        </w:tc>
        <w:tc>
          <w:tcPr>
            <w:tcW w:w="6521" w:type="dxa"/>
            <w:vAlign w:val="center"/>
          </w:tcPr>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1</w:instrText>
            </w:r>
            <w:r>
              <w:rPr>
                <w:rFonts w:hint="eastAsia" w:hAnsi="宋体"/>
                <w:color w:val="0070C0"/>
                <w:szCs w:val="21"/>
              </w:rPr>
              <w:instrText xml:space="preserve">)</w:instrText>
            </w:r>
            <w:r>
              <w:rPr>
                <w:rFonts w:hAnsi="宋体"/>
                <w:color w:val="0070C0"/>
                <w:szCs w:val="21"/>
              </w:rPr>
              <w:fldChar w:fldCharType="end"/>
            </w:r>
            <w:r>
              <w:rPr>
                <w:rFonts w:hint="eastAsia" w:hAnsi="宋体"/>
                <w:color w:val="0070C0"/>
                <w:szCs w:val="21"/>
              </w:rPr>
              <w:t>调整规划布局；</w:t>
            </w:r>
          </w:p>
          <w:p>
            <w:pPr>
              <w:pStyle w:val="4"/>
              <w:ind w:firstLine="0" w:firstLineChars="0"/>
              <w:rPr>
                <w:rFonts w:hAnsi="宋体"/>
                <w:color w:val="0070C0"/>
                <w:szCs w:val="21"/>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2</w:instrText>
            </w:r>
            <w:r>
              <w:rPr>
                <w:rFonts w:hint="eastAsia" w:hAnsi="宋体"/>
                <w:color w:val="0070C0"/>
                <w:szCs w:val="21"/>
              </w:rPr>
              <w:instrText xml:space="preserve">)</w:instrText>
            </w:r>
            <w:r>
              <w:rPr>
                <w:rFonts w:hAnsi="宋体"/>
                <w:color w:val="0070C0"/>
                <w:szCs w:val="21"/>
              </w:rPr>
              <w:fldChar w:fldCharType="end"/>
            </w:r>
            <w:r>
              <w:rPr>
                <w:rFonts w:hint="eastAsia" w:hAnsi="宋体"/>
                <w:color w:val="0070C0"/>
                <w:szCs w:val="21"/>
              </w:rPr>
              <w:t>实施沿岸项目环评；</w:t>
            </w:r>
          </w:p>
        </w:tc>
        <w:tc>
          <w:tcPr>
            <w:tcW w:w="1559" w:type="dxa"/>
            <w:vAlign w:val="center"/>
          </w:tcPr>
          <w:p>
            <w:pPr>
              <w:pStyle w:val="175"/>
              <w:jc w:val="center"/>
              <w:rPr>
                <w:rFonts w:hAnsi="宋体"/>
                <w:color w:val="0070C0"/>
                <w:sz w:val="21"/>
                <w:szCs w:val="21"/>
              </w:rPr>
            </w:pPr>
            <w:r>
              <w:rPr>
                <w:rFonts w:hint="eastAsia" w:hAnsi="宋体"/>
                <w:color w:val="0070C0"/>
                <w:sz w:val="21"/>
                <w:szCs w:val="21"/>
              </w:rPr>
              <w:t>宜昌市相关职能部门</w:t>
            </w:r>
          </w:p>
        </w:tc>
        <w:tc>
          <w:tcPr>
            <w:tcW w:w="1559" w:type="dxa"/>
            <w:vAlign w:val="center"/>
          </w:tcPr>
          <w:p>
            <w:pPr>
              <w:pStyle w:val="46"/>
              <w:jc w:val="center"/>
              <w:rPr>
                <w:rFonts w:hAnsi="宋体" w:cs="宋体"/>
                <w:color w:val="0070C0"/>
                <w:spacing w:val="5"/>
                <w:kern w:val="0"/>
                <w:szCs w:val="21"/>
              </w:rPr>
            </w:pPr>
            <w:r>
              <w:rPr>
                <w:rFonts w:hint="eastAsia" w:hAnsi="宋体" w:cs="宋体"/>
                <w:color w:val="0070C0"/>
                <w:spacing w:val="5"/>
                <w:kern w:val="0"/>
                <w:szCs w:val="21"/>
              </w:rPr>
              <w:t>-</w:t>
            </w:r>
          </w:p>
        </w:tc>
        <w:tc>
          <w:tcPr>
            <w:tcW w:w="1690"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宜昌市港航局</w:t>
            </w:r>
          </w:p>
          <w:p>
            <w:pPr>
              <w:pStyle w:val="46"/>
              <w:rPr>
                <w:rFonts w:hAnsi="宋体" w:cs="宋体"/>
                <w:color w:val="0070C0"/>
                <w:spacing w:val="5"/>
                <w:kern w:val="0"/>
                <w:szCs w:val="21"/>
              </w:rPr>
            </w:pPr>
            <w:r>
              <w:rPr>
                <w:rFonts w:hint="eastAsia" w:hAnsi="宋体" w:cs="宋体"/>
                <w:color w:val="0070C0"/>
                <w:spacing w:val="5"/>
                <w:kern w:val="0"/>
                <w:szCs w:val="21"/>
              </w:rPr>
              <w:t>宜昌市环保局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Ex>
        <w:trPr>
          <w:trHeight w:val="705" w:hRule="atLeast"/>
          <w:jc w:val="center"/>
        </w:trPr>
        <w:tc>
          <w:tcPr>
            <w:tcW w:w="770" w:type="dxa"/>
            <w:tcBorders>
              <w:righ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船舶运营</w:t>
            </w:r>
          </w:p>
        </w:tc>
        <w:tc>
          <w:tcPr>
            <w:tcW w:w="1640" w:type="dxa"/>
            <w:gridSpan w:val="2"/>
            <w:tcBorders>
              <w:left w:val="single" w:color="auto" w:sz="4" w:space="0"/>
            </w:tcBorders>
            <w:vAlign w:val="center"/>
          </w:tcPr>
          <w:p>
            <w:pPr>
              <w:pStyle w:val="175"/>
              <w:jc w:val="center"/>
              <w:rPr>
                <w:rFonts w:hAnsi="宋体"/>
                <w:color w:val="0070C0"/>
                <w:sz w:val="21"/>
                <w:szCs w:val="21"/>
              </w:rPr>
            </w:pPr>
            <w:r>
              <w:rPr>
                <w:rFonts w:hint="eastAsia" w:hAnsi="宋体"/>
                <w:color w:val="0070C0"/>
                <w:sz w:val="21"/>
                <w:szCs w:val="21"/>
              </w:rPr>
              <w:t>柴油泄露</w:t>
            </w:r>
          </w:p>
        </w:tc>
        <w:tc>
          <w:tcPr>
            <w:tcW w:w="6521" w:type="dxa"/>
            <w:vAlign w:val="center"/>
          </w:tcPr>
          <w:p>
            <w:pPr>
              <w:pStyle w:val="78"/>
              <w:spacing w:line="240" w:lineRule="auto"/>
              <w:ind w:firstLine="0" w:firstLineChars="0"/>
              <w:rPr>
                <w:color w:val="000000" w:themeColor="text1"/>
                <w14:textFill>
                  <w14:solidFill>
                    <w14:schemeClr w14:val="tx1"/>
                  </w14:solidFill>
                </w14:textFill>
              </w:rPr>
            </w:pPr>
            <w:r>
              <w:rPr>
                <w:rFonts w:hAnsi="宋体"/>
                <w:color w:val="0070C0"/>
                <w:szCs w:val="21"/>
              </w:rPr>
              <w:fldChar w:fldCharType="begin"/>
            </w:r>
            <w:r>
              <w:rPr>
                <w:rFonts w:hAnsi="宋体"/>
                <w:color w:val="0070C0"/>
                <w:szCs w:val="21"/>
              </w:rPr>
              <w:instrText xml:space="preserve"> </w:instrText>
            </w:r>
            <w:r>
              <w:rPr>
                <w:rFonts w:hint="eastAsia" w:hAnsi="宋体"/>
                <w:color w:val="0070C0"/>
                <w:szCs w:val="21"/>
              </w:rPr>
              <w:instrText xml:space="preserve">eq \o\ac(○,</w:instrText>
            </w:r>
            <w:r>
              <w:rPr>
                <w:rFonts w:hint="eastAsia" w:ascii="宋体" w:hAnsi="宋体"/>
                <w:color w:val="0070C0"/>
                <w:position w:val="2"/>
                <w:sz w:val="14"/>
                <w:szCs w:val="21"/>
              </w:rPr>
              <w:instrText xml:space="preserve">1</w:instrText>
            </w:r>
            <w:r>
              <w:rPr>
                <w:rFonts w:hint="eastAsia" w:hAnsi="宋体"/>
                <w:color w:val="0070C0"/>
                <w:szCs w:val="21"/>
              </w:rPr>
              <w:instrText xml:space="preserve">)</w:instrText>
            </w:r>
            <w:r>
              <w:rPr>
                <w:rFonts w:hAnsi="宋体"/>
                <w:color w:val="0070C0"/>
                <w:szCs w:val="21"/>
              </w:rPr>
              <w:fldChar w:fldCharType="end"/>
            </w:r>
            <w:r>
              <w:rPr>
                <w:color w:val="000000" w:themeColor="text1"/>
                <w14:textFill>
                  <w14:solidFill>
                    <w14:schemeClr w14:val="tx1"/>
                  </w14:solidFill>
                </w14:textFill>
              </w:rPr>
              <w:t>船舶交通事故预防措施包括：</w:t>
            </w:r>
          </w:p>
          <w:p>
            <w:pPr>
              <w:pStyle w:val="78"/>
              <w:spacing w:line="240" w:lineRule="auto"/>
              <w:ind w:firstLine="0" w:firstLineChars="0"/>
              <w:rPr>
                <w:rFonts w:ascii="Times New Roman" w:hAnsi="宋体" w:cs="Times New Roman"/>
                <w:color w:val="0070C0"/>
                <w:sz w:val="21"/>
                <w:szCs w:val="21"/>
              </w:rPr>
            </w:pPr>
            <w:r>
              <w:rPr>
                <w:rFonts w:hint="eastAsia" w:ascii="Times New Roman" w:hAnsi="宋体" w:cs="Times New Roman"/>
                <w:color w:val="0070C0"/>
                <w:sz w:val="21"/>
                <w:szCs w:val="21"/>
              </w:rPr>
              <w:t>事故风险预防：</w:t>
            </w:r>
          </w:p>
          <w:p>
            <w:pPr>
              <w:pStyle w:val="78"/>
              <w:spacing w:line="240" w:lineRule="auto"/>
              <w:ind w:firstLine="0" w:firstLineChars="0"/>
              <w:rPr>
                <w:rFonts w:ascii="Times New Roman" w:hAnsi="宋体" w:cs="Times New Roman"/>
                <w:color w:val="0070C0"/>
                <w:sz w:val="21"/>
                <w:szCs w:val="21"/>
              </w:rPr>
            </w:pPr>
            <w:r>
              <w:rPr>
                <w:rFonts w:ascii="Times New Roman" w:hAnsi="宋体" w:cs="Times New Roman"/>
                <w:color w:val="0070C0"/>
                <w:sz w:val="21"/>
                <w:szCs w:val="21"/>
              </w:rPr>
              <w:t>􀁺在码头附近区域配各必要的导助航等安全保障设施</w:t>
            </w:r>
          </w:p>
          <w:p>
            <w:pPr>
              <w:pStyle w:val="78"/>
              <w:spacing w:line="240" w:lineRule="auto"/>
              <w:ind w:firstLine="0" w:firstLineChars="0"/>
              <w:rPr>
                <w:rFonts w:ascii="Times New Roman" w:hAnsi="宋体" w:cs="Times New Roman"/>
                <w:color w:val="0070C0"/>
                <w:sz w:val="21"/>
                <w:szCs w:val="21"/>
              </w:rPr>
            </w:pPr>
            <w:r>
              <w:rPr>
                <w:rFonts w:ascii="Times New Roman" w:hAnsi="宋体" w:cs="Times New Roman"/>
                <w:color w:val="0070C0"/>
                <w:sz w:val="21"/>
                <w:szCs w:val="21"/>
              </w:rPr>
              <w:t>􀁺推进船舶交通管理系统（VTS）建设</w:t>
            </w:r>
          </w:p>
          <w:p>
            <w:pPr>
              <w:pStyle w:val="78"/>
              <w:spacing w:line="240" w:lineRule="auto"/>
              <w:ind w:firstLine="0" w:firstLineChars="0"/>
              <w:rPr>
                <w:rFonts w:ascii="Times New Roman" w:hAnsi="宋体" w:cs="Times New Roman"/>
                <w:color w:val="0070C0"/>
                <w:sz w:val="21"/>
                <w:szCs w:val="21"/>
              </w:rPr>
            </w:pPr>
            <w:r>
              <w:rPr>
                <w:rFonts w:ascii="Times New Roman" w:hAnsi="宋体" w:cs="Times New Roman"/>
                <w:color w:val="0070C0"/>
                <w:sz w:val="21"/>
                <w:szCs w:val="21"/>
              </w:rPr>
              <w:t>􀁺加强航道内船舶交通秩序的管理</w:t>
            </w:r>
          </w:p>
          <w:p>
            <w:pPr>
              <w:pStyle w:val="3"/>
              <w:numPr>
                <w:ilvl w:val="0"/>
                <w:numId w:val="0"/>
              </w:numPr>
              <w:tabs>
                <w:tab w:val="clear" w:pos="284"/>
                <w:tab w:val="clear" w:pos="425"/>
                <w:tab w:val="clear" w:pos="780"/>
                <w:tab w:val="clear" w:pos="840"/>
                <w:tab w:val="clear" w:pos="1140"/>
                <w:tab w:val="clear" w:pos="1162"/>
                <w:tab w:val="clear" w:pos="1200"/>
                <w:tab w:val="clear" w:pos="1620"/>
                <w:tab w:val="clear" w:pos="1796"/>
                <w:tab w:val="clear" w:pos="2040"/>
                <w:tab w:val="clear" w:pos="6231"/>
              </w:tabs>
              <w:spacing w:before="0" w:beforeLines="0" w:after="0" w:afterLines="0" w:line="240" w:lineRule="auto"/>
              <w:jc w:val="left"/>
              <w:rPr>
                <w:rFonts w:ascii="Times New Roman"/>
                <w:b w:val="0"/>
                <w:color w:val="0070C0"/>
                <w:sz w:val="21"/>
                <w:szCs w:val="21"/>
              </w:rPr>
            </w:pPr>
            <w:r>
              <w:rPr>
                <w:rFonts w:ascii="Times New Roman"/>
                <w:b w:val="0"/>
                <w:color w:val="0070C0"/>
                <w:sz w:val="21"/>
                <w:szCs w:val="21"/>
              </w:rPr>
              <w:fldChar w:fldCharType="begin"/>
            </w:r>
            <w:r>
              <w:rPr>
                <w:rFonts w:ascii="Times New Roman"/>
                <w:b w:val="0"/>
                <w:color w:val="0070C0"/>
                <w:sz w:val="21"/>
                <w:szCs w:val="21"/>
              </w:rPr>
              <w:instrText xml:space="preserve"> </w:instrText>
            </w:r>
            <w:r>
              <w:rPr>
                <w:rFonts w:hint="eastAsia" w:ascii="Times New Roman"/>
                <w:b w:val="0"/>
                <w:color w:val="0070C0"/>
                <w:sz w:val="21"/>
                <w:szCs w:val="21"/>
              </w:rPr>
              <w:instrText xml:space="preserve">eq \o\ac(○,2)</w:instrText>
            </w:r>
            <w:r>
              <w:rPr>
                <w:rFonts w:ascii="Times New Roman"/>
                <w:b w:val="0"/>
                <w:color w:val="0070C0"/>
                <w:sz w:val="21"/>
                <w:szCs w:val="21"/>
              </w:rPr>
              <w:fldChar w:fldCharType="end"/>
            </w:r>
            <w:r>
              <w:rPr>
                <w:rFonts w:ascii="Times New Roman"/>
                <w:b w:val="0"/>
                <w:color w:val="0070C0"/>
                <w:sz w:val="21"/>
                <w:szCs w:val="21"/>
              </w:rPr>
              <w:t>风险</w:t>
            </w:r>
            <w:r>
              <w:rPr>
                <w:rFonts w:hint="eastAsia" w:ascii="Times New Roman"/>
                <w:b w:val="0"/>
                <w:color w:val="0070C0"/>
                <w:sz w:val="21"/>
                <w:szCs w:val="21"/>
              </w:rPr>
              <w:t>管理与</w:t>
            </w:r>
            <w:r>
              <w:rPr>
                <w:rFonts w:ascii="Times New Roman"/>
                <w:b w:val="0"/>
                <w:color w:val="0070C0"/>
                <w:sz w:val="21"/>
                <w:szCs w:val="21"/>
              </w:rPr>
              <w:t>应急预案</w:t>
            </w:r>
          </w:p>
          <w:p>
            <w:pPr>
              <w:tabs>
                <w:tab w:val="left" w:pos="851"/>
              </w:tabs>
              <w:adjustRightInd w:val="0"/>
              <w:snapToGrid w:val="0"/>
              <w:ind w:left="34"/>
              <w:jc w:val="left"/>
              <w:rPr>
                <w:rFonts w:hAnsi="宋体"/>
                <w:color w:val="0070C0"/>
                <w:szCs w:val="21"/>
              </w:rPr>
            </w:pPr>
            <w:r>
              <w:rPr>
                <w:rFonts w:hAnsi="宋体"/>
                <w:color w:val="0070C0"/>
                <w:szCs w:val="21"/>
              </w:rPr>
              <w:t>􀁺</w:t>
            </w:r>
            <w:r>
              <w:rPr>
                <w:rFonts w:hint="eastAsia" w:hAnsi="宋体"/>
                <w:color w:val="0070C0"/>
                <w:szCs w:val="21"/>
              </w:rPr>
              <w:t>长江海事局应急体系</w:t>
            </w:r>
          </w:p>
          <w:p>
            <w:pPr>
              <w:tabs>
                <w:tab w:val="left" w:pos="709"/>
              </w:tabs>
              <w:adjustRightInd w:val="0"/>
              <w:snapToGrid w:val="0"/>
              <w:ind w:left="34"/>
              <w:jc w:val="left"/>
              <w:rPr>
                <w:rFonts w:hAnsi="宋体"/>
                <w:color w:val="0070C0"/>
                <w:szCs w:val="21"/>
              </w:rPr>
            </w:pPr>
            <w:r>
              <w:rPr>
                <w:rFonts w:hAnsi="宋体"/>
                <w:color w:val="0070C0"/>
                <w:szCs w:val="21"/>
              </w:rPr>
              <w:t>􀁺</w:t>
            </w:r>
            <w:r>
              <w:rPr>
                <w:rFonts w:hint="eastAsia" w:hAnsi="宋体"/>
                <w:color w:val="0070C0"/>
                <w:szCs w:val="21"/>
              </w:rPr>
              <w:t>长江航务管理局应急体系</w:t>
            </w:r>
          </w:p>
          <w:p>
            <w:pPr>
              <w:pStyle w:val="78"/>
              <w:spacing w:line="240" w:lineRule="auto"/>
              <w:ind w:firstLine="0" w:firstLineChars="0"/>
              <w:rPr>
                <w:rFonts w:ascii="Times New Roman" w:hAnsi="宋体" w:cs="Times New Roman"/>
                <w:color w:val="0070C0"/>
                <w:sz w:val="21"/>
                <w:szCs w:val="21"/>
              </w:rPr>
            </w:pPr>
            <w:r>
              <w:rPr>
                <w:rFonts w:ascii="Times New Roman" w:hAnsi="宋体" w:cs="Times New Roman"/>
                <w:color w:val="0070C0"/>
                <w:sz w:val="21"/>
                <w:szCs w:val="21"/>
              </w:rPr>
              <w:t>􀁺</w:t>
            </w:r>
            <w:r>
              <w:rPr>
                <w:rFonts w:hint="eastAsia" w:ascii="Times New Roman" w:hAnsi="宋体" w:cs="Times New Roman"/>
                <w:color w:val="0070C0"/>
                <w:sz w:val="21"/>
                <w:szCs w:val="21"/>
              </w:rPr>
              <w:t>长江水上交通安全监管和救助系统</w:t>
            </w:r>
          </w:p>
          <w:p>
            <w:pPr>
              <w:pStyle w:val="78"/>
              <w:spacing w:line="240" w:lineRule="auto"/>
              <w:ind w:firstLine="0" w:firstLineChars="0"/>
              <w:rPr>
                <w:rFonts w:ascii="Times New Roman" w:hAnsi="宋体" w:cs="Times New Roman"/>
                <w:color w:val="0070C0"/>
                <w:sz w:val="21"/>
                <w:szCs w:val="21"/>
              </w:rPr>
            </w:pPr>
            <w:r>
              <w:rPr>
                <w:rFonts w:ascii="Times New Roman" w:hAnsi="宋体" w:cs="Times New Roman"/>
                <w:color w:val="0070C0"/>
                <w:sz w:val="21"/>
                <w:szCs w:val="21"/>
              </w:rPr>
              <w:t>􀁺</w:t>
            </w:r>
            <w:r>
              <w:rPr>
                <w:rFonts w:hint="eastAsia" w:ascii="Times New Roman" w:hAnsi="宋体" w:cs="Times New Roman"/>
                <w:color w:val="0070C0"/>
                <w:sz w:val="21"/>
                <w:szCs w:val="21"/>
              </w:rPr>
              <w:t>宜昌海事局</w:t>
            </w:r>
          </w:p>
          <w:p>
            <w:pPr>
              <w:pStyle w:val="5"/>
              <w:numPr>
                <w:ilvl w:val="0"/>
                <w:numId w:val="0"/>
              </w:numPr>
              <w:tabs>
                <w:tab w:val="clear" w:pos="284"/>
                <w:tab w:val="clear" w:pos="425"/>
                <w:tab w:val="clear" w:pos="780"/>
                <w:tab w:val="clear" w:pos="840"/>
                <w:tab w:val="clear" w:pos="1140"/>
                <w:tab w:val="clear" w:pos="1162"/>
                <w:tab w:val="clear" w:pos="1200"/>
                <w:tab w:val="clear" w:pos="1620"/>
                <w:tab w:val="clear" w:pos="1796"/>
                <w:tab w:val="clear" w:pos="2040"/>
                <w:tab w:val="clear" w:pos="6231"/>
              </w:tabs>
              <w:spacing w:before="0" w:beforeLines="0" w:after="0" w:afterLines="0"/>
              <w:rPr>
                <w:rFonts w:hAnsi="宋体" w:eastAsia="宋体"/>
                <w:color w:val="0070C0"/>
                <w:sz w:val="21"/>
                <w:szCs w:val="21"/>
              </w:rPr>
            </w:pPr>
            <w:r>
              <w:rPr>
                <w:rFonts w:hAnsi="宋体" w:eastAsia="宋体"/>
                <w:color w:val="0070C0"/>
                <w:sz w:val="21"/>
                <w:szCs w:val="21"/>
              </w:rPr>
              <w:t>􀁺</w:t>
            </w:r>
            <w:r>
              <w:rPr>
                <w:rFonts w:hint="eastAsia" w:hAnsi="宋体" w:eastAsia="宋体"/>
                <w:color w:val="0070C0"/>
                <w:sz w:val="21"/>
                <w:szCs w:val="21"/>
              </w:rPr>
              <w:t>湖北省水上应急体系建设情况</w:t>
            </w:r>
          </w:p>
          <w:p>
            <w:pPr>
              <w:pStyle w:val="5"/>
              <w:numPr>
                <w:ilvl w:val="0"/>
                <w:numId w:val="0"/>
              </w:numPr>
              <w:tabs>
                <w:tab w:val="clear" w:pos="284"/>
                <w:tab w:val="clear" w:pos="425"/>
                <w:tab w:val="clear" w:pos="780"/>
                <w:tab w:val="clear" w:pos="840"/>
                <w:tab w:val="clear" w:pos="1140"/>
                <w:tab w:val="clear" w:pos="1162"/>
                <w:tab w:val="clear" w:pos="1200"/>
                <w:tab w:val="clear" w:pos="1620"/>
                <w:tab w:val="clear" w:pos="1796"/>
                <w:tab w:val="clear" w:pos="2040"/>
                <w:tab w:val="clear" w:pos="6231"/>
              </w:tabs>
              <w:spacing w:before="0" w:beforeLines="0" w:after="0" w:afterLines="0"/>
              <w:ind w:left="34"/>
              <w:rPr>
                <w:rFonts w:hAnsi="宋体"/>
                <w:color w:val="0070C0"/>
                <w:szCs w:val="21"/>
              </w:rPr>
            </w:pPr>
            <w:r>
              <w:rPr>
                <w:rFonts w:eastAsia="宋体"/>
                <w:color w:val="0070C0"/>
                <w:sz w:val="21"/>
                <w:szCs w:val="21"/>
              </w:rPr>
              <w:t>􀁺</w:t>
            </w:r>
            <w:r>
              <w:rPr>
                <w:rFonts w:hint="eastAsia" w:hAnsi="宋体" w:eastAsia="宋体"/>
                <w:color w:val="0070C0"/>
                <w:sz w:val="21"/>
                <w:szCs w:val="21"/>
              </w:rPr>
              <w:t>白洋港区突发环境事件应急响应预案</w:t>
            </w:r>
          </w:p>
        </w:tc>
        <w:tc>
          <w:tcPr>
            <w:tcW w:w="1559" w:type="dxa"/>
            <w:vAlign w:val="center"/>
          </w:tcPr>
          <w:p>
            <w:pPr>
              <w:pStyle w:val="175"/>
              <w:jc w:val="center"/>
              <w:rPr>
                <w:rFonts w:hAnsi="宋体"/>
                <w:color w:val="0070C0"/>
                <w:sz w:val="21"/>
                <w:szCs w:val="21"/>
              </w:rPr>
            </w:pPr>
            <w:r>
              <w:rPr>
                <w:rFonts w:hint="eastAsia" w:hAnsi="宋体"/>
                <w:color w:val="0070C0"/>
                <w:sz w:val="21"/>
                <w:szCs w:val="21"/>
              </w:rPr>
              <w:t>物流园港区；</w:t>
            </w:r>
          </w:p>
          <w:p>
            <w:pPr>
              <w:pStyle w:val="175"/>
              <w:jc w:val="center"/>
              <w:rPr>
                <w:rFonts w:hAnsi="宋体"/>
                <w:color w:val="0070C0"/>
                <w:sz w:val="21"/>
                <w:szCs w:val="21"/>
              </w:rPr>
            </w:pPr>
            <w:r>
              <w:rPr>
                <w:rFonts w:hint="eastAsia" w:hAnsi="宋体"/>
                <w:color w:val="0070C0"/>
                <w:sz w:val="21"/>
                <w:szCs w:val="21"/>
              </w:rPr>
              <w:t>长江航道局；</w:t>
            </w:r>
          </w:p>
          <w:p>
            <w:pPr>
              <w:pStyle w:val="175"/>
              <w:jc w:val="center"/>
              <w:rPr>
                <w:rFonts w:hAnsi="宋体"/>
                <w:color w:val="0070C0"/>
                <w:sz w:val="21"/>
                <w:szCs w:val="21"/>
              </w:rPr>
            </w:pPr>
            <w:r>
              <w:rPr>
                <w:rFonts w:hint="eastAsia" w:hAnsi="宋体"/>
                <w:color w:val="0070C0"/>
                <w:sz w:val="21"/>
                <w:szCs w:val="21"/>
              </w:rPr>
              <w:t>宜昌海事局；</w:t>
            </w:r>
          </w:p>
        </w:tc>
        <w:tc>
          <w:tcPr>
            <w:tcW w:w="1559" w:type="dxa"/>
            <w:vAlign w:val="center"/>
          </w:tcPr>
          <w:p>
            <w:pPr>
              <w:pStyle w:val="46"/>
              <w:jc w:val="center"/>
              <w:rPr>
                <w:rFonts w:hAnsi="宋体" w:cs="宋体"/>
                <w:color w:val="0070C0"/>
                <w:spacing w:val="5"/>
                <w:kern w:val="0"/>
                <w:szCs w:val="21"/>
              </w:rPr>
            </w:pPr>
          </w:p>
        </w:tc>
        <w:tc>
          <w:tcPr>
            <w:tcW w:w="1690" w:type="dxa"/>
            <w:vAlign w:val="center"/>
          </w:tcPr>
          <w:p>
            <w:pPr>
              <w:pStyle w:val="46"/>
              <w:rPr>
                <w:rFonts w:hAnsi="宋体" w:cs="宋体"/>
                <w:color w:val="0070C0"/>
                <w:spacing w:val="5"/>
                <w:kern w:val="0"/>
                <w:szCs w:val="21"/>
              </w:rPr>
            </w:pPr>
            <w:r>
              <w:rPr>
                <w:rFonts w:hint="eastAsia" w:hAnsi="宋体" w:cs="宋体"/>
                <w:color w:val="0070C0"/>
                <w:spacing w:val="5"/>
                <w:kern w:val="0"/>
                <w:szCs w:val="21"/>
              </w:rPr>
              <w:t>湖北省环境保护厅</w:t>
            </w:r>
          </w:p>
          <w:p>
            <w:pPr>
              <w:pStyle w:val="46"/>
              <w:rPr>
                <w:rFonts w:hAnsi="宋体" w:cs="宋体"/>
                <w:color w:val="0070C0"/>
                <w:spacing w:val="5"/>
                <w:kern w:val="0"/>
                <w:szCs w:val="21"/>
              </w:rPr>
            </w:pPr>
            <w:r>
              <w:rPr>
                <w:rFonts w:hint="eastAsia" w:hAnsi="宋体" w:cs="宋体"/>
                <w:color w:val="0070C0"/>
                <w:spacing w:val="5"/>
                <w:kern w:val="0"/>
                <w:szCs w:val="21"/>
              </w:rPr>
              <w:t>宜昌市环保局</w:t>
            </w:r>
          </w:p>
          <w:p>
            <w:pPr>
              <w:pStyle w:val="46"/>
              <w:rPr>
                <w:rFonts w:hAnsi="宋体" w:cs="宋体"/>
                <w:color w:val="0070C0"/>
                <w:spacing w:val="5"/>
                <w:kern w:val="0"/>
                <w:szCs w:val="21"/>
              </w:rPr>
            </w:pPr>
            <w:r>
              <w:rPr>
                <w:rFonts w:hint="eastAsia" w:hAnsi="宋体" w:cs="宋体"/>
                <w:color w:val="0070C0"/>
                <w:spacing w:val="5"/>
                <w:kern w:val="0"/>
                <w:szCs w:val="21"/>
              </w:rPr>
              <w:t>海事机构的上级部门；</w:t>
            </w:r>
          </w:p>
          <w:p>
            <w:pPr>
              <w:pStyle w:val="46"/>
              <w:rPr>
                <w:rFonts w:hAnsi="宋体" w:cs="宋体"/>
                <w:color w:val="0070C0"/>
                <w:spacing w:val="5"/>
                <w:kern w:val="0"/>
                <w:szCs w:val="21"/>
              </w:rPr>
            </w:pPr>
            <w:r>
              <w:rPr>
                <w:rFonts w:hint="eastAsia" w:hAnsi="宋体" w:cs="宋体"/>
                <w:color w:val="0070C0"/>
                <w:spacing w:val="5"/>
                <w:kern w:val="0"/>
                <w:szCs w:val="21"/>
              </w:rPr>
              <w:t>长江海事局</w:t>
            </w:r>
          </w:p>
        </w:tc>
      </w:tr>
    </w:tbl>
    <w:p>
      <w:pPr>
        <w:pStyle w:val="4"/>
      </w:pPr>
    </w:p>
    <w:p>
      <w:pPr>
        <w:pStyle w:val="4"/>
        <w:sectPr>
          <w:pgSz w:w="16840" w:h="11907" w:orient="landscape"/>
          <w:pgMar w:top="1503" w:right="1440" w:bottom="1599" w:left="1661" w:header="1134" w:footer="992" w:gutter="0"/>
          <w:cols w:space="720" w:num="1"/>
          <w:docGrid w:linePitch="326" w:charSpace="0"/>
        </w:sectPr>
      </w:pPr>
    </w:p>
    <w:p>
      <w:pPr>
        <w:pStyle w:val="3"/>
        <w:tabs>
          <w:tab w:val="clear" w:pos="3695"/>
        </w:tabs>
        <w:spacing w:before="120" w:after="120"/>
        <w:ind w:left="567"/>
      </w:pPr>
      <w:bookmarkStart w:id="274" w:name="_Toc442195777"/>
      <w:r>
        <w:rPr>
          <w:rFonts w:hint="eastAsia"/>
        </w:rPr>
        <w:t>环境监测计划</w:t>
      </w:r>
      <w:bookmarkEnd w:id="272"/>
      <w:bookmarkEnd w:id="273"/>
      <w:bookmarkEnd w:id="274"/>
    </w:p>
    <w:p>
      <w:pPr>
        <w:pStyle w:val="5"/>
        <w:tabs>
          <w:tab w:val="left" w:pos="720"/>
        </w:tabs>
        <w:spacing w:before="48" w:beforeLines="20" w:after="48" w:line="360" w:lineRule="auto"/>
        <w:ind w:left="0" w:firstLine="0"/>
        <w:rPr>
          <w:rFonts w:ascii="宋体" w:hAnsi="宋体" w:eastAsia="宋体"/>
          <w:b/>
          <w:sz w:val="28"/>
          <w:szCs w:val="28"/>
        </w:rPr>
      </w:pPr>
      <w:bookmarkStart w:id="275" w:name="_Toc442195778"/>
      <w:bookmarkStart w:id="276" w:name="_Toc303787124"/>
      <w:r>
        <w:rPr>
          <w:rFonts w:hint="eastAsia" w:ascii="宋体" w:hAnsi="宋体" w:eastAsia="宋体"/>
          <w:b/>
          <w:sz w:val="28"/>
          <w:szCs w:val="28"/>
        </w:rPr>
        <w:t>监测目的</w:t>
      </w:r>
      <w:bookmarkEnd w:id="275"/>
      <w:bookmarkEnd w:id="276"/>
    </w:p>
    <w:p>
      <w:pPr>
        <w:pStyle w:val="4"/>
        <w:spacing w:line="360" w:lineRule="auto"/>
        <w:ind w:firstLine="480"/>
        <w:rPr>
          <w:sz w:val="24"/>
        </w:rPr>
      </w:pPr>
      <w:r>
        <w:rPr>
          <w:rFonts w:hint="eastAsia"/>
          <w:sz w:val="24"/>
        </w:rPr>
        <w:t>本项目的环境监测主要包括施工和运营对周围环境的影响，其目的是确保环境与社会影响报告书中所提各项环保措施和建议的实施，将工程建设引起的环境影响控制在国家法律、法规、标准规定的范围内。</w:t>
      </w:r>
    </w:p>
    <w:p>
      <w:pPr>
        <w:pStyle w:val="5"/>
        <w:tabs>
          <w:tab w:val="left" w:pos="720"/>
        </w:tabs>
        <w:spacing w:before="48" w:beforeLines="20" w:after="48" w:line="360" w:lineRule="auto"/>
        <w:ind w:left="0" w:firstLine="0"/>
        <w:rPr>
          <w:rFonts w:ascii="宋体" w:hAnsi="宋体" w:eastAsia="宋体"/>
          <w:b/>
          <w:sz w:val="28"/>
          <w:szCs w:val="28"/>
        </w:rPr>
      </w:pPr>
      <w:bookmarkStart w:id="277" w:name="_Toc442195779"/>
      <w:r>
        <w:rPr>
          <w:rFonts w:hint="eastAsia" w:ascii="宋体" w:hAnsi="宋体" w:eastAsia="宋体"/>
          <w:b/>
          <w:sz w:val="28"/>
          <w:szCs w:val="28"/>
        </w:rPr>
        <w:t>监测机构</w:t>
      </w:r>
      <w:bookmarkEnd w:id="277"/>
    </w:p>
    <w:p>
      <w:pPr>
        <w:pStyle w:val="4"/>
        <w:spacing w:line="360" w:lineRule="auto"/>
        <w:ind w:firstLine="480"/>
        <w:rPr>
          <w:sz w:val="24"/>
        </w:rPr>
      </w:pPr>
      <w:r>
        <w:rPr>
          <w:rFonts w:hint="eastAsia"/>
          <w:sz w:val="24"/>
        </w:rPr>
        <w:t>作业区、物流园区施工期和营运期的环境监测应由符合国家环境质量监测认证资质的单位承担，应定期监测，编制监测报告，提供给管理部门，以备各级环保部门监督检查。若在监测中发现问题应及时报告，以便及时采取有效措施。</w:t>
      </w:r>
    </w:p>
    <w:p>
      <w:pPr>
        <w:pStyle w:val="5"/>
        <w:tabs>
          <w:tab w:val="left" w:pos="720"/>
        </w:tabs>
        <w:spacing w:before="48" w:beforeLines="20" w:after="48" w:line="360" w:lineRule="auto"/>
        <w:ind w:left="0" w:firstLine="0"/>
        <w:rPr>
          <w:rFonts w:ascii="宋体" w:hAnsi="宋体" w:eastAsia="宋体"/>
          <w:b/>
          <w:sz w:val="28"/>
          <w:szCs w:val="28"/>
        </w:rPr>
      </w:pPr>
      <w:bookmarkStart w:id="278" w:name="_Toc442195780"/>
      <w:r>
        <w:rPr>
          <w:rFonts w:hint="eastAsia" w:ascii="宋体" w:hAnsi="宋体" w:eastAsia="宋体"/>
          <w:b/>
          <w:sz w:val="28"/>
          <w:szCs w:val="28"/>
        </w:rPr>
        <w:t>环境监测计划</w:t>
      </w:r>
      <w:bookmarkEnd w:id="278"/>
    </w:p>
    <w:p>
      <w:pPr>
        <w:pStyle w:val="4"/>
        <w:spacing w:line="360" w:lineRule="auto"/>
        <w:ind w:firstLine="480"/>
        <w:rPr>
          <w:sz w:val="24"/>
        </w:rPr>
      </w:pPr>
      <w:r>
        <w:rPr>
          <w:rFonts w:hint="eastAsia"/>
          <w:sz w:val="24"/>
        </w:rPr>
        <w:t>根据环境影响预测结果，将污染可能较明显的敏感关注点作为监测点，跟踪监测项目建设期和营运期的污染情况，监测内容选择对环境影响较大的噪声、空气环境和地表水环境。监测因子根据工程污染特征因子确定。</w:t>
      </w:r>
    </w:p>
    <w:p>
      <w:pPr>
        <w:pStyle w:val="4"/>
        <w:spacing w:line="360" w:lineRule="auto"/>
        <w:ind w:firstLine="480"/>
        <w:rPr>
          <w:sz w:val="24"/>
        </w:rPr>
      </w:pPr>
      <w:r>
        <w:rPr>
          <w:rFonts w:hint="eastAsia"/>
          <w:sz w:val="24"/>
        </w:rPr>
        <w:t>监测分析方法采用国家环保局颁布的《环境监测技术规范》中相应项目的监测分析方法。评价标准执行环评确认的国家标准。根据世行贷款湖北宜昌市三峡现代物流中心基础设施项目的工程特征，将按照建设期和运行期制定分期的环境监测方案见表8.2-1。</w:t>
      </w:r>
    </w:p>
    <w:p>
      <w:pPr>
        <w:jc w:val="center"/>
        <w:rPr>
          <w:b/>
          <w:snapToGrid w:val="0"/>
          <w:kern w:val="0"/>
          <w:szCs w:val="21"/>
        </w:rPr>
      </w:pPr>
      <w:r>
        <w:rPr>
          <w:b/>
          <w:snapToGrid w:val="0"/>
          <w:kern w:val="0"/>
          <w:szCs w:val="21"/>
        </w:rPr>
        <w:t>表</w:t>
      </w:r>
      <w:r>
        <w:rPr>
          <w:rFonts w:hint="eastAsia"/>
          <w:b/>
          <w:snapToGrid w:val="0"/>
          <w:kern w:val="0"/>
          <w:szCs w:val="21"/>
        </w:rPr>
        <w:t>8</w:t>
      </w:r>
      <w:r>
        <w:rPr>
          <w:b/>
          <w:snapToGrid w:val="0"/>
          <w:kern w:val="0"/>
          <w:szCs w:val="21"/>
        </w:rPr>
        <w:t>.</w:t>
      </w:r>
      <w:r>
        <w:rPr>
          <w:rFonts w:hint="eastAsia"/>
          <w:b/>
          <w:snapToGrid w:val="0"/>
          <w:kern w:val="0"/>
          <w:szCs w:val="21"/>
        </w:rPr>
        <w:t>3</w:t>
      </w:r>
      <w:r>
        <w:rPr>
          <w:b/>
          <w:snapToGrid w:val="0"/>
          <w:kern w:val="0"/>
          <w:szCs w:val="21"/>
        </w:rPr>
        <w:t>-1  环境监测计划</w:t>
      </w:r>
    </w:p>
    <w:tbl>
      <w:tblPr>
        <w:tblStyle w:val="104"/>
        <w:tblW w:w="894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4"/>
        <w:gridCol w:w="735"/>
        <w:gridCol w:w="2014"/>
        <w:gridCol w:w="1234"/>
        <w:gridCol w:w="1093"/>
        <w:gridCol w:w="760"/>
        <w:gridCol w:w="1268"/>
        <w:gridCol w:w="10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76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阶 段</w:t>
            </w: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监测地点</w:t>
            </w:r>
          </w:p>
        </w:tc>
        <w:tc>
          <w:tcPr>
            <w:tcW w:w="123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监测项目</w:t>
            </w:r>
          </w:p>
        </w:tc>
        <w:tc>
          <w:tcPr>
            <w:tcW w:w="1853" w:type="dxa"/>
            <w:gridSpan w:val="2"/>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监测频次</w:t>
            </w: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监测历时</w:t>
            </w:r>
          </w:p>
        </w:tc>
        <w:tc>
          <w:tcPr>
            <w:tcW w:w="1073"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实施机构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64" w:type="dxa"/>
            <w:vMerge w:val="restart"/>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施工期</w:t>
            </w: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环境空气</w:t>
            </w: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混凝土搅拌站、灰土搅拌站、</w:t>
            </w:r>
            <w:r>
              <w:rPr>
                <w:rFonts w:ascii="Times New Roman" w:hAnsi="Times New Roman"/>
                <w:kern w:val="0"/>
                <w:szCs w:val="21"/>
              </w:rPr>
              <w:t>桂溪湖村、</w:t>
            </w:r>
            <w:r>
              <w:rPr>
                <w:rFonts w:ascii="Times New Roman" w:hAnsi="Times New Roman"/>
                <w:szCs w:val="21"/>
              </w:rPr>
              <w:t>垭子山村</w:t>
            </w:r>
            <w:r>
              <w:rPr>
                <w:rFonts w:ascii="Times New Roman" w:hAnsi="Times New Roman"/>
                <w:kern w:val="0"/>
                <w:szCs w:val="21"/>
              </w:rPr>
              <w:t>、</w:t>
            </w:r>
            <w:r>
              <w:rPr>
                <w:rFonts w:ascii="Times New Roman" w:hAnsi="Times New Roman"/>
                <w:color w:val="000000"/>
                <w:kern w:val="0"/>
                <w:szCs w:val="21"/>
              </w:rPr>
              <w:t>白洋镇</w:t>
            </w:r>
            <w:r>
              <w:rPr>
                <w:rFonts w:ascii="Times New Roman" w:hAnsi="Times New Roman"/>
                <w:kern w:val="0"/>
                <w:szCs w:val="21"/>
              </w:rPr>
              <w:t>、</w:t>
            </w:r>
            <w:r>
              <w:rPr>
                <w:rFonts w:ascii="Times New Roman" w:hAnsi="Times New Roman"/>
                <w:color w:val="000000"/>
                <w:kern w:val="0"/>
                <w:szCs w:val="21"/>
              </w:rPr>
              <w:t>万福垴村</w:t>
            </w:r>
            <w:r>
              <w:rPr>
                <w:rFonts w:ascii="Times New Roman" w:hAnsi="Times New Roman"/>
                <w:snapToGrid w:val="0"/>
                <w:kern w:val="0"/>
                <w:szCs w:val="21"/>
              </w:rPr>
              <w:t>等居民点</w:t>
            </w:r>
          </w:p>
        </w:tc>
        <w:tc>
          <w:tcPr>
            <w:tcW w:w="123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TSP、PM</w:t>
            </w:r>
            <w:r>
              <w:rPr>
                <w:rFonts w:ascii="Times New Roman" w:hAnsi="Times New Roman"/>
                <w:snapToGrid w:val="0"/>
                <w:kern w:val="0"/>
                <w:szCs w:val="21"/>
                <w:vertAlign w:val="subscript"/>
              </w:rPr>
              <w:t>10</w:t>
            </w:r>
          </w:p>
        </w:tc>
        <w:tc>
          <w:tcPr>
            <w:tcW w:w="1853" w:type="dxa"/>
            <w:gridSpan w:val="2"/>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每季度一次</w:t>
            </w:r>
          </w:p>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（施工高峰酌情加密）</w:t>
            </w: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每季度3-4次</w:t>
            </w:r>
          </w:p>
        </w:tc>
        <w:tc>
          <w:tcPr>
            <w:tcW w:w="1073" w:type="dxa"/>
            <w:vMerge w:val="restart"/>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业主委托的监测单位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64" w:type="dxa"/>
            <w:vMerge w:val="continue"/>
            <w:vAlign w:val="center"/>
          </w:tcPr>
          <w:p>
            <w:pPr>
              <w:pStyle w:val="46"/>
              <w:adjustRightInd w:val="0"/>
              <w:snapToGrid w:val="0"/>
              <w:spacing w:line="240" w:lineRule="exact"/>
              <w:jc w:val="center"/>
              <w:rPr>
                <w:rFonts w:ascii="Times New Roman" w:hAnsi="Times New Roman"/>
                <w:snapToGrid w:val="0"/>
                <w:kern w:val="0"/>
                <w:szCs w:val="21"/>
              </w:rPr>
            </w:pP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噪声</w:t>
            </w: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color w:val="000000"/>
                <w:kern w:val="0"/>
                <w:szCs w:val="21"/>
              </w:rPr>
              <w:t>桂溪湖</w:t>
            </w:r>
            <w:r>
              <w:rPr>
                <w:rFonts w:ascii="Times New Roman" w:hAnsi="Times New Roman"/>
                <w:kern w:val="0"/>
                <w:szCs w:val="21"/>
              </w:rPr>
              <w:t>村、</w:t>
            </w:r>
            <w:r>
              <w:rPr>
                <w:rFonts w:ascii="Times New Roman" w:hAnsi="Times New Roman"/>
                <w:color w:val="000000"/>
                <w:kern w:val="0"/>
                <w:szCs w:val="21"/>
              </w:rPr>
              <w:t>垭子山村</w:t>
            </w:r>
          </w:p>
        </w:tc>
        <w:tc>
          <w:tcPr>
            <w:tcW w:w="1234"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LAeq</w:t>
            </w:r>
          </w:p>
        </w:tc>
        <w:tc>
          <w:tcPr>
            <w:tcW w:w="1093"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每季度一次</w:t>
            </w:r>
          </w:p>
        </w:tc>
        <w:tc>
          <w:tcPr>
            <w:tcW w:w="760"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2天</w:t>
            </w: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昼夜各1次</w:t>
            </w:r>
          </w:p>
        </w:tc>
        <w:tc>
          <w:tcPr>
            <w:tcW w:w="1073" w:type="dxa"/>
            <w:vMerge w:val="continue"/>
            <w:tcMar>
              <w:top w:w="28" w:type="dxa"/>
              <w:left w:w="57" w:type="dxa"/>
              <w:bottom w:w="28" w:type="dxa"/>
              <w:right w:w="28" w:type="dxa"/>
            </w:tcMar>
          </w:tcPr>
          <w:p>
            <w:pPr>
              <w:pStyle w:val="46"/>
              <w:adjustRightInd w:val="0"/>
              <w:snapToGrid w:val="0"/>
              <w:spacing w:line="240" w:lineRule="exact"/>
              <w:jc w:val="center"/>
              <w:rPr>
                <w:rFonts w:ascii="Times New Roman" w:hAnsi="Times New Roman"/>
                <w:snapToGrid w:val="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64" w:type="dxa"/>
            <w:vMerge w:val="restart"/>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营运期</w:t>
            </w: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环境空气</w:t>
            </w: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kern w:val="0"/>
                <w:szCs w:val="21"/>
              </w:rPr>
              <w:t>桂溪湖村、</w:t>
            </w:r>
            <w:r>
              <w:rPr>
                <w:rFonts w:ascii="Times New Roman" w:hAnsi="Times New Roman"/>
                <w:szCs w:val="21"/>
              </w:rPr>
              <w:t>垭子山村</w:t>
            </w:r>
          </w:p>
        </w:tc>
        <w:tc>
          <w:tcPr>
            <w:tcW w:w="1234"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vertAlign w:val="subscript"/>
              </w:rPr>
            </w:pPr>
            <w:r>
              <w:rPr>
                <w:rFonts w:ascii="Times New Roman" w:hAnsi="Times New Roman"/>
                <w:snapToGrid w:val="0"/>
                <w:kern w:val="0"/>
                <w:szCs w:val="21"/>
              </w:rPr>
              <w:t>TSP、NO</w:t>
            </w:r>
            <w:r>
              <w:rPr>
                <w:rFonts w:ascii="Times New Roman" w:hAnsi="Times New Roman"/>
                <w:snapToGrid w:val="0"/>
                <w:kern w:val="0"/>
                <w:szCs w:val="21"/>
                <w:vertAlign w:val="subscript"/>
              </w:rPr>
              <w:t>x</w:t>
            </w:r>
          </w:p>
        </w:tc>
        <w:tc>
          <w:tcPr>
            <w:tcW w:w="1093"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1次/年</w:t>
            </w:r>
          </w:p>
        </w:tc>
        <w:tc>
          <w:tcPr>
            <w:tcW w:w="760"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1天</w:t>
            </w: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18（12）小时连续监测</w:t>
            </w:r>
          </w:p>
        </w:tc>
        <w:tc>
          <w:tcPr>
            <w:tcW w:w="1073" w:type="dxa"/>
            <w:vMerge w:val="continue"/>
            <w:tcMar>
              <w:top w:w="28" w:type="dxa"/>
              <w:left w:w="57" w:type="dxa"/>
              <w:bottom w:w="28" w:type="dxa"/>
              <w:right w:w="28" w:type="dxa"/>
            </w:tcMar>
          </w:tcPr>
          <w:p>
            <w:pPr>
              <w:pStyle w:val="46"/>
              <w:adjustRightInd w:val="0"/>
              <w:snapToGrid w:val="0"/>
              <w:spacing w:line="240" w:lineRule="exact"/>
              <w:jc w:val="center"/>
              <w:rPr>
                <w:rFonts w:ascii="Times New Roman" w:hAnsi="Times New Roman"/>
                <w:snapToGrid w:val="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64" w:type="dxa"/>
            <w:vMerge w:val="continue"/>
            <w:vAlign w:val="center"/>
          </w:tcPr>
          <w:p>
            <w:pPr>
              <w:pStyle w:val="46"/>
              <w:adjustRightInd w:val="0"/>
              <w:snapToGrid w:val="0"/>
              <w:spacing w:line="240" w:lineRule="exact"/>
              <w:jc w:val="center"/>
              <w:rPr>
                <w:rFonts w:ascii="Times New Roman" w:hAnsi="Times New Roman"/>
                <w:snapToGrid w:val="0"/>
                <w:kern w:val="0"/>
                <w:szCs w:val="21"/>
              </w:rPr>
            </w:pP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噪声</w:t>
            </w: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kern w:val="0"/>
                <w:szCs w:val="21"/>
              </w:rPr>
              <w:t>桂溪湖村、</w:t>
            </w:r>
            <w:r>
              <w:rPr>
                <w:rFonts w:ascii="Times New Roman" w:hAnsi="Times New Roman"/>
                <w:szCs w:val="21"/>
              </w:rPr>
              <w:t>垭子山村</w:t>
            </w:r>
          </w:p>
        </w:tc>
        <w:tc>
          <w:tcPr>
            <w:tcW w:w="1234"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LAeq</w:t>
            </w:r>
          </w:p>
        </w:tc>
        <w:tc>
          <w:tcPr>
            <w:tcW w:w="1093"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1次/年</w:t>
            </w:r>
          </w:p>
        </w:tc>
        <w:tc>
          <w:tcPr>
            <w:tcW w:w="760"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2天</w:t>
            </w: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昼夜各1次</w:t>
            </w:r>
          </w:p>
        </w:tc>
        <w:tc>
          <w:tcPr>
            <w:tcW w:w="1073" w:type="dxa"/>
            <w:vMerge w:val="continue"/>
            <w:tcMar>
              <w:top w:w="28" w:type="dxa"/>
              <w:left w:w="57" w:type="dxa"/>
              <w:bottom w:w="28" w:type="dxa"/>
              <w:right w:w="28" w:type="dxa"/>
            </w:tcMar>
          </w:tcPr>
          <w:p>
            <w:pPr>
              <w:pStyle w:val="46"/>
              <w:adjustRightInd w:val="0"/>
              <w:snapToGrid w:val="0"/>
              <w:spacing w:line="240" w:lineRule="exact"/>
              <w:jc w:val="center"/>
              <w:rPr>
                <w:rFonts w:ascii="Times New Roman" w:hAnsi="Times New Roman"/>
                <w:snapToGrid w:val="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64" w:type="dxa"/>
            <w:vMerge w:val="continue"/>
            <w:vAlign w:val="center"/>
          </w:tcPr>
          <w:p>
            <w:pPr>
              <w:pStyle w:val="46"/>
              <w:adjustRightInd w:val="0"/>
              <w:snapToGrid w:val="0"/>
              <w:spacing w:line="240" w:lineRule="exact"/>
              <w:jc w:val="center"/>
              <w:rPr>
                <w:rFonts w:ascii="Times New Roman" w:hAnsi="Times New Roman"/>
                <w:snapToGrid w:val="0"/>
                <w:kern w:val="0"/>
                <w:szCs w:val="21"/>
              </w:rPr>
            </w:pPr>
          </w:p>
        </w:tc>
        <w:tc>
          <w:tcPr>
            <w:tcW w:w="735"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废水</w:t>
            </w:r>
          </w:p>
        </w:tc>
        <w:tc>
          <w:tcPr>
            <w:tcW w:w="2014" w:type="dxa"/>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污水总排放口</w:t>
            </w:r>
          </w:p>
        </w:tc>
        <w:tc>
          <w:tcPr>
            <w:tcW w:w="1234"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kern w:val="0"/>
                <w:szCs w:val="21"/>
              </w:rPr>
              <w:t>pH 、NH</w:t>
            </w:r>
            <w:r>
              <w:rPr>
                <w:rFonts w:ascii="Times New Roman" w:hAnsi="Times New Roman"/>
                <w:kern w:val="0"/>
                <w:szCs w:val="21"/>
                <w:vertAlign w:val="subscript"/>
              </w:rPr>
              <w:t>3</w:t>
            </w:r>
            <w:r>
              <w:rPr>
                <w:rFonts w:ascii="Times New Roman" w:hAnsi="Times New Roman"/>
                <w:kern w:val="0"/>
                <w:szCs w:val="21"/>
              </w:rPr>
              <w:t xml:space="preserve"> -N、COD 、BOD</w:t>
            </w:r>
            <w:r>
              <w:rPr>
                <w:rFonts w:ascii="Times New Roman" w:hAnsi="Times New Roman"/>
                <w:kern w:val="0"/>
                <w:szCs w:val="21"/>
                <w:vertAlign w:val="subscript"/>
              </w:rPr>
              <w:t>5</w:t>
            </w:r>
            <w:r>
              <w:rPr>
                <w:rFonts w:ascii="Times New Roman" w:hAnsi="Times New Roman"/>
                <w:kern w:val="0"/>
                <w:szCs w:val="21"/>
              </w:rPr>
              <w:t xml:space="preserve"> 、石油类等</w:t>
            </w:r>
          </w:p>
        </w:tc>
        <w:tc>
          <w:tcPr>
            <w:tcW w:w="1093"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r>
              <w:rPr>
                <w:rFonts w:ascii="Times New Roman" w:hAnsi="Times New Roman"/>
                <w:snapToGrid w:val="0"/>
                <w:kern w:val="0"/>
                <w:szCs w:val="21"/>
              </w:rPr>
              <w:t>1次/年</w:t>
            </w:r>
          </w:p>
        </w:tc>
        <w:tc>
          <w:tcPr>
            <w:tcW w:w="760"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p>
        </w:tc>
        <w:tc>
          <w:tcPr>
            <w:tcW w:w="1268" w:type="dxa"/>
            <w:tcMar>
              <w:top w:w="28" w:type="dxa"/>
              <w:left w:w="57" w:type="dxa"/>
              <w:bottom w:w="28" w:type="dxa"/>
              <w:right w:w="28" w:type="dxa"/>
            </w:tcMar>
            <w:vAlign w:val="center"/>
          </w:tcPr>
          <w:p>
            <w:pPr>
              <w:pStyle w:val="46"/>
              <w:adjustRightInd w:val="0"/>
              <w:snapToGrid w:val="0"/>
              <w:spacing w:line="240" w:lineRule="exact"/>
              <w:jc w:val="center"/>
              <w:rPr>
                <w:rFonts w:ascii="Times New Roman" w:hAnsi="Times New Roman"/>
                <w:snapToGrid w:val="0"/>
                <w:kern w:val="0"/>
                <w:szCs w:val="21"/>
              </w:rPr>
            </w:pPr>
          </w:p>
        </w:tc>
        <w:tc>
          <w:tcPr>
            <w:tcW w:w="1073" w:type="dxa"/>
            <w:vMerge w:val="continue"/>
            <w:tcMar>
              <w:top w:w="28" w:type="dxa"/>
              <w:left w:w="57" w:type="dxa"/>
              <w:bottom w:w="28" w:type="dxa"/>
              <w:right w:w="28" w:type="dxa"/>
            </w:tcMar>
          </w:tcPr>
          <w:p>
            <w:pPr>
              <w:pStyle w:val="46"/>
              <w:adjustRightInd w:val="0"/>
              <w:snapToGrid w:val="0"/>
              <w:spacing w:line="240" w:lineRule="exact"/>
              <w:jc w:val="center"/>
              <w:rPr>
                <w:rFonts w:ascii="Times New Roman" w:hAnsi="Times New Roman"/>
                <w:snapToGrid w:val="0"/>
                <w:kern w:val="0"/>
                <w:szCs w:val="21"/>
              </w:rPr>
            </w:pPr>
          </w:p>
        </w:tc>
      </w:tr>
    </w:tbl>
    <w:p>
      <w:pPr>
        <w:pStyle w:val="5"/>
        <w:tabs>
          <w:tab w:val="left" w:pos="720"/>
        </w:tabs>
        <w:spacing w:before="48" w:beforeLines="20" w:after="48" w:line="360" w:lineRule="auto"/>
        <w:ind w:left="0" w:firstLine="0"/>
        <w:rPr>
          <w:rFonts w:ascii="宋体" w:hAnsi="宋体" w:eastAsia="宋体"/>
          <w:b/>
          <w:sz w:val="28"/>
          <w:szCs w:val="28"/>
        </w:rPr>
      </w:pPr>
      <w:bookmarkStart w:id="279" w:name="_Toc442195781"/>
      <w:r>
        <w:rPr>
          <w:rFonts w:hint="eastAsia" w:ascii="宋体" w:hAnsi="宋体" w:eastAsia="宋体"/>
          <w:b/>
          <w:sz w:val="28"/>
          <w:szCs w:val="28"/>
        </w:rPr>
        <w:t>监测设备及费用</w:t>
      </w:r>
      <w:bookmarkEnd w:id="279"/>
    </w:p>
    <w:p>
      <w:pPr>
        <w:pStyle w:val="4"/>
        <w:spacing w:line="360" w:lineRule="auto"/>
        <w:ind w:firstLine="480"/>
        <w:rPr>
          <w:sz w:val="24"/>
        </w:rPr>
      </w:pPr>
      <w:r>
        <w:rPr>
          <w:rFonts w:hint="eastAsia"/>
          <w:sz w:val="24"/>
        </w:rPr>
        <w:t>本项目不添置新的监测仪器设备，由监测单位自备。</w:t>
      </w:r>
    </w:p>
    <w:p>
      <w:pPr>
        <w:pStyle w:val="4"/>
        <w:spacing w:line="360" w:lineRule="auto"/>
        <w:ind w:firstLine="480"/>
        <w:rPr>
          <w:sz w:val="24"/>
        </w:rPr>
      </w:pPr>
      <w:r>
        <w:rPr>
          <w:rFonts w:hint="eastAsia"/>
          <w:sz w:val="24"/>
        </w:rPr>
        <w:t>施工期监测费为5万元/年×3年=15万元，营运期前3年的监测费用纳入世行贷款费用中，后期的监测费用纳入运营公司费用，监测费6万元/年×3年=18万元。</w:t>
      </w:r>
    </w:p>
    <w:p>
      <w:pPr>
        <w:pStyle w:val="4"/>
        <w:spacing w:line="360" w:lineRule="auto"/>
        <w:ind w:firstLine="480"/>
        <w:rPr>
          <w:sz w:val="24"/>
        </w:rPr>
      </w:pPr>
      <w:r>
        <w:rPr>
          <w:rFonts w:hint="eastAsia"/>
          <w:sz w:val="24"/>
        </w:rPr>
        <w:t>监测单位根据工程施工期和营运期的环境监测结果编制监测报告，送地方环境保护局等有关管理部门。</w:t>
      </w:r>
    </w:p>
    <w:p>
      <w:pPr>
        <w:pStyle w:val="5"/>
        <w:tabs>
          <w:tab w:val="left" w:pos="720"/>
        </w:tabs>
        <w:spacing w:before="48" w:beforeLines="20" w:after="48" w:line="360" w:lineRule="auto"/>
        <w:ind w:left="0" w:firstLine="0"/>
        <w:rPr>
          <w:rFonts w:ascii="宋体" w:hAnsi="宋体" w:eastAsia="宋体"/>
          <w:b/>
          <w:sz w:val="28"/>
          <w:szCs w:val="28"/>
        </w:rPr>
      </w:pPr>
      <w:bookmarkStart w:id="280" w:name="_Toc442195782"/>
      <w:r>
        <w:rPr>
          <w:rFonts w:hint="eastAsia" w:ascii="宋体" w:hAnsi="宋体" w:eastAsia="宋体"/>
          <w:b/>
          <w:sz w:val="28"/>
          <w:szCs w:val="28"/>
        </w:rPr>
        <w:t>环境监测程序</w:t>
      </w:r>
      <w:bookmarkEnd w:id="280"/>
    </w:p>
    <w:p>
      <w:pPr>
        <w:pStyle w:val="4"/>
        <w:spacing w:line="360" w:lineRule="auto"/>
        <w:ind w:firstLine="480"/>
        <w:rPr>
          <w:sz w:val="24"/>
        </w:rPr>
      </w:pPr>
      <w:r>
        <w:rPr>
          <w:rFonts w:hint="eastAsia"/>
          <w:sz w:val="24"/>
        </w:rPr>
        <w:t>根据建设项目的工程特征，结合同类工程的运行管理经验及环境管理体系（ISO14001）的要求，建设单位应拟订项目在建设期、运行期的环境监测程序。环境监测程序的内容应包括如下方面：</w:t>
      </w:r>
    </w:p>
    <w:p>
      <w:pPr>
        <w:pStyle w:val="4"/>
        <w:spacing w:line="360" w:lineRule="auto"/>
        <w:ind w:firstLine="480"/>
        <w:rPr>
          <w:sz w:val="24"/>
        </w:rPr>
      </w:pPr>
      <w:r>
        <w:rPr>
          <w:rFonts w:hint="eastAsia"/>
          <w:sz w:val="24"/>
        </w:rPr>
        <w:t>（1）设立专门的环境管理机构，资金和人员的保证。</w:t>
      </w:r>
    </w:p>
    <w:p>
      <w:pPr>
        <w:pStyle w:val="4"/>
        <w:spacing w:line="360" w:lineRule="auto"/>
        <w:ind w:firstLine="480"/>
        <w:rPr>
          <w:sz w:val="24"/>
        </w:rPr>
      </w:pPr>
      <w:r>
        <w:rPr>
          <w:rFonts w:hint="eastAsia"/>
          <w:sz w:val="24"/>
        </w:rPr>
        <w:t>（2）根据施工计划和本报告中的具体内容，制定针对于拟建项目的环境管理制度、环境监测方案、培训计划、污染防治措施。</w:t>
      </w:r>
    </w:p>
    <w:p>
      <w:pPr>
        <w:pStyle w:val="4"/>
        <w:spacing w:line="360" w:lineRule="auto"/>
        <w:ind w:firstLine="480"/>
        <w:rPr>
          <w:sz w:val="24"/>
        </w:rPr>
      </w:pPr>
      <w:r>
        <w:rPr>
          <w:rFonts w:hint="eastAsia"/>
          <w:sz w:val="24"/>
        </w:rPr>
        <w:t>（3）按培训计划组织培训，确保全体人员环境意识、操作能力的要求，包括采用上述污染防治措施的技能培训。</w:t>
      </w:r>
    </w:p>
    <w:p>
      <w:pPr>
        <w:pStyle w:val="4"/>
        <w:spacing w:line="360" w:lineRule="auto"/>
        <w:ind w:firstLine="480"/>
        <w:rPr>
          <w:sz w:val="24"/>
        </w:rPr>
      </w:pPr>
      <w:r>
        <w:rPr>
          <w:rFonts w:hint="eastAsia"/>
          <w:sz w:val="24"/>
        </w:rPr>
        <w:t>（4）明确分工，责任落实到人，按计划进行日常管理（包括现场监督检查），对拟建项目的环境影响实施监测。</w:t>
      </w:r>
    </w:p>
    <w:p>
      <w:pPr>
        <w:pStyle w:val="4"/>
        <w:spacing w:line="360" w:lineRule="auto"/>
        <w:ind w:firstLine="480"/>
        <w:rPr>
          <w:sz w:val="24"/>
        </w:rPr>
      </w:pPr>
      <w:r>
        <w:rPr>
          <w:rFonts w:hint="eastAsia"/>
          <w:sz w:val="24"/>
        </w:rPr>
        <w:t>（5）建立良好的信息交通渠道，尤其对可能产生的居民投诉应建立有效的响应途径。</w:t>
      </w:r>
    </w:p>
    <w:p>
      <w:pPr>
        <w:pStyle w:val="4"/>
        <w:spacing w:line="360" w:lineRule="auto"/>
        <w:ind w:firstLine="480"/>
        <w:rPr>
          <w:sz w:val="24"/>
        </w:rPr>
      </w:pPr>
      <w:r>
        <w:rPr>
          <w:rFonts w:hint="eastAsia"/>
          <w:sz w:val="24"/>
        </w:rPr>
        <w:t>（6）组织各相关监测单位按监测计划实施定期监测，并将监测结果及时上报有关部门。</w:t>
      </w:r>
    </w:p>
    <w:p>
      <w:pPr>
        <w:pStyle w:val="4"/>
        <w:spacing w:line="360" w:lineRule="auto"/>
        <w:ind w:firstLine="480"/>
        <w:rPr>
          <w:sz w:val="24"/>
        </w:rPr>
      </w:pPr>
      <w:r>
        <w:rPr>
          <w:rFonts w:hint="eastAsia"/>
          <w:sz w:val="24"/>
        </w:rPr>
        <w:t>（7）对建设期和运行期再现的环境违法或扰民问题及时予以纠正，制定预防措施，必要时修改相关管理办法，适应具体情况的需要。</w:t>
      </w:r>
    </w:p>
    <w:p>
      <w:pPr>
        <w:pStyle w:val="4"/>
        <w:spacing w:line="360" w:lineRule="auto"/>
        <w:ind w:firstLine="480"/>
        <w:rPr>
          <w:sz w:val="24"/>
        </w:rPr>
      </w:pPr>
      <w:r>
        <w:rPr>
          <w:rFonts w:hint="eastAsia"/>
          <w:sz w:val="24"/>
        </w:rPr>
        <w:t>（8）作好环境管理过程中重要记录的管理，如监测报告、居民投诉、限期治理整改单等等。</w:t>
      </w:r>
    </w:p>
    <w:p>
      <w:pPr>
        <w:pStyle w:val="4"/>
        <w:spacing w:line="360" w:lineRule="auto"/>
        <w:ind w:firstLine="480"/>
        <w:rPr>
          <w:sz w:val="24"/>
        </w:rPr>
      </w:pPr>
      <w:r>
        <w:rPr>
          <w:rFonts w:hint="eastAsia"/>
          <w:sz w:val="24"/>
        </w:rPr>
        <w:t>（9）环境管理机构定期对工作的实施予以审查，编制拟建项目《环境监测报告》上报有关部门。根据环境行政主管部门对拟建项目《环境监测报告》的审查意见和可能存在的有关环境问题的投诉，对整修管理监测程序的相关部分进行持续改进，以更好地完成环境管理工作。</w:t>
      </w:r>
    </w:p>
    <w:p>
      <w:pPr>
        <w:pStyle w:val="5"/>
        <w:tabs>
          <w:tab w:val="left" w:pos="720"/>
        </w:tabs>
        <w:spacing w:before="48" w:beforeLines="20" w:after="48" w:line="360" w:lineRule="auto"/>
        <w:ind w:left="0" w:firstLine="0"/>
        <w:rPr>
          <w:rFonts w:ascii="宋体" w:hAnsi="宋体" w:eastAsia="宋体"/>
          <w:b/>
          <w:sz w:val="28"/>
          <w:szCs w:val="28"/>
        </w:rPr>
      </w:pPr>
      <w:bookmarkStart w:id="281" w:name="_Toc442195783"/>
      <w:r>
        <w:rPr>
          <w:rFonts w:hint="eastAsia" w:ascii="宋体" w:hAnsi="宋体" w:eastAsia="宋体"/>
          <w:b/>
          <w:sz w:val="28"/>
          <w:szCs w:val="28"/>
        </w:rPr>
        <w:t>环境监测报告</w:t>
      </w:r>
      <w:bookmarkEnd w:id="281"/>
    </w:p>
    <w:p>
      <w:pPr>
        <w:pStyle w:val="4"/>
        <w:spacing w:line="360" w:lineRule="auto"/>
      </w:pPr>
      <w:r>
        <w:rPr>
          <w:rFonts w:hint="eastAsia"/>
        </w:rPr>
        <w:t>（1）建设阶段环境监测报告</w:t>
      </w:r>
    </w:p>
    <w:p>
      <w:pPr>
        <w:pStyle w:val="4"/>
        <w:spacing w:line="360" w:lineRule="auto"/>
        <w:ind w:firstLine="480"/>
        <w:rPr>
          <w:sz w:val="24"/>
        </w:rPr>
      </w:pPr>
      <w:r>
        <w:rPr>
          <w:rFonts w:hint="eastAsia"/>
          <w:sz w:val="24"/>
        </w:rPr>
        <w:t>本项目工程建设期约为3年，根据工程内容的不同可以分为港口作业区基础设施、物流园区基础设施 、道路交通工程、三峡现代物流信息中心等不同子项目。根据我国有关建设项目环境管理法规和世行业务政策要求，环境监测部门应分别编制《阶段环境监测报告》，目的是使环保部门确信所有环保措施正在按己批准的环境监测计划那样得到落实，并且还正在或将要采取特殊的保护措施，以便控制项目计划中可预见到的不利环境影响。建设期的报告为每年1次。《阶段环境监测报告》的内容应包括：环境管理机构的设置、工程进度情况、主要施工的内容与方法、造成的环境影响和减缓影响的措施、以及措施的实施情况，必要时应包括居民投诉和解决情况的内容。除上述监测报告之外，施工单位还应自己编写日报和月报，报上级主管部门和地方环保部门。</w:t>
      </w:r>
    </w:p>
    <w:p>
      <w:pPr>
        <w:pStyle w:val="4"/>
        <w:spacing w:line="360" w:lineRule="auto"/>
        <w:ind w:firstLine="480"/>
        <w:rPr>
          <w:sz w:val="24"/>
        </w:rPr>
      </w:pPr>
      <w:r>
        <w:rPr>
          <w:rFonts w:hint="eastAsia"/>
          <w:sz w:val="24"/>
        </w:rPr>
        <w:t>（2）运行期环境监测报告</w:t>
      </w:r>
    </w:p>
    <w:p>
      <w:pPr>
        <w:pStyle w:val="4"/>
        <w:spacing w:line="360" w:lineRule="auto"/>
        <w:ind w:firstLine="480"/>
        <w:rPr>
          <w:sz w:val="24"/>
        </w:rPr>
      </w:pPr>
      <w:r>
        <w:rPr>
          <w:rFonts w:hint="eastAsia"/>
          <w:sz w:val="24"/>
        </w:rPr>
        <w:t>拟建项目投入运行后，由环境监测单位定期编制《环境监测报告》（一般每年1次），主要内容应包括：环境管理机构的设置和变化情况、对环保部门关于前期报告的审查意见的落实情况、监测制度（包括时间、频次、点位、使用的仪器和设备、适用的标准等）、监测数据的统计分析结果、拟采取的进一步污染防治措施等。</w:t>
      </w:r>
    </w:p>
    <w:p>
      <w:pPr>
        <w:pStyle w:val="3"/>
        <w:tabs>
          <w:tab w:val="clear" w:pos="3695"/>
        </w:tabs>
        <w:spacing w:before="120" w:after="120"/>
        <w:ind w:left="567"/>
      </w:pPr>
      <w:bookmarkStart w:id="282" w:name="_Toc442195784"/>
      <w:bookmarkStart w:id="283" w:name="_Toc428864007"/>
      <w:r>
        <w:rPr>
          <w:rFonts w:hint="eastAsia"/>
        </w:rPr>
        <w:t>环境监理</w:t>
      </w:r>
      <w:bookmarkEnd w:id="282"/>
      <w:bookmarkEnd w:id="283"/>
    </w:p>
    <w:p>
      <w:pPr>
        <w:pStyle w:val="4"/>
        <w:spacing w:line="360" w:lineRule="auto"/>
        <w:ind w:firstLine="480"/>
      </w:pPr>
      <w:r>
        <w:rPr>
          <w:rFonts w:hint="eastAsia"/>
          <w:sz w:val="24"/>
        </w:rPr>
        <w:t>工程施工实行监理制度，按工程质量和环保要求对项目进行全面质量管理</w:t>
      </w:r>
      <w:r>
        <w:rPr>
          <w:rFonts w:hint="eastAsia"/>
        </w:rPr>
        <w:t>。</w:t>
      </w:r>
    </w:p>
    <w:p>
      <w:pPr>
        <w:pStyle w:val="5"/>
        <w:tabs>
          <w:tab w:val="left" w:pos="720"/>
        </w:tabs>
        <w:spacing w:before="48" w:beforeLines="20" w:after="48" w:line="360" w:lineRule="auto"/>
        <w:ind w:left="0" w:firstLine="0"/>
        <w:rPr>
          <w:rFonts w:ascii="宋体" w:hAnsi="宋体" w:eastAsia="宋体"/>
          <w:b/>
          <w:sz w:val="28"/>
          <w:szCs w:val="28"/>
        </w:rPr>
      </w:pPr>
      <w:bookmarkStart w:id="284" w:name="_Toc442195785"/>
      <w:r>
        <w:rPr>
          <w:rFonts w:hint="eastAsia" w:ascii="宋体" w:hAnsi="宋体" w:eastAsia="宋体"/>
          <w:b/>
          <w:sz w:val="28"/>
          <w:szCs w:val="28"/>
        </w:rPr>
        <w:t>实施环境监理的原则</w:t>
      </w:r>
      <w:bookmarkEnd w:id="284"/>
    </w:p>
    <w:p>
      <w:pPr>
        <w:pStyle w:val="4"/>
        <w:spacing w:line="360" w:lineRule="auto"/>
        <w:ind w:firstLine="480"/>
        <w:rPr>
          <w:sz w:val="24"/>
        </w:rPr>
      </w:pPr>
      <w:r>
        <w:rPr>
          <w:rFonts w:hint="eastAsia"/>
          <w:sz w:val="24"/>
        </w:rPr>
        <w:t>（1）环境监理应成为工程监理的重要组成部分，工程监理单位应有专门的从事环境监理的分支机构及环境保护技术人员。</w:t>
      </w:r>
    </w:p>
    <w:p>
      <w:pPr>
        <w:pStyle w:val="4"/>
        <w:spacing w:line="360" w:lineRule="auto"/>
        <w:ind w:firstLine="480"/>
        <w:rPr>
          <w:sz w:val="24"/>
        </w:rPr>
      </w:pPr>
      <w:r>
        <w:rPr>
          <w:rFonts w:hint="eastAsia"/>
          <w:sz w:val="24"/>
        </w:rPr>
        <w:t>（2）工程监理单位应根据与本项目有关的环保规范和标准、工程设计图纸、设计说明及其它设计文件、工程施工合同及招投标文件、环境与社会影响报告书（含提出的环保措施、环境监测）、工程环境监理合同及招标文件等编制环境监理方案，并严格按照制定的环境监理方案执行监理工作。</w:t>
      </w:r>
    </w:p>
    <w:p>
      <w:pPr>
        <w:pStyle w:val="4"/>
        <w:spacing w:line="360" w:lineRule="auto"/>
        <w:ind w:firstLine="480"/>
        <w:rPr>
          <w:rFonts w:ascii="宋体" w:hAnsi="宋体"/>
          <w:snapToGrid w:val="0"/>
          <w:kern w:val="0"/>
          <w:sz w:val="24"/>
        </w:rPr>
      </w:pPr>
      <w:r>
        <w:rPr>
          <w:rFonts w:hint="eastAsia"/>
          <w:sz w:val="24"/>
        </w:rPr>
        <w:t>（3）环境监理的对象是所有由于施工活动可能产生的环境污染行为、环境监理应以施工期的环境保护、施工后期的生态恢复和污染防</w:t>
      </w:r>
      <w:r>
        <w:rPr>
          <w:rFonts w:hint="eastAsia" w:ascii="宋体" w:hAnsi="宋体"/>
          <w:snapToGrid w:val="0"/>
          <w:kern w:val="0"/>
          <w:sz w:val="24"/>
        </w:rPr>
        <w:t>治措施的落实情况为重点。</w:t>
      </w:r>
    </w:p>
    <w:p>
      <w:pPr>
        <w:pStyle w:val="5"/>
        <w:tabs>
          <w:tab w:val="left" w:pos="720"/>
        </w:tabs>
        <w:spacing w:before="48" w:beforeLines="20" w:after="48" w:line="360" w:lineRule="auto"/>
        <w:ind w:left="0" w:firstLine="0"/>
        <w:rPr>
          <w:rFonts w:ascii="宋体" w:hAnsi="宋体" w:eastAsia="宋体"/>
          <w:b/>
          <w:sz w:val="28"/>
          <w:szCs w:val="28"/>
        </w:rPr>
      </w:pPr>
      <w:bookmarkStart w:id="285" w:name="_Toc442195786"/>
      <w:r>
        <w:rPr>
          <w:rFonts w:hint="eastAsia" w:ascii="宋体" w:hAnsi="宋体" w:eastAsia="宋体"/>
          <w:b/>
          <w:sz w:val="28"/>
          <w:szCs w:val="28"/>
        </w:rPr>
        <w:t>环境监理范围和期限</w:t>
      </w:r>
      <w:bookmarkEnd w:id="285"/>
    </w:p>
    <w:p>
      <w:pPr>
        <w:pStyle w:val="4"/>
        <w:spacing w:line="360" w:lineRule="auto"/>
        <w:ind w:firstLine="480"/>
        <w:rPr>
          <w:sz w:val="24"/>
        </w:rPr>
      </w:pPr>
      <w:r>
        <w:rPr>
          <w:rFonts w:hint="eastAsia" w:ascii="宋体" w:hAnsi="宋体"/>
          <w:sz w:val="24"/>
        </w:rPr>
        <w:t>环境监理范</w:t>
      </w:r>
      <w:r>
        <w:rPr>
          <w:rFonts w:hint="eastAsia"/>
          <w:sz w:val="24"/>
        </w:rPr>
        <w:t>围：工程所在区域与工程影响区域。</w:t>
      </w:r>
    </w:p>
    <w:p>
      <w:pPr>
        <w:pStyle w:val="4"/>
        <w:spacing w:line="360" w:lineRule="auto"/>
        <w:ind w:firstLine="480"/>
        <w:rPr>
          <w:sz w:val="24"/>
        </w:rPr>
      </w:pPr>
      <w:r>
        <w:rPr>
          <w:rFonts w:hint="eastAsia"/>
          <w:sz w:val="24"/>
        </w:rPr>
        <w:t>工作范围：施工现场、生活营地、及附属设施等以及上述范围内生产施工对周边造成环境污染和生态破坏的区域；工程运营造成环境影响所采取环保措施的区域。</w:t>
      </w:r>
    </w:p>
    <w:p>
      <w:pPr>
        <w:pStyle w:val="4"/>
        <w:spacing w:line="360" w:lineRule="auto"/>
        <w:ind w:firstLine="480"/>
        <w:rPr>
          <w:sz w:val="24"/>
        </w:rPr>
      </w:pPr>
      <w:r>
        <w:rPr>
          <w:rFonts w:hint="eastAsia"/>
          <w:sz w:val="24"/>
        </w:rPr>
        <w:t>工作阶段：施工准备阶段、施工阶段环境监理。</w:t>
      </w:r>
    </w:p>
    <w:p>
      <w:pPr>
        <w:pStyle w:val="4"/>
        <w:spacing w:line="360" w:lineRule="auto"/>
        <w:ind w:firstLine="480"/>
        <w:rPr>
          <w:rFonts w:ascii="宋体" w:hAnsi="宋体"/>
          <w:sz w:val="24"/>
        </w:rPr>
      </w:pPr>
      <w:r>
        <w:rPr>
          <w:rFonts w:hint="eastAsia"/>
          <w:sz w:val="24"/>
        </w:rPr>
        <w:t>监理服务期</w:t>
      </w:r>
      <w:r>
        <w:rPr>
          <w:rFonts w:hint="eastAsia" w:ascii="宋体" w:hAnsi="宋体"/>
          <w:sz w:val="24"/>
        </w:rPr>
        <w:t>限：从工程施工准备阶段开始至工程施工竣工。</w:t>
      </w:r>
    </w:p>
    <w:p>
      <w:pPr>
        <w:pStyle w:val="5"/>
        <w:tabs>
          <w:tab w:val="left" w:pos="720"/>
        </w:tabs>
        <w:spacing w:before="48" w:beforeLines="20" w:after="48" w:line="360" w:lineRule="auto"/>
        <w:ind w:left="0" w:firstLine="0"/>
        <w:rPr>
          <w:rFonts w:ascii="宋体" w:hAnsi="宋体" w:eastAsia="宋体"/>
          <w:b/>
          <w:sz w:val="28"/>
          <w:szCs w:val="28"/>
        </w:rPr>
      </w:pPr>
      <w:bookmarkStart w:id="286" w:name="_Toc442195787"/>
      <w:r>
        <w:rPr>
          <w:rFonts w:hint="eastAsia" w:ascii="宋体" w:hAnsi="宋体" w:eastAsia="宋体"/>
          <w:b/>
          <w:sz w:val="28"/>
          <w:szCs w:val="28"/>
        </w:rPr>
        <w:t>环境监理工作方法及程序</w:t>
      </w:r>
      <w:bookmarkEnd w:id="286"/>
    </w:p>
    <w:p>
      <w:pPr>
        <w:pStyle w:val="4"/>
        <w:spacing w:line="360" w:lineRule="auto"/>
        <w:ind w:firstLine="480"/>
        <w:rPr>
          <w:sz w:val="24"/>
        </w:rPr>
      </w:pPr>
      <w:r>
        <w:rPr>
          <w:rFonts w:hint="eastAsia" w:ascii="宋体" w:hAnsi="宋体"/>
          <w:sz w:val="24"/>
        </w:rPr>
        <w:t>（1）环境监</w:t>
      </w:r>
      <w:r>
        <w:rPr>
          <w:rFonts w:hint="eastAsia"/>
          <w:sz w:val="24"/>
        </w:rPr>
        <w:t>理方法</w:t>
      </w:r>
    </w:p>
    <w:p>
      <w:pPr>
        <w:pStyle w:val="4"/>
        <w:spacing w:line="360" w:lineRule="auto"/>
        <w:ind w:firstLine="480"/>
        <w:rPr>
          <w:sz w:val="24"/>
        </w:rPr>
      </w:pPr>
      <w:r>
        <w:rPr>
          <w:rFonts w:hint="eastAsia"/>
          <w:sz w:val="24"/>
        </w:rPr>
        <w:t>现场监理采取巡视、旁站的方式。提示定期对施工现场水、气、声进行现场监测。环境监理人员检查发现环保污染问题时，应立即通知承包商现场负责人员进行纠正。该通知单同时抄送监理部和业主代表。承包商接到环境监理工程师通知后，应对存在的问题进行整改。</w:t>
      </w:r>
    </w:p>
    <w:p>
      <w:pPr>
        <w:pStyle w:val="4"/>
        <w:spacing w:line="360" w:lineRule="auto"/>
        <w:ind w:firstLine="480"/>
        <w:rPr>
          <w:sz w:val="24"/>
        </w:rPr>
      </w:pPr>
      <w:r>
        <w:rPr>
          <w:rFonts w:hint="eastAsia"/>
          <w:sz w:val="24"/>
        </w:rPr>
        <w:t>（2）监理程序</w:t>
      </w:r>
    </w:p>
    <w:p>
      <w:pPr>
        <w:pStyle w:val="4"/>
        <w:spacing w:line="360" w:lineRule="auto"/>
        <w:ind w:firstLine="480"/>
        <w:rPr>
          <w:kern w:val="28"/>
          <w:sz w:val="24"/>
        </w:rPr>
      </w:pPr>
      <w:r>
        <w:rPr>
          <w:rFonts w:hint="eastAsia"/>
          <w:sz w:val="24"/>
        </w:rPr>
        <w:t>本次环保监理</w:t>
      </w:r>
      <w:r>
        <w:rPr>
          <w:rFonts w:hint="eastAsia" w:hAnsi="宋体"/>
          <w:kern w:val="28"/>
          <w:sz w:val="24"/>
        </w:rPr>
        <w:t>程序拟按图8.4-1实施。</w:t>
      </w:r>
    </w:p>
    <w:p>
      <w:pPr>
        <w:jc w:val="center"/>
        <w:rPr>
          <w:kern w:val="28"/>
          <w:sz w:val="26"/>
          <w:szCs w:val="26"/>
        </w:rPr>
      </w:pPr>
      <w:r>
        <w:drawing>
          <wp:inline distT="0" distB="0" distL="0" distR="0">
            <wp:extent cx="5486400" cy="5102860"/>
            <wp:effectExtent l="0" t="0" r="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45"/>
                    <a:stretch>
                      <a:fillRect/>
                    </a:stretch>
                  </pic:blipFill>
                  <pic:spPr>
                    <a:xfrm>
                      <a:off x="0" y="0"/>
                      <a:ext cx="5486400" cy="5102860"/>
                    </a:xfrm>
                    <a:prstGeom prst="rect">
                      <a:avLst/>
                    </a:prstGeom>
                  </pic:spPr>
                </pic:pic>
              </a:graphicData>
            </a:graphic>
          </wp:inline>
        </w:drawing>
      </w:r>
    </w:p>
    <w:p>
      <w:pPr>
        <w:jc w:val="center"/>
        <w:rPr>
          <w:b/>
          <w:sz w:val="24"/>
        </w:rPr>
      </w:pPr>
      <w:r>
        <w:rPr>
          <w:rFonts w:hAnsi="宋体"/>
          <w:b/>
          <w:sz w:val="24"/>
        </w:rPr>
        <w:t>图</w:t>
      </w:r>
      <w:r>
        <w:rPr>
          <w:rFonts w:hint="eastAsia"/>
          <w:b/>
          <w:sz w:val="24"/>
        </w:rPr>
        <w:t>8</w:t>
      </w:r>
      <w:r>
        <w:rPr>
          <w:b/>
          <w:sz w:val="24"/>
        </w:rPr>
        <w:t>.</w:t>
      </w:r>
      <w:r>
        <w:rPr>
          <w:rFonts w:hint="eastAsia"/>
          <w:b/>
          <w:sz w:val="24"/>
        </w:rPr>
        <w:t>4</w:t>
      </w:r>
      <w:r>
        <w:rPr>
          <w:b/>
          <w:sz w:val="24"/>
        </w:rPr>
        <w:t xml:space="preserve">-1 </w:t>
      </w:r>
      <w:r>
        <w:rPr>
          <w:rFonts w:hAnsi="宋体"/>
          <w:b/>
          <w:sz w:val="24"/>
        </w:rPr>
        <w:t>环保监理程序</w:t>
      </w:r>
    </w:p>
    <w:p>
      <w:pPr>
        <w:pStyle w:val="5"/>
        <w:tabs>
          <w:tab w:val="left" w:pos="720"/>
        </w:tabs>
        <w:spacing w:before="48" w:beforeLines="20" w:after="48" w:line="360" w:lineRule="auto"/>
        <w:ind w:left="0" w:firstLine="0"/>
        <w:rPr>
          <w:rFonts w:ascii="宋体" w:hAnsi="宋体" w:eastAsia="宋体"/>
          <w:b/>
          <w:sz w:val="28"/>
          <w:szCs w:val="28"/>
        </w:rPr>
      </w:pPr>
      <w:bookmarkStart w:id="287" w:name="_Toc442195788"/>
      <w:r>
        <w:rPr>
          <w:rFonts w:hint="eastAsia" w:ascii="宋体" w:hAnsi="宋体" w:eastAsia="宋体"/>
          <w:b/>
          <w:sz w:val="28"/>
          <w:szCs w:val="28"/>
        </w:rPr>
        <w:t>环境监理主要工作内容</w:t>
      </w:r>
      <w:bookmarkEnd w:id="287"/>
    </w:p>
    <w:p>
      <w:pPr>
        <w:pStyle w:val="6"/>
        <w:tabs>
          <w:tab w:val="left" w:pos="1006"/>
          <w:tab w:val="clear" w:pos="1290"/>
        </w:tabs>
        <w:spacing w:beforeLines="0" w:afterLines="0"/>
        <w:ind w:left="0" w:firstLine="0"/>
      </w:pPr>
      <w:r>
        <w:rPr>
          <w:rFonts w:hint="eastAsia"/>
        </w:rPr>
        <w:t>施工前期环境监理</w:t>
      </w:r>
    </w:p>
    <w:p>
      <w:pPr>
        <w:autoSpaceDE w:val="0"/>
        <w:autoSpaceDN w:val="0"/>
        <w:adjustRightInd w:val="0"/>
        <w:spacing w:line="360" w:lineRule="auto"/>
        <w:ind w:firstLine="480" w:firstLineChars="200"/>
        <w:rPr>
          <w:rFonts w:hAnsi="宋体"/>
          <w:sz w:val="24"/>
        </w:rPr>
      </w:pPr>
      <w:r>
        <w:rPr>
          <w:rFonts w:hint="eastAsia" w:hAnsi="宋体"/>
          <w:sz w:val="24"/>
        </w:rPr>
        <w:t>就本工程而言，建设前期的环境管理主要是指下一阶段施工设计及施工承发包工作中的环境管理。在施工设计阶段，宜昌市有关部门将直接监督建设单位、设计单位贯彻落实《环境与社会影响报告书》中提出并经湖北省环保厅正式批复核准的各项环境保护措施，这些环保措施将列入投资概算并在施工设计中得到全面的反映，以实现环保工程“三同时”中的“同时设计”要求。</w:t>
      </w:r>
    </w:p>
    <w:p>
      <w:pPr>
        <w:autoSpaceDE w:val="0"/>
        <w:autoSpaceDN w:val="0"/>
        <w:adjustRightInd w:val="0"/>
        <w:spacing w:line="360" w:lineRule="auto"/>
        <w:ind w:firstLine="480" w:firstLineChars="200"/>
        <w:rPr>
          <w:rFonts w:hAnsi="宋体"/>
          <w:sz w:val="24"/>
        </w:rPr>
      </w:pPr>
      <w:r>
        <w:rPr>
          <w:rFonts w:hint="eastAsia" w:hAnsi="宋体"/>
          <w:sz w:val="24"/>
        </w:rPr>
        <w:t>在施工发包过程中，建设单位应将环保工程摆在与主体工程同等重要地位，应按《环境与社会影响报告书》的有关要求对施工单位的施工组织方案提出环境保护要求，并应优先选用环保意识强、环保工程业绩好、能力强的施工单位和队伍，为文明施工、各环保措施高质量“同时施工”奠定基础。施工人员在进现场前，应进行有关环境保护法规条例及生态保护、污染防治等方面知识的培训。</w:t>
      </w:r>
    </w:p>
    <w:p>
      <w:pPr>
        <w:pStyle w:val="6"/>
        <w:tabs>
          <w:tab w:val="left" w:pos="1006"/>
          <w:tab w:val="clear" w:pos="1290"/>
        </w:tabs>
        <w:spacing w:beforeLines="0" w:afterLines="0"/>
        <w:ind w:left="0" w:firstLine="0"/>
      </w:pPr>
      <w:r>
        <w:rPr>
          <w:rFonts w:hint="eastAsia"/>
        </w:rPr>
        <w:t>施工期环境监理</w:t>
      </w:r>
    </w:p>
    <w:p>
      <w:pPr>
        <w:autoSpaceDE w:val="0"/>
        <w:autoSpaceDN w:val="0"/>
        <w:spacing w:line="360" w:lineRule="auto"/>
        <w:ind w:firstLine="480" w:firstLineChars="200"/>
        <w:rPr>
          <w:rFonts w:hAnsi="宋体"/>
          <w:sz w:val="24"/>
        </w:rPr>
      </w:pPr>
      <w:r>
        <w:rPr>
          <w:rFonts w:hint="eastAsia" w:hAnsi="宋体"/>
          <w:sz w:val="24"/>
        </w:rPr>
        <w:t>1、环</w:t>
      </w:r>
      <w:r>
        <w:rPr>
          <w:rFonts w:hint="eastAsia" w:ascii="宋体" w:hAnsi="宋体"/>
          <w:sz w:val="24"/>
        </w:rPr>
        <w:t>境监理</w:t>
      </w:r>
      <w:r>
        <w:rPr>
          <w:rFonts w:hint="eastAsia" w:hAnsi="宋体"/>
          <w:sz w:val="24"/>
        </w:rPr>
        <w:t>目标</w:t>
      </w:r>
    </w:p>
    <w:p>
      <w:pPr>
        <w:autoSpaceDE w:val="0"/>
        <w:autoSpaceDN w:val="0"/>
        <w:spacing w:line="360" w:lineRule="auto"/>
        <w:ind w:firstLine="480" w:firstLineChars="200"/>
        <w:rPr>
          <w:rFonts w:hAnsi="宋体"/>
          <w:sz w:val="24"/>
        </w:rPr>
      </w:pPr>
      <w:r>
        <w:rPr>
          <w:rFonts w:hint="eastAsia" w:hAnsi="宋体"/>
          <w:sz w:val="24"/>
        </w:rPr>
        <w:t>环保监理与工程建设监理既有联系，也有区别。环保监理目标主要是：</w:t>
      </w:r>
    </w:p>
    <w:p>
      <w:pPr>
        <w:autoSpaceDE w:val="0"/>
        <w:autoSpaceDN w:val="0"/>
        <w:spacing w:line="360" w:lineRule="auto"/>
        <w:ind w:firstLine="480" w:firstLineChars="200"/>
        <w:rPr>
          <w:rFonts w:hAnsi="宋体"/>
          <w:sz w:val="24"/>
        </w:rPr>
      </w:pPr>
      <w:r>
        <w:rPr>
          <w:rFonts w:hint="eastAsia" w:hAnsi="宋体"/>
          <w:sz w:val="24"/>
        </w:rPr>
        <w:t>（1）根据审查批复的项目环境影响报告书各项环境保护工程是否在工程建设中得到全面贯彻落实；</w:t>
      </w:r>
    </w:p>
    <w:p>
      <w:pPr>
        <w:autoSpaceDE w:val="0"/>
        <w:autoSpaceDN w:val="0"/>
        <w:spacing w:line="360" w:lineRule="auto"/>
        <w:ind w:firstLine="480" w:firstLineChars="200"/>
        <w:rPr>
          <w:rFonts w:hAnsi="宋体"/>
          <w:sz w:val="24"/>
        </w:rPr>
      </w:pPr>
      <w:r>
        <w:rPr>
          <w:rFonts w:hint="eastAsia" w:hAnsi="宋体"/>
          <w:sz w:val="24"/>
        </w:rPr>
        <w:t>（2）通过监理，确保各项环境保护工程的施工质量、工期、生态恢复、污染治理达到规定标准，满足环境保护法律法规的要求；</w:t>
      </w:r>
    </w:p>
    <w:p>
      <w:pPr>
        <w:autoSpaceDE w:val="0"/>
        <w:autoSpaceDN w:val="0"/>
        <w:spacing w:line="360" w:lineRule="auto"/>
        <w:ind w:firstLine="480" w:firstLineChars="200"/>
        <w:rPr>
          <w:rFonts w:hAnsi="宋体"/>
          <w:sz w:val="24"/>
        </w:rPr>
      </w:pPr>
      <w:r>
        <w:rPr>
          <w:rFonts w:hint="eastAsia" w:hAnsi="宋体"/>
          <w:sz w:val="24"/>
        </w:rPr>
        <w:t>（3）按合同规定的监理职责、权限和监理工作管理程序，将监理过程中发生的未按规定要求施工或施工质量不能满足质量要求的事件及时向施工、建设单位反馈，并提出处理措施，按规定程序审批、整改或变更；</w:t>
      </w:r>
    </w:p>
    <w:p>
      <w:pPr>
        <w:autoSpaceDE w:val="0"/>
        <w:autoSpaceDN w:val="0"/>
        <w:spacing w:line="360" w:lineRule="auto"/>
        <w:ind w:firstLine="480" w:firstLineChars="200"/>
        <w:rPr>
          <w:rFonts w:hAnsi="宋体"/>
          <w:sz w:val="24"/>
        </w:rPr>
      </w:pPr>
      <w:r>
        <w:rPr>
          <w:rFonts w:hint="eastAsia" w:hAnsi="宋体"/>
          <w:sz w:val="24"/>
        </w:rPr>
        <w:t>（4）协助地方环保等主管部门的执法检查，为处理环保纠纷事件提供科学，详实的依据；</w:t>
      </w:r>
    </w:p>
    <w:p>
      <w:pPr>
        <w:autoSpaceDE w:val="0"/>
        <w:autoSpaceDN w:val="0"/>
        <w:spacing w:line="360" w:lineRule="auto"/>
        <w:ind w:firstLine="480" w:firstLineChars="200"/>
        <w:rPr>
          <w:rFonts w:hAnsi="宋体"/>
          <w:sz w:val="24"/>
        </w:rPr>
      </w:pPr>
      <w:r>
        <w:rPr>
          <w:rFonts w:hint="eastAsia" w:hAnsi="宋体"/>
          <w:sz w:val="24"/>
        </w:rPr>
        <w:t>（5）审查验收环保工程数量、质量、参与工程竣工验收。</w:t>
      </w:r>
    </w:p>
    <w:p>
      <w:pPr>
        <w:autoSpaceDE w:val="0"/>
        <w:autoSpaceDN w:val="0"/>
        <w:spacing w:line="360" w:lineRule="auto"/>
        <w:ind w:firstLine="480" w:firstLineChars="200"/>
        <w:rPr>
          <w:rFonts w:hAnsi="宋体"/>
          <w:sz w:val="24"/>
        </w:rPr>
      </w:pPr>
      <w:r>
        <w:rPr>
          <w:rFonts w:hint="eastAsia" w:hAnsi="宋体"/>
          <w:sz w:val="24"/>
        </w:rPr>
        <w:t>2、噪声污染源的监理</w:t>
      </w:r>
    </w:p>
    <w:p>
      <w:pPr>
        <w:autoSpaceDE w:val="0"/>
        <w:autoSpaceDN w:val="0"/>
        <w:spacing w:line="360" w:lineRule="auto"/>
        <w:ind w:firstLine="480" w:firstLineChars="200"/>
        <w:rPr>
          <w:rFonts w:hAnsi="宋体"/>
          <w:sz w:val="24"/>
        </w:rPr>
      </w:pPr>
      <w:r>
        <w:rPr>
          <w:rFonts w:hint="eastAsia" w:hAnsi="宋体"/>
          <w:sz w:val="24"/>
        </w:rPr>
        <w:t>为防止噪声危害，对产生强烈噪声的污染源，应按设计要求进行防治，要求施工区域及其影响区域的噪声环境质量达到相应的标准。环境监理工程师应熟悉施工活动中施工机械作业场所、施工时间、交通噪声源、工作人员生活噪声等各类噪声污染源，监督检查施工过程中各类机械设备是否依据有关法规控制噪声污染，避免噪声对集中居民区等敏感点干扰。</w:t>
      </w:r>
    </w:p>
    <w:p>
      <w:pPr>
        <w:autoSpaceDE w:val="0"/>
        <w:autoSpaceDN w:val="0"/>
        <w:spacing w:line="360" w:lineRule="auto"/>
        <w:ind w:firstLine="480" w:firstLineChars="200"/>
        <w:rPr>
          <w:rFonts w:hAnsi="宋体"/>
          <w:sz w:val="24"/>
        </w:rPr>
      </w:pPr>
      <w:r>
        <w:rPr>
          <w:rFonts w:hint="eastAsia" w:hAnsi="宋体"/>
          <w:sz w:val="24"/>
        </w:rPr>
        <w:t>3、环境空气污染源的监理</w:t>
      </w:r>
    </w:p>
    <w:p>
      <w:pPr>
        <w:autoSpaceDE w:val="0"/>
        <w:autoSpaceDN w:val="0"/>
        <w:spacing w:line="360" w:lineRule="auto"/>
        <w:ind w:firstLine="480" w:firstLineChars="200"/>
        <w:rPr>
          <w:rFonts w:hAnsi="宋体"/>
          <w:sz w:val="24"/>
        </w:rPr>
      </w:pPr>
      <w:r>
        <w:rPr>
          <w:rFonts w:hint="eastAsia" w:hAnsi="宋体"/>
          <w:sz w:val="24"/>
        </w:rPr>
        <w:t>施工区域大气污染主要来源于施工和生产过程中产生的废气和粉尘。对污染源要求达标排放，对施工区域及其影响区域应达到规定的环境质量标准。施工场地应根据气候变化进行定期洒水，并保证施工场地的整洁。对施工现场200m之内的环境空气敏感点的环境空气质量监测结果评定，如超标，环保监理工程师应通知承包方采取防范措施，保证环境空气质量达到标准限值以内。</w:t>
      </w:r>
    </w:p>
    <w:p>
      <w:pPr>
        <w:autoSpaceDE w:val="0"/>
        <w:autoSpaceDN w:val="0"/>
        <w:spacing w:line="360" w:lineRule="auto"/>
        <w:ind w:firstLine="480" w:firstLineChars="200"/>
        <w:rPr>
          <w:rFonts w:hAnsi="宋体"/>
          <w:sz w:val="24"/>
        </w:rPr>
      </w:pPr>
      <w:r>
        <w:rPr>
          <w:rFonts w:hint="eastAsia" w:hAnsi="宋体"/>
          <w:sz w:val="24"/>
        </w:rPr>
        <w:t>4、水污染源的监理</w:t>
      </w:r>
    </w:p>
    <w:p>
      <w:pPr>
        <w:autoSpaceDE w:val="0"/>
        <w:autoSpaceDN w:val="0"/>
        <w:spacing w:line="360" w:lineRule="auto"/>
        <w:ind w:firstLine="480" w:firstLineChars="200"/>
        <w:rPr>
          <w:rFonts w:hAnsi="宋体"/>
          <w:sz w:val="24"/>
        </w:rPr>
      </w:pPr>
      <w:r>
        <w:rPr>
          <w:rFonts w:hint="eastAsia" w:hAnsi="宋体"/>
          <w:sz w:val="24"/>
        </w:rPr>
        <w:t>环境监理工程师应重点对水环境质量进行监理。对生产和生活污水的来源、排放量、水质指标，处理设施的建设过程和处理效果等进行监理，检查和监测是否达到批准的排放标准。监督检查施</w:t>
      </w:r>
      <w:r>
        <w:rPr>
          <w:rFonts w:hint="eastAsia" w:ascii="宋体" w:hAnsi="宋体"/>
          <w:sz w:val="24"/>
        </w:rPr>
        <w:t>工现场道路是否畅通，排水系统是否处于良好的使用状态，</w:t>
      </w:r>
      <w:r>
        <w:rPr>
          <w:rFonts w:hint="eastAsia" w:hAnsi="宋体"/>
          <w:sz w:val="24"/>
        </w:rPr>
        <w:t>施工现场是否渍水。</w:t>
      </w:r>
    </w:p>
    <w:p>
      <w:pPr>
        <w:autoSpaceDE w:val="0"/>
        <w:autoSpaceDN w:val="0"/>
        <w:spacing w:line="360" w:lineRule="auto"/>
        <w:ind w:firstLine="480" w:firstLineChars="200"/>
        <w:rPr>
          <w:rFonts w:hAnsi="宋体"/>
          <w:sz w:val="24"/>
        </w:rPr>
      </w:pPr>
      <w:r>
        <w:rPr>
          <w:rFonts w:hint="eastAsia" w:hAnsi="宋体"/>
          <w:sz w:val="24"/>
        </w:rPr>
        <w:t>车辆冲洗应集中在施工驻地进行，车辆冲洗水应进行隔油沉淀处理后回用，施工废水禁止直接排放。隔油池和沉淀池在施工完毕后由施工单位负责拆除、清理。</w:t>
      </w:r>
    </w:p>
    <w:p>
      <w:pPr>
        <w:autoSpaceDE w:val="0"/>
        <w:autoSpaceDN w:val="0"/>
        <w:spacing w:line="360" w:lineRule="auto"/>
        <w:ind w:firstLine="480" w:firstLineChars="200"/>
        <w:rPr>
          <w:rFonts w:hAnsi="宋体"/>
          <w:sz w:val="24"/>
        </w:rPr>
      </w:pPr>
      <w:r>
        <w:rPr>
          <w:rFonts w:hint="eastAsia" w:hAnsi="宋体"/>
          <w:sz w:val="24"/>
        </w:rPr>
        <w:t>5、固体废物的监理</w:t>
      </w:r>
    </w:p>
    <w:p>
      <w:pPr>
        <w:autoSpaceDE w:val="0"/>
        <w:autoSpaceDN w:val="0"/>
        <w:spacing w:line="360" w:lineRule="auto"/>
        <w:ind w:firstLine="480" w:firstLineChars="200"/>
        <w:rPr>
          <w:rFonts w:hAnsi="宋体"/>
          <w:sz w:val="24"/>
        </w:rPr>
      </w:pPr>
      <w:r>
        <w:rPr>
          <w:rFonts w:hint="eastAsia" w:hAnsi="宋体"/>
          <w:sz w:val="24"/>
        </w:rPr>
        <w:t>监督检查建筑工地垃圾是否按规定进行妥善处置是否按规定进行处置。固体废物处理包括生活垃圾和建筑垃圾的处理，使施工现场尽量做到清洁有序。</w:t>
      </w:r>
    </w:p>
    <w:p>
      <w:pPr>
        <w:autoSpaceDE w:val="0"/>
        <w:autoSpaceDN w:val="0"/>
        <w:spacing w:line="360" w:lineRule="auto"/>
        <w:ind w:firstLine="480" w:firstLineChars="200"/>
        <w:rPr>
          <w:rFonts w:hAnsi="宋体"/>
          <w:sz w:val="24"/>
        </w:rPr>
      </w:pPr>
      <w:r>
        <w:rPr>
          <w:rFonts w:hint="eastAsia" w:hAnsi="宋体"/>
          <w:sz w:val="24"/>
        </w:rPr>
        <w:t>6、运输车辆的管理</w:t>
      </w:r>
    </w:p>
    <w:p>
      <w:pPr>
        <w:autoSpaceDE w:val="0"/>
        <w:autoSpaceDN w:val="0"/>
        <w:spacing w:line="360" w:lineRule="auto"/>
        <w:ind w:firstLine="480" w:firstLineChars="200"/>
        <w:rPr>
          <w:rFonts w:hAnsi="宋体"/>
          <w:sz w:val="24"/>
        </w:rPr>
      </w:pPr>
      <w:r>
        <w:rPr>
          <w:rFonts w:hint="eastAsia" w:hAnsi="宋体"/>
          <w:sz w:val="24"/>
        </w:rPr>
        <w:t>施工单位应加强运输车辆管理，施工车辆尽量安排在昼间，在夜间施工时，要采取减速缓行、禁止鸣笛等措施，减少噪声对沿线居民的影响。在一周内收到关于同一噪声源的4起以上投诉，施工单位应立即检讨工作方法与所用机械，并采取有效措施减缓噪声干扰。</w:t>
      </w:r>
    </w:p>
    <w:p>
      <w:pPr>
        <w:autoSpaceDE w:val="0"/>
        <w:autoSpaceDN w:val="0"/>
        <w:spacing w:line="360" w:lineRule="auto"/>
        <w:ind w:firstLine="480" w:firstLineChars="200"/>
        <w:rPr>
          <w:rFonts w:ascii="宋体" w:hAnsi="宋体"/>
          <w:sz w:val="24"/>
        </w:rPr>
      </w:pPr>
      <w:r>
        <w:rPr>
          <w:rFonts w:hint="eastAsia" w:hAnsi="宋体"/>
          <w:sz w:val="24"/>
        </w:rPr>
        <w:t>车辆运输不宜装载过满，以控制散落，对受影响的施工场地进出口路段及施工便道由施工单位组织清扫积尘，并洒水抑尘，以防止扬</w:t>
      </w:r>
      <w:r>
        <w:rPr>
          <w:rFonts w:hint="eastAsia" w:ascii="宋体" w:hAnsi="宋体"/>
          <w:sz w:val="24"/>
        </w:rPr>
        <w:t>尘对沿线环境造成影响。</w:t>
      </w:r>
    </w:p>
    <w:p>
      <w:pPr>
        <w:pStyle w:val="6"/>
        <w:tabs>
          <w:tab w:val="left" w:pos="1006"/>
          <w:tab w:val="clear" w:pos="1290"/>
        </w:tabs>
        <w:spacing w:beforeLines="0" w:afterLines="0"/>
        <w:ind w:left="0" w:firstLine="0"/>
      </w:pPr>
      <w:r>
        <w:rPr>
          <w:rFonts w:hint="eastAsia"/>
        </w:rPr>
        <w:t>施工后期环境监理</w:t>
      </w:r>
    </w:p>
    <w:p>
      <w:pPr>
        <w:autoSpaceDE w:val="0"/>
        <w:autoSpaceDN w:val="0"/>
        <w:adjustRightInd w:val="0"/>
        <w:spacing w:line="360" w:lineRule="auto"/>
        <w:ind w:firstLine="480" w:firstLineChars="200"/>
        <w:rPr>
          <w:rFonts w:hAnsi="宋体"/>
          <w:sz w:val="24"/>
        </w:rPr>
      </w:pPr>
      <w:r>
        <w:rPr>
          <w:rFonts w:hint="eastAsia" w:hAnsi="宋体"/>
          <w:sz w:val="24"/>
        </w:rPr>
        <w:t>监督管理环境恢复计划的落实情况及环保处理设施运行情况。检查生态恢复和污染防治措施的落实情况。参与环境工程验收活动，协助建设单位组织人员的环境保护培训，负责工程环境监理工作计划和总结。</w:t>
      </w:r>
    </w:p>
    <w:p>
      <w:pPr>
        <w:pStyle w:val="5"/>
        <w:tabs>
          <w:tab w:val="left" w:pos="720"/>
        </w:tabs>
        <w:spacing w:before="48" w:beforeLines="20" w:after="48" w:line="360" w:lineRule="auto"/>
        <w:ind w:left="0" w:firstLine="0"/>
        <w:rPr>
          <w:rFonts w:ascii="宋体" w:hAnsi="宋体" w:eastAsia="宋体"/>
          <w:b/>
          <w:sz w:val="28"/>
          <w:szCs w:val="28"/>
        </w:rPr>
      </w:pPr>
      <w:bookmarkStart w:id="288" w:name="_Toc442195789"/>
      <w:r>
        <w:rPr>
          <w:rFonts w:hint="eastAsia" w:ascii="宋体" w:hAnsi="宋体" w:eastAsia="宋体"/>
          <w:b/>
          <w:sz w:val="28"/>
          <w:szCs w:val="28"/>
        </w:rPr>
        <w:t>监理效果要求</w:t>
      </w:r>
      <w:bookmarkEnd w:id="288"/>
    </w:p>
    <w:p>
      <w:pPr>
        <w:autoSpaceDE w:val="0"/>
        <w:autoSpaceDN w:val="0"/>
        <w:spacing w:line="360" w:lineRule="auto"/>
        <w:ind w:firstLine="480" w:firstLineChars="200"/>
        <w:rPr>
          <w:rFonts w:hAnsi="宋体"/>
          <w:sz w:val="24"/>
        </w:rPr>
      </w:pPr>
      <w:r>
        <w:rPr>
          <w:rFonts w:hint="eastAsia" w:hAnsi="宋体"/>
          <w:sz w:val="24"/>
        </w:rPr>
        <w:t>（</w:t>
      </w:r>
      <w:r>
        <w:rPr>
          <w:rFonts w:hAnsi="宋体"/>
          <w:sz w:val="24"/>
        </w:rPr>
        <w:t>1</w:t>
      </w:r>
      <w:r>
        <w:rPr>
          <w:rFonts w:hint="eastAsia" w:hAnsi="宋体"/>
          <w:sz w:val="24"/>
        </w:rPr>
        <w:t>）加强对施工单位的环境监理工作，以规范施工行为，使得生态、景观环境破坏和施工过程污染物的排放得以有效地控制，以利环保部门对工程施工过程中环保监督管理。</w:t>
      </w:r>
    </w:p>
    <w:p>
      <w:pPr>
        <w:autoSpaceDE w:val="0"/>
        <w:autoSpaceDN w:val="0"/>
        <w:spacing w:line="360" w:lineRule="auto"/>
        <w:ind w:firstLine="480" w:firstLineChars="200"/>
        <w:rPr>
          <w:rFonts w:hAnsi="宋体"/>
          <w:sz w:val="24"/>
        </w:rPr>
      </w:pPr>
      <w:r>
        <w:rPr>
          <w:rFonts w:hint="eastAsia" w:hAnsi="宋体"/>
          <w:sz w:val="24"/>
        </w:rPr>
        <w:t>（</w:t>
      </w:r>
      <w:r>
        <w:rPr>
          <w:rFonts w:hAnsi="宋体"/>
          <w:sz w:val="24"/>
        </w:rPr>
        <w:t>2</w:t>
      </w:r>
      <w:r>
        <w:rPr>
          <w:rFonts w:hint="eastAsia" w:hAnsi="宋体"/>
          <w:sz w:val="24"/>
        </w:rPr>
        <w:t>）负责控制与主体工程质量相关的有关环保措施，对施工监理工作起到补充、监督、指导作用。</w:t>
      </w:r>
    </w:p>
    <w:p>
      <w:pPr>
        <w:autoSpaceDE w:val="0"/>
        <w:autoSpaceDN w:val="0"/>
        <w:spacing w:line="360" w:lineRule="auto"/>
        <w:ind w:firstLine="480" w:firstLineChars="200"/>
        <w:rPr>
          <w:rFonts w:hAnsi="宋体"/>
          <w:sz w:val="24"/>
        </w:rPr>
      </w:pPr>
      <w:r>
        <w:rPr>
          <w:rFonts w:hint="eastAsia" w:hAnsi="宋体"/>
          <w:sz w:val="24"/>
        </w:rPr>
        <w:t>（</w:t>
      </w:r>
      <w:r>
        <w:rPr>
          <w:rFonts w:hAnsi="宋体"/>
          <w:sz w:val="24"/>
        </w:rPr>
        <w:t>3</w:t>
      </w:r>
      <w:r>
        <w:rPr>
          <w:rFonts w:hint="eastAsia" w:hAnsi="宋体"/>
          <w:sz w:val="24"/>
        </w:rPr>
        <w:t>）与环保主管部门一道，贯彻和落实国家和沿线省、市有关环保政策法规，充分发挥出第三方监理的作用。</w:t>
      </w:r>
    </w:p>
    <w:p>
      <w:pPr>
        <w:pStyle w:val="3"/>
        <w:tabs>
          <w:tab w:val="left" w:pos="1144"/>
          <w:tab w:val="clear" w:pos="3695"/>
        </w:tabs>
        <w:spacing w:before="120" w:after="120"/>
        <w:ind w:left="567"/>
        <w:rPr>
          <w:color w:val="000000" w:themeColor="text1"/>
          <w14:textFill>
            <w14:solidFill>
              <w14:schemeClr w14:val="tx1"/>
            </w14:solidFill>
          </w14:textFill>
        </w:rPr>
      </w:pPr>
      <w:r>
        <w:rPr>
          <w:color w:val="000000" w:themeColor="text1"/>
          <w14:textFill>
            <w14:solidFill>
              <w14:schemeClr w14:val="tx1"/>
            </w14:solidFill>
          </w14:textFill>
        </w:rPr>
        <w:t>风险</w:t>
      </w:r>
      <w:r>
        <w:rPr>
          <w:rFonts w:hint="eastAsia"/>
          <w:color w:val="000000" w:themeColor="text1"/>
          <w14:textFill>
            <w14:solidFill>
              <w14:schemeClr w14:val="tx1"/>
            </w14:solidFill>
          </w14:textFill>
        </w:rPr>
        <w:t>管理与</w:t>
      </w:r>
      <w:r>
        <w:rPr>
          <w:color w:val="000000" w:themeColor="text1"/>
          <w14:textFill>
            <w14:solidFill>
              <w14:schemeClr w14:val="tx1"/>
            </w14:solidFill>
          </w14:textFill>
        </w:rPr>
        <w:t>应急预案</w:t>
      </w:r>
    </w:p>
    <w:p>
      <w:pPr>
        <w:pStyle w:val="5"/>
        <w:tabs>
          <w:tab w:val="left" w:pos="709"/>
          <w:tab w:val="clear" w:pos="2138"/>
        </w:tabs>
        <w:spacing w:before="120" w:after="48"/>
        <w:ind w:left="0" w:firstLine="0"/>
        <w:rPr>
          <w:color w:val="000000" w:themeColor="text1"/>
          <w14:textFill>
            <w14:solidFill>
              <w14:schemeClr w14:val="tx1"/>
            </w14:solidFill>
          </w14:textFill>
        </w:rPr>
      </w:pPr>
      <w:r>
        <w:rPr>
          <w:rFonts w:hint="eastAsia"/>
          <w:color w:val="000000" w:themeColor="text1"/>
          <w14:textFill>
            <w14:solidFill>
              <w14:schemeClr w14:val="tx1"/>
            </w14:solidFill>
          </w14:textFill>
        </w:rPr>
        <w:t>区域应急系统建设</w:t>
      </w:r>
    </w:p>
    <w:p>
      <w:pPr>
        <w:pStyle w:val="6"/>
        <w:tabs>
          <w:tab w:val="left" w:pos="851"/>
          <w:tab w:val="clear" w:pos="1290"/>
        </w:tabs>
        <w:spacing w:before="48" w:after="48"/>
        <w:ind w:left="0" w:firstLine="0"/>
        <w:rPr>
          <w:color w:val="000000" w:themeColor="text1"/>
          <w14:textFill>
            <w14:solidFill>
              <w14:schemeClr w14:val="tx1"/>
            </w14:solidFill>
          </w14:textFill>
        </w:rPr>
      </w:pPr>
      <w:r>
        <w:rPr>
          <w:rFonts w:hint="eastAsia"/>
          <w:color w:val="000000" w:themeColor="text1"/>
          <w14:textFill>
            <w14:solidFill>
              <w14:schemeClr w14:val="tx1"/>
            </w14:solidFill>
          </w14:textFill>
        </w:rPr>
        <w:t>交通部门应急预案</w:t>
      </w:r>
    </w:p>
    <w:p>
      <w:pPr>
        <w:numPr>
          <w:ilvl w:val="0"/>
          <w:numId w:val="29"/>
        </w:numPr>
        <w:tabs>
          <w:tab w:val="left" w:pos="851"/>
          <w:tab w:val="left" w:pos="960"/>
        </w:tabs>
        <w:adjustRightInd w:val="0"/>
        <w:snapToGrid w:val="0"/>
        <w:spacing w:line="360" w:lineRule="auto"/>
        <w:ind w:left="0" w:firstLine="480" w:firstLineChars="200"/>
        <w:jc w:val="left"/>
        <w:rPr>
          <w:rFonts w:ascii="宋体" w:hAnsi="宋体"/>
          <w:snapToGrid w:val="0"/>
          <w:color w:val="000000" w:themeColor="text1"/>
          <w:kern w:val="0"/>
          <w:sz w:val="24"/>
          <w14:textFill>
            <w14:solidFill>
              <w14:schemeClr w14:val="tx1"/>
            </w14:solidFill>
          </w14:textFill>
        </w:rPr>
      </w:pPr>
      <w:r>
        <w:rPr>
          <w:rFonts w:hint="eastAsia" w:ascii="宋体" w:hAnsi="宋体"/>
          <w:snapToGrid w:val="0"/>
          <w:color w:val="000000" w:themeColor="text1"/>
          <w:kern w:val="0"/>
          <w:sz w:val="24"/>
          <w14:textFill>
            <w14:solidFill>
              <w14:schemeClr w14:val="tx1"/>
            </w14:solidFill>
          </w14:textFill>
        </w:rPr>
        <w:t>长江海事局应急体系</w:t>
      </w:r>
    </w:p>
    <w:p>
      <w:pPr>
        <w:adjustRightInd w:val="0"/>
        <w:snapToGrid w:val="0"/>
        <w:spacing w:line="360" w:lineRule="auto"/>
        <w:ind w:firstLine="200"/>
        <w:jc w:val="left"/>
        <w:rPr>
          <w:rFonts w:ascii="黑体" w:hAnsi="宋体" w:eastAsia="黑体" w:cs="宋体"/>
          <w:color w:val="000000" w:themeColor="text1"/>
          <w:kern w:val="0"/>
          <w:sz w:val="24"/>
          <w14:textFill>
            <w14:solidFill>
              <w14:schemeClr w14:val="tx1"/>
            </w14:solidFill>
          </w14:textFill>
        </w:rPr>
      </w:pPr>
      <w:r>
        <w:rPr>
          <w:rFonts w:hint="eastAsia" w:ascii="宋体" w:hAnsi="宋体"/>
          <w:color w:val="000000" w:themeColor="text1"/>
          <w:sz w:val="24"/>
          <w14:textFill>
            <w14:solidFill>
              <w14:schemeClr w14:val="tx1"/>
            </w14:solidFill>
          </w14:textFill>
        </w:rPr>
        <w:t>为建立健全长江海事局水上搜救应急体系和反应机制，明确各级海事机构水上应急救助职责和应急响应程序，规范应急救助行为，提高应急救助能力，迅速、有序、高效地组织水上应急反应行动，控制水上突发事件扩展，最大限度地预防和减少水上突发事件及其造成的损害，保障人民群众生命财产安全</w:t>
      </w:r>
      <w:r>
        <w:rPr>
          <w:rFonts w:hAnsi="宋体"/>
          <w:snapToGrid w:val="0"/>
          <w:color w:val="000000" w:themeColor="text1"/>
          <w:kern w:val="0"/>
          <w:sz w:val="24"/>
          <w14:textFill>
            <w14:solidFill>
              <w14:schemeClr w14:val="tx1"/>
            </w14:solidFill>
          </w14:textFill>
        </w:rPr>
        <w:t>长江海事局编制了</w:t>
      </w:r>
      <w:r>
        <w:rPr>
          <w:color w:val="000000" w:themeColor="text1"/>
          <w:sz w:val="24"/>
          <w14:textFill>
            <w14:solidFill>
              <w14:schemeClr w14:val="tx1"/>
            </w14:solidFill>
          </w14:textFill>
        </w:rPr>
        <w:t>《长江海事局水上搜救应急预案》（2008年7月），</w:t>
      </w:r>
      <w:r>
        <w:rPr>
          <w:rFonts w:hint="eastAsia"/>
          <w:color w:val="000000" w:themeColor="text1"/>
          <w:sz w:val="24"/>
          <w14:textFill>
            <w14:solidFill>
              <w14:schemeClr w14:val="tx1"/>
            </w14:solidFill>
          </w14:textFill>
        </w:rPr>
        <w:t>主要内容</w:t>
      </w:r>
      <w:r>
        <w:rPr>
          <w:rFonts w:hint="eastAsia" w:ascii="宋体" w:hAnsi="宋体"/>
          <w:color w:val="000000" w:themeColor="text1"/>
          <w:sz w:val="24"/>
          <w14:textFill>
            <w14:solidFill>
              <w14:schemeClr w14:val="tx1"/>
            </w14:solidFill>
          </w14:textFill>
        </w:rPr>
        <w:t>包括组织体系、预防预警、水上突发事件险情分级与报送、应急响应、现场处置、后期处置及应急保障等7个主要方面。</w:t>
      </w:r>
      <w:r>
        <w:rPr>
          <w:rFonts w:hint="eastAsia"/>
          <w:color w:val="000000" w:themeColor="text1"/>
          <w:sz w:val="24"/>
          <w14:textFill>
            <w14:solidFill>
              <w14:schemeClr w14:val="tx1"/>
            </w14:solidFill>
          </w14:textFill>
        </w:rPr>
        <w:t>该应急预案组织体系及应急体系</w:t>
      </w:r>
      <w:r>
        <w:rPr>
          <w:rFonts w:hint="eastAsia" w:ascii="宋体" w:hAnsi="宋体"/>
          <w:snapToGrid w:val="0"/>
          <w:color w:val="000000" w:themeColor="text1"/>
          <w:kern w:val="0"/>
          <w:sz w:val="24"/>
          <w14:textFill>
            <w14:solidFill>
              <w14:schemeClr w14:val="tx1"/>
            </w14:solidFill>
          </w14:textFill>
        </w:rPr>
        <w:t>，具体见图8.5-1及图8.5-2。</w:t>
      </w:r>
    </w:p>
    <w:p>
      <w:pPr>
        <w:adjustRightInd w:val="0"/>
        <w:snapToGrid w:val="0"/>
        <w:spacing w:line="360" w:lineRule="auto"/>
        <w:ind w:firstLine="480" w:firstLineChars="200"/>
        <w:jc w:val="left"/>
        <w:rPr>
          <w:rFonts w:ascii="宋体" w:hAnsi="宋体"/>
          <w:snapToGrid w:val="0"/>
          <w:color w:val="000000" w:themeColor="text1"/>
          <w:kern w:val="0"/>
          <w:sz w:val="24"/>
          <w14:textFill>
            <w14:solidFill>
              <w14:schemeClr w14:val="tx1"/>
            </w14:solidFill>
          </w14:textFill>
        </w:rPr>
      </w:pPr>
    </w:p>
    <w:p>
      <w:pPr>
        <w:adjustRightInd w:val="0"/>
        <w:snapToGrid w:val="0"/>
        <w:jc w:val="center"/>
        <w:rPr>
          <w:rFonts w:ascii="黑体" w:hAnsi="宋体" w:eastAsia="黑体" w:cs="宋体"/>
          <w:color w:val="000000" w:themeColor="text1"/>
          <w:kern w:val="0"/>
          <w14:textFill>
            <w14:solidFill>
              <w14:schemeClr w14:val="tx1"/>
            </w14:solidFill>
          </w14:textFill>
        </w:rPr>
      </w:pPr>
      <w:r>
        <w:rPr>
          <w:rFonts w:ascii="黑体" w:hAnsi="宋体" w:eastAsia="黑体" w:cs="宋体"/>
          <w:color w:val="000000" w:themeColor="text1"/>
          <w:kern w:val="0"/>
          <w14:textFill>
            <w14:solidFill>
              <w14:schemeClr w14:val="tx1"/>
            </w14:solidFill>
          </w14:textFill>
        </w:rPr>
        <w:drawing>
          <wp:inline distT="0" distB="0" distL="0" distR="0">
            <wp:extent cx="4848225" cy="300990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4848225" cy="3009900"/>
                    </a:xfrm>
                    <a:prstGeom prst="rect">
                      <a:avLst/>
                    </a:prstGeom>
                    <a:noFill/>
                    <a:ln>
                      <a:noFill/>
                    </a:ln>
                  </pic:spPr>
                </pic:pic>
              </a:graphicData>
            </a:graphic>
          </wp:inline>
        </w:drawing>
      </w:r>
    </w:p>
    <w:p>
      <w:pPr>
        <w:adjustRightInd w:val="0"/>
        <w:snapToGrid w:val="0"/>
        <w:ind w:firstLine="420" w:firstLineChars="200"/>
        <w:jc w:val="center"/>
        <w:rPr>
          <w:rFonts w:ascii="黑体" w:hAnsi="宋体" w:eastAsia="黑体" w:cs="宋体"/>
          <w:color w:val="000000" w:themeColor="text1"/>
          <w:kern w:val="0"/>
          <w14:textFill>
            <w14:solidFill>
              <w14:schemeClr w14:val="tx1"/>
            </w14:solidFill>
          </w14:textFill>
        </w:rPr>
      </w:pPr>
      <w:r>
        <w:rPr>
          <w:rFonts w:hint="eastAsia" w:ascii="黑体" w:hAnsi="宋体" w:eastAsia="黑体"/>
          <w:color w:val="000000" w:themeColor="text1"/>
          <w14:textFill>
            <w14:solidFill>
              <w14:schemeClr w14:val="tx1"/>
            </w14:solidFill>
          </w14:textFill>
        </w:rPr>
        <w:t>图8.5-1组织体系框架图</w:t>
      </w:r>
    </w:p>
    <w:p>
      <w:pPr>
        <w:adjustRightInd w:val="0"/>
        <w:snapToGrid w:val="0"/>
        <w:ind w:firstLine="420" w:firstLineChars="200"/>
        <w:jc w:val="center"/>
        <w:rPr>
          <w:rFonts w:ascii="黑体" w:hAnsi="宋体" w:eastAsia="黑体" w:cs="宋体"/>
          <w:color w:val="000000" w:themeColor="text1"/>
          <w:kern w:val="0"/>
          <w14:textFill>
            <w14:solidFill>
              <w14:schemeClr w14:val="tx1"/>
            </w14:solidFill>
          </w14:textFill>
        </w:rPr>
      </w:pPr>
      <w:r>
        <w:rPr>
          <w:rFonts w:ascii="黑体" w:hAnsi="宋体" w:eastAsia="黑体" w:cs="宋体"/>
          <w:color w:val="000000" w:themeColor="text1"/>
          <w:kern w:val="0"/>
          <w14:textFill>
            <w14:solidFill>
              <w14:schemeClr w14:val="tx1"/>
            </w14:solidFill>
          </w14:textFill>
        </w:rPr>
        <w:object>
          <v:shape id="_x0000_i1060" o:spt="75" type="#_x0000_t75" style="height:279.75pt;width:383.25pt;" o:ole="t" filled="f" o:preferrelative="t" stroked="f" coordsize="21600,21600">
            <v:path/>
            <v:fill on="f" focussize="0,0"/>
            <v:stroke on="f" joinstyle="miter"/>
            <v:imagedata r:id="rId148" o:title=""/>
            <o:lock v:ext="edit" aspectratio="t"/>
            <w10:wrap type="none"/>
            <w10:anchorlock/>
          </v:shape>
          <o:OLEObject Type="Embed" ProgID="Visio.Drawing.11" ShapeID="_x0000_i1060" DrawAspect="Content" ObjectID="_1468075762" r:id="rId147"/>
        </w:object>
      </w:r>
    </w:p>
    <w:p>
      <w:pPr>
        <w:adjustRightInd w:val="0"/>
        <w:snapToGrid w:val="0"/>
        <w:spacing w:line="360" w:lineRule="auto"/>
        <w:ind w:firstLine="480" w:firstLineChars="200"/>
        <w:jc w:val="center"/>
        <w:rPr>
          <w:rFonts w:ascii="黑体" w:hAnsi="宋体" w:eastAsia="黑体" w:cs="宋体"/>
          <w:color w:val="000000" w:themeColor="text1"/>
          <w:kern w:val="0"/>
          <w:sz w:val="24"/>
          <w14:textFill>
            <w14:solidFill>
              <w14:schemeClr w14:val="tx1"/>
            </w14:solidFill>
          </w14:textFill>
        </w:rPr>
      </w:pPr>
      <w:r>
        <w:rPr>
          <w:rFonts w:hint="eastAsia" w:ascii="黑体" w:hAnsi="宋体" w:eastAsia="黑体" w:cs="宋体"/>
          <w:color w:val="000000" w:themeColor="text1"/>
          <w:kern w:val="0"/>
          <w:sz w:val="24"/>
          <w14:textFill>
            <w14:solidFill>
              <w14:schemeClr w14:val="tx1"/>
            </w14:solidFill>
          </w14:textFill>
        </w:rPr>
        <w:t>图8.5-2 长江海事局应急体系</w:t>
      </w:r>
    </w:p>
    <w:p>
      <w:pPr>
        <w:numPr>
          <w:ilvl w:val="0"/>
          <w:numId w:val="29"/>
        </w:numPr>
        <w:tabs>
          <w:tab w:val="left" w:pos="709"/>
          <w:tab w:val="left" w:pos="960"/>
          <w:tab w:val="left" w:pos="2749"/>
        </w:tabs>
        <w:adjustRightInd w:val="0"/>
        <w:snapToGrid w:val="0"/>
        <w:spacing w:before="60" w:after="60" w:line="360" w:lineRule="auto"/>
        <w:ind w:left="0" w:firstLine="200"/>
        <w:jc w:val="left"/>
        <w:rPr>
          <w:rFonts w:ascii="宋体" w:hAnsi="宋体"/>
          <w:snapToGrid w:val="0"/>
          <w:color w:val="000000" w:themeColor="text1"/>
          <w:kern w:val="0"/>
          <w:sz w:val="24"/>
          <w14:textFill>
            <w14:solidFill>
              <w14:schemeClr w14:val="tx1"/>
            </w14:solidFill>
          </w14:textFill>
        </w:rPr>
      </w:pPr>
      <w:r>
        <w:rPr>
          <w:rFonts w:hint="eastAsia" w:ascii="宋体" w:hAnsi="宋体"/>
          <w:snapToGrid w:val="0"/>
          <w:color w:val="000000" w:themeColor="text1"/>
          <w:kern w:val="0"/>
          <w:sz w:val="24"/>
          <w14:textFill>
            <w14:solidFill>
              <w14:schemeClr w14:val="tx1"/>
            </w14:solidFill>
          </w14:textFill>
        </w:rPr>
        <w:t>长江航务管理局应急体系</w:t>
      </w:r>
    </w:p>
    <w:p>
      <w:pPr>
        <w:adjustRightInd w:val="0"/>
        <w:snapToGrid w:val="0"/>
        <w:spacing w:line="360" w:lineRule="auto"/>
        <w:ind w:firstLine="480" w:firstLineChars="200"/>
        <w:jc w:val="left"/>
        <w:rPr>
          <w:snapToGrid w:val="0"/>
          <w:color w:val="000000" w:themeColor="text1"/>
          <w:kern w:val="0"/>
          <w14:textFill>
            <w14:solidFill>
              <w14:schemeClr w14:val="tx1"/>
            </w14:solidFill>
          </w14:textFill>
        </w:rPr>
      </w:pPr>
      <w:r>
        <w:rPr>
          <w:rFonts w:hAnsi="宋体"/>
          <w:snapToGrid w:val="0"/>
          <w:color w:val="000000" w:themeColor="text1"/>
          <w:kern w:val="0"/>
          <w:sz w:val="24"/>
          <w14:textFill>
            <w14:solidFill>
              <w14:schemeClr w14:val="tx1"/>
            </w14:solidFill>
          </w14:textFill>
        </w:rPr>
        <w:t>为有效预防和应对长江航运突发事件，控制、减轻和消除长江航运突发事件引起的严重危害，及时恢复长江航运秩序，避免对沿江经济社会运行造成不良影响，交通运输部长江航务管理局编制了《长江航运突发事件应急预案》，包括（</w:t>
      </w:r>
      <w:r>
        <w:rPr>
          <w:snapToGrid w:val="0"/>
          <w:color w:val="000000" w:themeColor="text1"/>
          <w:kern w:val="0"/>
          <w:sz w:val="24"/>
          <w14:textFill>
            <w14:solidFill>
              <w14:schemeClr w14:val="tx1"/>
            </w14:solidFill>
          </w14:textFill>
        </w:rPr>
        <w:t>1</w:t>
      </w:r>
      <w:r>
        <w:rPr>
          <w:rFonts w:hAnsi="宋体"/>
          <w:snapToGrid w:val="0"/>
          <w:color w:val="000000" w:themeColor="text1"/>
          <w:kern w:val="0"/>
          <w:sz w:val="24"/>
          <w14:textFill>
            <w14:solidFill>
              <w14:schemeClr w14:val="tx1"/>
            </w14:solidFill>
          </w14:textFill>
        </w:rPr>
        <w:t>）长江航运突发事件应急预案；（</w:t>
      </w:r>
      <w:r>
        <w:rPr>
          <w:snapToGrid w:val="0"/>
          <w:color w:val="000000" w:themeColor="text1"/>
          <w:kern w:val="0"/>
          <w:sz w:val="24"/>
          <w14:textFill>
            <w14:solidFill>
              <w14:schemeClr w14:val="tx1"/>
            </w14:solidFill>
          </w14:textFill>
        </w:rPr>
        <w:t>2</w:t>
      </w:r>
      <w:r>
        <w:rPr>
          <w:rFonts w:hAnsi="宋体"/>
          <w:snapToGrid w:val="0"/>
          <w:color w:val="000000" w:themeColor="text1"/>
          <w:kern w:val="0"/>
          <w:sz w:val="24"/>
          <w14:textFill>
            <w14:solidFill>
              <w14:schemeClr w14:val="tx1"/>
            </w14:solidFill>
          </w14:textFill>
        </w:rPr>
        <w:t>）长航局及局属单位突发事件专项预案；（</w:t>
      </w:r>
      <w:r>
        <w:rPr>
          <w:snapToGrid w:val="0"/>
          <w:color w:val="000000" w:themeColor="text1"/>
          <w:kern w:val="0"/>
          <w:sz w:val="24"/>
          <w14:textFill>
            <w14:solidFill>
              <w14:schemeClr w14:val="tx1"/>
            </w14:solidFill>
          </w14:textFill>
        </w:rPr>
        <w:t>3</w:t>
      </w:r>
      <w:r>
        <w:rPr>
          <w:rFonts w:hAnsi="宋体"/>
          <w:snapToGrid w:val="0"/>
          <w:color w:val="000000" w:themeColor="text1"/>
          <w:kern w:val="0"/>
          <w:sz w:val="24"/>
          <w14:textFill>
            <w14:solidFill>
              <w14:schemeClr w14:val="tx1"/>
            </w14:solidFill>
          </w14:textFill>
        </w:rPr>
        <w:t>）局属单位分支机构和港航企业突发事件应急预案；（</w:t>
      </w:r>
      <w:r>
        <w:rPr>
          <w:snapToGrid w:val="0"/>
          <w:color w:val="000000" w:themeColor="text1"/>
          <w:kern w:val="0"/>
          <w:sz w:val="24"/>
          <w14:textFill>
            <w14:solidFill>
              <w14:schemeClr w14:val="tx1"/>
            </w14:solidFill>
          </w14:textFill>
        </w:rPr>
        <w:t>4</w:t>
      </w:r>
      <w:r>
        <w:rPr>
          <w:rFonts w:hAnsi="宋体"/>
          <w:snapToGrid w:val="0"/>
          <w:color w:val="000000" w:themeColor="text1"/>
          <w:kern w:val="0"/>
          <w:sz w:val="24"/>
          <w14:textFill>
            <w14:solidFill>
              <w14:schemeClr w14:val="tx1"/>
            </w14:solidFill>
          </w14:textFill>
        </w:rPr>
        <w:t>）地方的水路交通突发事件应急预案及各专项预案。</w:t>
      </w:r>
      <w:r>
        <w:rPr>
          <w:color w:val="000000" w:themeColor="text1"/>
          <w:sz w:val="24"/>
          <w14:textFill>
            <w14:solidFill>
              <w14:schemeClr w14:val="tx1"/>
            </w14:solidFill>
          </w14:textFill>
        </w:rPr>
        <w:t>该应急预案组织体系及应急体系</w:t>
      </w:r>
      <w:r>
        <w:rPr>
          <w:rFonts w:hAnsi="宋体"/>
          <w:snapToGrid w:val="0"/>
          <w:color w:val="000000" w:themeColor="text1"/>
          <w:kern w:val="0"/>
          <w:sz w:val="24"/>
          <w14:textFill>
            <w14:solidFill>
              <w14:schemeClr w14:val="tx1"/>
            </w14:solidFill>
          </w14:textFill>
        </w:rPr>
        <w:t>，具体见图</w:t>
      </w:r>
      <w:r>
        <w:rPr>
          <w:rFonts w:hint="eastAsia"/>
          <w:snapToGrid w:val="0"/>
          <w:color w:val="000000" w:themeColor="text1"/>
          <w:kern w:val="0"/>
          <w:sz w:val="24"/>
          <w14:textFill>
            <w14:solidFill>
              <w14:schemeClr w14:val="tx1"/>
            </w14:solidFill>
          </w14:textFill>
        </w:rPr>
        <w:t>8.5-3</w:t>
      </w:r>
      <w:r>
        <w:rPr>
          <w:rFonts w:hAnsi="宋体"/>
          <w:snapToGrid w:val="0"/>
          <w:color w:val="000000" w:themeColor="text1"/>
          <w:kern w:val="0"/>
          <w:sz w:val="24"/>
          <w14:textFill>
            <w14:solidFill>
              <w14:schemeClr w14:val="tx1"/>
            </w14:solidFill>
          </w14:textFill>
        </w:rPr>
        <w:t>。</w:t>
      </w:r>
    </w:p>
    <w:p>
      <w:pPr>
        <w:adjustRightInd w:val="0"/>
        <w:snapToGrid w:val="0"/>
        <w:ind w:firstLine="420" w:firstLineChars="200"/>
        <w:jc w:val="center"/>
        <w:rPr>
          <w:rFonts w:ascii="宋体" w:hAnsi="宋体"/>
          <w:snapToGrid w:val="0"/>
          <w:color w:val="000000" w:themeColor="text1"/>
          <w:kern w:val="0"/>
          <w14:textFill>
            <w14:solidFill>
              <w14:schemeClr w14:val="tx1"/>
            </w14:solidFill>
          </w14:textFill>
        </w:rPr>
      </w:pPr>
    </w:p>
    <w:p>
      <w:pPr>
        <w:adjustRightInd w:val="0"/>
        <w:snapToGrid w:val="0"/>
        <w:ind w:firstLine="420" w:firstLineChars="200"/>
        <w:jc w:val="center"/>
        <w:rPr>
          <w:rFonts w:ascii="宋体" w:hAnsi="宋体"/>
          <w:snapToGrid w:val="0"/>
          <w:color w:val="000000" w:themeColor="text1"/>
          <w:kern w:val="0"/>
          <w14:textFill>
            <w14:solidFill>
              <w14:schemeClr w14:val="tx1"/>
            </w14:solidFill>
          </w14:textFill>
        </w:rPr>
      </w:pPr>
      <w:r>
        <w:rPr>
          <w:rFonts w:ascii="黑体" w:hAnsi="宋体" w:eastAsia="黑体"/>
          <w:color w:val="000000" w:themeColor="text1"/>
          <w:kern w:val="0"/>
          <w14:textFill>
            <w14:solidFill>
              <w14:schemeClr w14:val="tx1"/>
            </w14:solidFill>
          </w14:textFill>
        </w:rPr>
        <w:drawing>
          <wp:inline distT="0" distB="0" distL="0" distR="0">
            <wp:extent cx="4953000" cy="294322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953000" cy="2943225"/>
                    </a:xfrm>
                    <a:prstGeom prst="rect">
                      <a:avLst/>
                    </a:prstGeom>
                    <a:noFill/>
                    <a:ln>
                      <a:noFill/>
                    </a:ln>
                  </pic:spPr>
                </pic:pic>
              </a:graphicData>
            </a:graphic>
          </wp:inline>
        </w:drawing>
      </w:r>
    </w:p>
    <w:p>
      <w:pPr>
        <w:adjustRightInd w:val="0"/>
        <w:snapToGrid w:val="0"/>
        <w:ind w:left="1" w:firstLine="1"/>
        <w:jc w:val="center"/>
        <w:rPr>
          <w:rFonts w:eastAsia="仿宋_GB2312"/>
          <w:color w:val="000000" w:themeColor="text1"/>
          <w14:textFill>
            <w14:solidFill>
              <w14:schemeClr w14:val="tx1"/>
            </w14:solidFill>
          </w14:textFill>
        </w:rPr>
      </w:pPr>
      <w:r>
        <w:rPr>
          <w:b/>
          <w:color w:val="000000" w:themeColor="text1"/>
          <w14:textFill>
            <w14:solidFill>
              <w14:schemeClr w14:val="tx1"/>
            </w14:solidFill>
          </w14:textFill>
        </w:rPr>
        <w:t>图</w:t>
      </w:r>
      <w:r>
        <w:rPr>
          <w:rFonts w:hint="eastAsia"/>
          <w:b/>
          <w:color w:val="000000" w:themeColor="text1"/>
          <w14:textFill>
            <w14:solidFill>
              <w14:schemeClr w14:val="tx1"/>
            </w14:solidFill>
          </w14:textFill>
        </w:rPr>
        <w:t>8.5-3 长江干线水路交通</w:t>
      </w:r>
      <w:r>
        <w:rPr>
          <w:b/>
          <w:color w:val="000000" w:themeColor="text1"/>
          <w14:textFill>
            <w14:solidFill>
              <w14:schemeClr w14:val="tx1"/>
            </w14:solidFill>
          </w14:textFill>
        </w:rPr>
        <w:t>突发公共事件应急预案体系</w:t>
      </w:r>
    </w:p>
    <w:p>
      <w:pPr>
        <w:adjustRightInd w:val="0"/>
        <w:snapToGrid w:val="0"/>
        <w:spacing w:line="360" w:lineRule="auto"/>
        <w:ind w:firstLine="480" w:firstLineChars="200"/>
        <w:rPr>
          <w:rFonts w:hAnsi="宋体"/>
          <w:snapToGrid w:val="0"/>
          <w:color w:val="000000" w:themeColor="text1"/>
          <w:kern w:val="0"/>
          <w:sz w:val="24"/>
          <w14:textFill>
            <w14:solidFill>
              <w14:schemeClr w14:val="tx1"/>
            </w14:solidFill>
          </w14:textFill>
        </w:rPr>
      </w:pPr>
      <w:r>
        <w:rPr>
          <w:rFonts w:hint="eastAsia" w:hAnsi="宋体"/>
          <w:snapToGrid w:val="0"/>
          <w:color w:val="000000" w:themeColor="text1"/>
          <w:kern w:val="0"/>
          <w:sz w:val="24"/>
          <w14:textFill>
            <w14:solidFill>
              <w14:schemeClr w14:val="tx1"/>
            </w14:solidFill>
          </w14:textFill>
        </w:rPr>
        <w:t>三、长江水上交通安全监管和救助系统</w:t>
      </w:r>
    </w:p>
    <w:p>
      <w:pPr>
        <w:adjustRightInd w:val="0"/>
        <w:snapToGrid w:val="0"/>
        <w:spacing w:line="360" w:lineRule="auto"/>
        <w:ind w:firstLine="480" w:firstLineChars="200"/>
        <w:rPr>
          <w:rFonts w:hAnsi="宋体"/>
          <w:snapToGrid w:val="0"/>
          <w:color w:val="000000" w:themeColor="text1"/>
          <w:kern w:val="0"/>
          <w:sz w:val="24"/>
          <w14:textFill>
            <w14:solidFill>
              <w14:schemeClr w14:val="tx1"/>
            </w14:solidFill>
          </w14:textFill>
        </w:rPr>
      </w:pPr>
      <w:r>
        <w:rPr>
          <w:rFonts w:hAnsi="宋体"/>
          <w:snapToGrid w:val="0"/>
          <w:color w:val="000000" w:themeColor="text1"/>
          <w:kern w:val="0"/>
          <w:sz w:val="24"/>
          <w14:textFill>
            <w14:solidFill>
              <w14:schemeClr w14:val="tx1"/>
            </w14:solidFill>
          </w14:textFill>
        </w:rPr>
        <w:t>《国家水上交通安全监管和救助系统布局规划》</w:t>
      </w:r>
      <w:r>
        <w:rPr>
          <w:rFonts w:hint="eastAsia" w:hAnsi="宋体"/>
          <w:snapToGrid w:val="0"/>
          <w:color w:val="000000" w:themeColor="text1"/>
          <w:kern w:val="0"/>
          <w:sz w:val="24"/>
          <w14:textFill>
            <w14:solidFill>
              <w14:schemeClr w14:val="tx1"/>
            </w14:solidFill>
          </w14:textFill>
        </w:rPr>
        <w:t>(2005-2020)</w:t>
      </w:r>
      <w:r>
        <w:rPr>
          <w:rFonts w:hAnsi="宋体"/>
          <w:snapToGrid w:val="0"/>
          <w:color w:val="000000" w:themeColor="text1"/>
          <w:kern w:val="0"/>
          <w:sz w:val="24"/>
          <w14:textFill>
            <w14:solidFill>
              <w14:schemeClr w14:val="tx1"/>
            </w14:solidFill>
          </w14:textFill>
        </w:rPr>
        <w:t>由国家发展和改革委员会与交通部编制，并于</w:t>
      </w:r>
      <w:r>
        <w:rPr>
          <w:rFonts w:hint="eastAsia" w:hAnsi="宋体"/>
          <w:snapToGrid w:val="0"/>
          <w:color w:val="000000" w:themeColor="text1"/>
          <w:kern w:val="0"/>
          <w:sz w:val="24"/>
          <w14:textFill>
            <w14:solidFill>
              <w14:schemeClr w14:val="tx1"/>
            </w14:solidFill>
          </w14:textFill>
        </w:rPr>
        <w:t>2007</w:t>
      </w:r>
      <w:r>
        <w:rPr>
          <w:rFonts w:hAnsi="宋体"/>
          <w:snapToGrid w:val="0"/>
          <w:color w:val="000000" w:themeColor="text1"/>
          <w:kern w:val="0"/>
          <w:sz w:val="24"/>
          <w14:textFill>
            <w14:solidFill>
              <w14:schemeClr w14:val="tx1"/>
            </w14:solidFill>
          </w14:textFill>
        </w:rPr>
        <w:t>国务院批准。规划的地理范围是中央政府实施安全监管的水域，</w:t>
      </w:r>
      <w:r>
        <w:rPr>
          <w:rFonts w:hint="eastAsia" w:hAnsi="宋体"/>
          <w:snapToGrid w:val="0"/>
          <w:color w:val="000000" w:themeColor="text1"/>
          <w:kern w:val="0"/>
          <w:sz w:val="24"/>
          <w14:textFill>
            <w14:solidFill>
              <w14:schemeClr w14:val="tx1"/>
            </w14:solidFill>
          </w14:textFill>
        </w:rPr>
        <w:t>其中包括</w:t>
      </w:r>
      <w:r>
        <w:rPr>
          <w:rFonts w:hAnsi="宋体"/>
          <w:snapToGrid w:val="0"/>
          <w:color w:val="000000" w:themeColor="text1"/>
          <w:kern w:val="0"/>
          <w:sz w:val="24"/>
          <w14:textFill>
            <w14:solidFill>
              <w14:schemeClr w14:val="tx1"/>
            </w14:solidFill>
          </w14:textFill>
        </w:rPr>
        <w:t>长江干线宜宾以下2700千米通航水域。</w:t>
      </w:r>
      <w:r>
        <w:rPr>
          <w:rFonts w:hint="eastAsia" w:hAnsi="宋体"/>
          <w:snapToGrid w:val="0"/>
          <w:color w:val="000000" w:themeColor="text1"/>
          <w:kern w:val="0"/>
          <w:sz w:val="24"/>
          <w14:textFill>
            <w14:solidFill>
              <w14:schemeClr w14:val="tx1"/>
            </w14:solidFill>
          </w14:textFill>
        </w:rPr>
        <w:t>见表8.5-1、及图8.5-4、8.5-5。</w:t>
      </w:r>
    </w:p>
    <w:p>
      <w:pPr>
        <w:adjustRightInd w:val="0"/>
        <w:snapToGrid w:val="0"/>
        <w:ind w:firstLine="420" w:firstLineChars="200"/>
        <w:jc w:val="center"/>
        <w:rPr>
          <w:rFonts w:ascii="黑体" w:eastAsia="黑体" w:cs="宋体"/>
          <w:color w:val="000000" w:themeColor="text1"/>
          <w:w w:val="95"/>
          <w:kern w:val="0"/>
          <w14:textFill>
            <w14:solidFill>
              <w14:schemeClr w14:val="tx1"/>
            </w14:solidFill>
          </w14:textFill>
        </w:rPr>
      </w:pPr>
      <w:r>
        <w:rPr>
          <w:rFonts w:hint="eastAsia" w:ascii="黑体" w:eastAsia="黑体" w:cs="宋体"/>
          <w:color w:val="000000" w:themeColor="text1"/>
          <w:kern w:val="0"/>
          <w14:textFill>
            <w14:solidFill>
              <w14:schemeClr w14:val="tx1"/>
            </w14:solidFill>
          </w14:textFill>
        </w:rPr>
        <w:t>表8.5-1</w:t>
      </w:r>
      <w:r>
        <w:rPr>
          <w:rFonts w:hint="eastAsia" w:ascii="黑体" w:eastAsia="黑体" w:cs="宋体"/>
          <w:color w:val="000000" w:themeColor="text1"/>
          <w:w w:val="95"/>
          <w:kern w:val="0"/>
          <w14:textFill>
            <w14:solidFill>
              <w14:schemeClr w14:val="tx1"/>
            </w14:solidFill>
          </w14:textFill>
        </w:rPr>
        <w:t>国家水上交通安全监管和救助系统长江干线基地及主要装备布局表</w:t>
      </w:r>
    </w:p>
    <w:tbl>
      <w:tblPr>
        <w:tblStyle w:val="104"/>
        <w:tblW w:w="8379"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91"/>
        <w:gridCol w:w="1446"/>
        <w:gridCol w:w="2163"/>
        <w:gridCol w:w="2174"/>
        <w:gridCol w:w="180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blHeader/>
          <w:jc w:val="center"/>
        </w:trPr>
        <w:tc>
          <w:tcPr>
            <w:tcW w:w="791" w:type="dxa"/>
            <w:tcBorders>
              <w:top w:val="single" w:color="auto" w:sz="12" w:space="0"/>
              <w:bottom w:val="single" w:color="auto" w:sz="12" w:space="0"/>
            </w:tcBorders>
            <w:shd w:val="clear" w:color="auto" w:fill="auto"/>
            <w:vAlign w:val="center"/>
          </w:tcPr>
          <w:p>
            <w:pPr>
              <w:widowControl/>
              <w:spacing w:line="260" w:lineRule="exact"/>
              <w:jc w:val="center"/>
              <w:rPr>
                <w:rFonts w:ascii="黑体" w:eastAsia="黑体"/>
                <w:bCs/>
                <w:color w:val="000000" w:themeColor="text1"/>
                <w:kern w:val="0"/>
                <w:szCs w:val="21"/>
                <w14:textFill>
                  <w14:solidFill>
                    <w14:schemeClr w14:val="tx1"/>
                  </w14:solidFill>
                </w14:textFill>
              </w:rPr>
            </w:pPr>
            <w:r>
              <w:rPr>
                <w:rFonts w:hint="eastAsia" w:ascii="黑体" w:eastAsia="黑体"/>
                <w:bCs/>
                <w:color w:val="000000" w:themeColor="text1"/>
                <w:kern w:val="0"/>
                <w:szCs w:val="21"/>
                <w14:textFill>
                  <w14:solidFill>
                    <w14:schemeClr w14:val="tx1"/>
                  </w14:solidFill>
                </w14:textFill>
              </w:rPr>
              <w:t>序号</w:t>
            </w:r>
          </w:p>
        </w:tc>
        <w:tc>
          <w:tcPr>
            <w:tcW w:w="1446" w:type="dxa"/>
            <w:tcBorders>
              <w:top w:val="single" w:color="auto" w:sz="12" w:space="0"/>
              <w:bottom w:val="single" w:color="auto" w:sz="12" w:space="0"/>
            </w:tcBorders>
            <w:shd w:val="clear" w:color="auto" w:fill="auto"/>
            <w:vAlign w:val="center"/>
          </w:tcPr>
          <w:p>
            <w:pPr>
              <w:widowControl/>
              <w:spacing w:line="260" w:lineRule="exact"/>
              <w:jc w:val="center"/>
              <w:rPr>
                <w:rFonts w:ascii="黑体" w:eastAsia="黑体"/>
                <w:bCs/>
                <w:color w:val="000000" w:themeColor="text1"/>
                <w:kern w:val="0"/>
                <w:szCs w:val="21"/>
                <w14:textFill>
                  <w14:solidFill>
                    <w14:schemeClr w14:val="tx1"/>
                  </w14:solidFill>
                </w14:textFill>
              </w:rPr>
            </w:pPr>
            <w:r>
              <w:rPr>
                <w:rFonts w:hint="eastAsia" w:ascii="黑体" w:eastAsia="黑体"/>
                <w:bCs/>
                <w:color w:val="000000" w:themeColor="text1"/>
                <w:kern w:val="0"/>
                <w:szCs w:val="21"/>
                <w14:textFill>
                  <w14:solidFill>
                    <w14:schemeClr w14:val="tx1"/>
                  </w14:solidFill>
                </w14:textFill>
              </w:rPr>
              <w:t>风险程度</w:t>
            </w:r>
          </w:p>
        </w:tc>
        <w:tc>
          <w:tcPr>
            <w:tcW w:w="2163" w:type="dxa"/>
            <w:tcBorders>
              <w:top w:val="single" w:color="auto" w:sz="12" w:space="0"/>
              <w:bottom w:val="single" w:color="auto" w:sz="12" w:space="0"/>
            </w:tcBorders>
            <w:shd w:val="clear" w:color="auto" w:fill="auto"/>
            <w:vAlign w:val="center"/>
          </w:tcPr>
          <w:p>
            <w:pPr>
              <w:widowControl/>
              <w:spacing w:line="260" w:lineRule="exact"/>
              <w:jc w:val="center"/>
              <w:rPr>
                <w:rFonts w:ascii="黑体" w:eastAsia="黑体"/>
                <w:bCs/>
                <w:color w:val="000000" w:themeColor="text1"/>
                <w:kern w:val="0"/>
                <w:szCs w:val="21"/>
                <w14:textFill>
                  <w14:solidFill>
                    <w14:schemeClr w14:val="tx1"/>
                  </w14:solidFill>
                </w14:textFill>
              </w:rPr>
            </w:pPr>
            <w:r>
              <w:rPr>
                <w:rFonts w:hint="eastAsia" w:ascii="黑体" w:eastAsia="黑体"/>
                <w:bCs/>
                <w:color w:val="000000" w:themeColor="text1"/>
                <w:kern w:val="0"/>
                <w:szCs w:val="21"/>
                <w14:textFill>
                  <w14:solidFill>
                    <w14:schemeClr w14:val="tx1"/>
                  </w14:solidFill>
                </w14:textFill>
              </w:rPr>
              <w:t>基地名称</w:t>
            </w:r>
          </w:p>
        </w:tc>
        <w:tc>
          <w:tcPr>
            <w:tcW w:w="2174" w:type="dxa"/>
            <w:tcBorders>
              <w:top w:val="single" w:color="auto" w:sz="12" w:space="0"/>
              <w:bottom w:val="single" w:color="auto" w:sz="12" w:space="0"/>
            </w:tcBorders>
            <w:shd w:val="clear" w:color="auto" w:fill="auto"/>
            <w:vAlign w:val="center"/>
          </w:tcPr>
          <w:p>
            <w:pPr>
              <w:widowControl/>
              <w:spacing w:line="260" w:lineRule="exact"/>
              <w:jc w:val="center"/>
              <w:rPr>
                <w:rFonts w:ascii="黑体" w:eastAsia="黑体"/>
                <w:bCs/>
                <w:color w:val="000000" w:themeColor="text1"/>
                <w:kern w:val="0"/>
                <w:szCs w:val="21"/>
                <w14:textFill>
                  <w14:solidFill>
                    <w14:schemeClr w14:val="tx1"/>
                  </w14:solidFill>
                </w14:textFill>
              </w:rPr>
            </w:pPr>
            <w:r>
              <w:rPr>
                <w:rFonts w:hint="eastAsia" w:ascii="黑体" w:eastAsia="黑体"/>
                <w:bCs/>
                <w:color w:val="000000" w:themeColor="text1"/>
                <w:kern w:val="0"/>
                <w:szCs w:val="21"/>
                <w14:textFill>
                  <w14:solidFill>
                    <w14:schemeClr w14:val="tx1"/>
                  </w14:solidFill>
                </w14:textFill>
              </w:rPr>
              <w:t>基地类型</w:t>
            </w:r>
          </w:p>
        </w:tc>
        <w:tc>
          <w:tcPr>
            <w:tcW w:w="1805" w:type="dxa"/>
            <w:tcBorders>
              <w:top w:val="single" w:color="auto" w:sz="12" w:space="0"/>
              <w:bottom w:val="single" w:color="auto" w:sz="12" w:space="0"/>
            </w:tcBorders>
            <w:shd w:val="clear" w:color="auto" w:fill="auto"/>
            <w:vAlign w:val="center"/>
          </w:tcPr>
          <w:p>
            <w:pPr>
              <w:widowControl/>
              <w:spacing w:line="260" w:lineRule="exact"/>
              <w:jc w:val="center"/>
              <w:rPr>
                <w:rFonts w:ascii="黑体" w:eastAsia="黑体"/>
                <w:bCs/>
                <w:color w:val="000000" w:themeColor="text1"/>
                <w:kern w:val="0"/>
                <w:szCs w:val="21"/>
                <w14:textFill>
                  <w14:solidFill>
                    <w14:schemeClr w14:val="tx1"/>
                  </w14:solidFill>
                </w14:textFill>
              </w:rPr>
            </w:pPr>
            <w:r>
              <w:rPr>
                <w:rFonts w:hint="eastAsia" w:ascii="黑体" w:eastAsia="黑体"/>
                <w:bCs/>
                <w:color w:val="000000" w:themeColor="text1"/>
                <w:kern w:val="0"/>
                <w:szCs w:val="21"/>
                <w14:textFill>
                  <w14:solidFill>
                    <w14:schemeClr w14:val="tx1"/>
                  </w14:solidFill>
                </w14:textFill>
              </w:rPr>
              <w:t>溢油设备库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tcBorders>
              <w:top w:val="single" w:color="auto" w:sz="12" w:space="0"/>
            </w:tcBorders>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w:t>
            </w:r>
          </w:p>
        </w:tc>
        <w:tc>
          <w:tcPr>
            <w:tcW w:w="1446" w:type="dxa"/>
            <w:vMerge w:val="restart"/>
            <w:tcBorders>
              <w:top w:val="single" w:color="auto" w:sz="12" w:space="0"/>
            </w:tcBorders>
            <w:shd w:val="clear" w:color="auto" w:fill="auto"/>
            <w:vAlign w:val="center"/>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高风险水域</w:t>
            </w:r>
          </w:p>
        </w:tc>
        <w:tc>
          <w:tcPr>
            <w:tcW w:w="2163" w:type="dxa"/>
            <w:tcBorders>
              <w:top w:val="single" w:color="auto" w:sz="12" w:space="0"/>
            </w:tcBorders>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重庆</w:t>
            </w:r>
          </w:p>
        </w:tc>
        <w:tc>
          <w:tcPr>
            <w:tcW w:w="2174" w:type="dxa"/>
            <w:tcBorders>
              <w:top w:val="single" w:color="auto" w:sz="12" w:space="0"/>
            </w:tcBorders>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tcBorders>
              <w:top w:val="single" w:color="auto" w:sz="12" w:space="0"/>
            </w:tcBorders>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长寿</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center"/>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丰都</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云阳</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5</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奉节</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6</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巴东</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7</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万州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8</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巫山</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9</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center"/>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三峡坝区</w:t>
            </w:r>
          </w:p>
        </w:tc>
        <w:tc>
          <w:tcPr>
            <w:tcW w:w="2174" w:type="dxa"/>
            <w:shd w:val="clear" w:color="auto" w:fill="auto"/>
            <w:vAlign w:val="center"/>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综合基地（含起降点）</w:t>
            </w:r>
          </w:p>
        </w:tc>
        <w:tc>
          <w:tcPr>
            <w:tcW w:w="1805" w:type="dxa"/>
            <w:shd w:val="clear" w:color="auto" w:fill="auto"/>
            <w:vAlign w:val="center"/>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10</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葛洲坝</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11</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武汉</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12</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武汉港区</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13</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南京</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中型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14</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镇江</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15</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扬州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16</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泰州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17</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江阴</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18</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张家港</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19</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南通</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20</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常熟</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21</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太仓</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22</w:t>
            </w:r>
          </w:p>
        </w:tc>
        <w:tc>
          <w:tcPr>
            <w:tcW w:w="1446" w:type="dxa"/>
            <w:vMerge w:val="restart"/>
            <w:shd w:val="clear" w:color="auto" w:fill="auto"/>
            <w:vAlign w:val="center"/>
          </w:tcPr>
          <w:p>
            <w:pPr>
              <w:widowControl/>
              <w:spacing w:line="260" w:lineRule="exact"/>
              <w:jc w:val="left"/>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较高风险水域</w:t>
            </w: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泸州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23</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宜昌</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小型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24</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归州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25</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枝城</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26</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枝江</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27</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荆州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28</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岳阳</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29</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监利</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30</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临湘</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31</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洪湖</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32</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九江</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33</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武穴</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34</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湖口</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35</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黄石</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36</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鄂州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37</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蕲春</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38</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安庆</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39</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池州</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40</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芜湖</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综合基地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41</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铜陵</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42</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荻港</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43</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马鞍山</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44</w:t>
            </w:r>
          </w:p>
        </w:tc>
        <w:tc>
          <w:tcPr>
            <w:tcW w:w="1446" w:type="dxa"/>
            <w:vMerge w:val="restart"/>
            <w:shd w:val="clear" w:color="auto" w:fill="auto"/>
            <w:vAlign w:val="center"/>
          </w:tcPr>
          <w:p>
            <w:pPr>
              <w:widowControl/>
              <w:spacing w:line="260" w:lineRule="exact"/>
              <w:jc w:val="left"/>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一般风险水域</w:t>
            </w: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宜宾</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45</w:t>
            </w:r>
          </w:p>
        </w:tc>
        <w:tc>
          <w:tcPr>
            <w:tcW w:w="1446" w:type="dxa"/>
            <w:vMerge w:val="continue"/>
            <w:vAlign w:val="center"/>
          </w:tcPr>
          <w:p>
            <w:pPr>
              <w:widowControl/>
              <w:spacing w:line="260" w:lineRule="exact"/>
              <w:jc w:val="left"/>
              <w:rPr>
                <w:rFonts w:eastAsia="楷体_GB2312"/>
                <w:color w:val="000000" w:themeColor="text1"/>
                <w:kern w:val="0"/>
                <w:szCs w:val="21"/>
                <w14:textFill>
                  <w14:solidFill>
                    <w14:schemeClr w14:val="tx1"/>
                  </w14:solidFill>
                </w14:textFill>
              </w:rPr>
            </w:pPr>
          </w:p>
        </w:tc>
        <w:tc>
          <w:tcPr>
            <w:tcW w:w="2163"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涪陵</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基地</w:t>
            </w:r>
          </w:p>
        </w:tc>
        <w:tc>
          <w:tcPr>
            <w:tcW w:w="1805" w:type="dxa"/>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791"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46</w:t>
            </w:r>
          </w:p>
        </w:tc>
        <w:tc>
          <w:tcPr>
            <w:tcW w:w="3609" w:type="dxa"/>
            <w:gridSpan w:val="2"/>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其他58个</w:t>
            </w:r>
          </w:p>
        </w:tc>
        <w:tc>
          <w:tcPr>
            <w:tcW w:w="2174" w:type="dxa"/>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站</w:t>
            </w:r>
          </w:p>
        </w:tc>
        <w:tc>
          <w:tcPr>
            <w:tcW w:w="1805" w:type="dxa"/>
            <w:shd w:val="clear" w:color="auto" w:fill="auto"/>
            <w:vAlign w:val="center"/>
          </w:tcPr>
          <w:p>
            <w:pPr>
              <w:widowControl/>
              <w:spacing w:line="260" w:lineRule="exact"/>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jc w:val="center"/>
        </w:trPr>
        <w:tc>
          <w:tcPr>
            <w:tcW w:w="4400" w:type="dxa"/>
            <w:gridSpan w:val="3"/>
            <w:tcBorders>
              <w:bottom w:val="single" w:color="auto" w:sz="12" w:space="0"/>
            </w:tcBorders>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合计</w:t>
            </w:r>
          </w:p>
        </w:tc>
        <w:tc>
          <w:tcPr>
            <w:tcW w:w="2174" w:type="dxa"/>
            <w:tcBorders>
              <w:bottom w:val="single" w:color="auto" w:sz="12" w:space="0"/>
            </w:tcBorders>
            <w:shd w:val="clear" w:color="auto" w:fill="auto"/>
            <w:vAlign w:val="bottom"/>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103</w:t>
            </w:r>
          </w:p>
        </w:tc>
        <w:tc>
          <w:tcPr>
            <w:tcW w:w="1805" w:type="dxa"/>
            <w:tcBorders>
              <w:bottom w:val="single" w:color="auto" w:sz="12" w:space="0"/>
            </w:tcBorders>
            <w:shd w:val="clear" w:color="auto" w:fill="auto"/>
          </w:tcPr>
          <w:p>
            <w:pPr>
              <w:widowControl/>
              <w:spacing w:line="260" w:lineRule="exact"/>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13</w:t>
            </w:r>
          </w:p>
        </w:tc>
      </w:tr>
    </w:tbl>
    <w:p>
      <w:pPr>
        <w:adjustRightInd w:val="0"/>
        <w:snapToGrid w:val="0"/>
        <w:jc w:val="center"/>
        <w:rPr>
          <w:rFonts w:hAnsi="宋体"/>
          <w:snapToGrid w:val="0"/>
          <w:color w:val="000000" w:themeColor="text1"/>
          <w:kern w:val="0"/>
          <w14:textFill>
            <w14:solidFill>
              <w14:schemeClr w14:val="tx1"/>
            </w14:solidFill>
          </w14:textFill>
        </w:rPr>
      </w:pPr>
      <w:r>
        <w:rPr>
          <w:rFonts w:hAnsi="宋体"/>
          <w:color w:val="000000" w:themeColor="text1"/>
          <w:kern w:val="0"/>
          <w14:textFill>
            <w14:solidFill>
              <w14:schemeClr w14:val="tx1"/>
            </w14:solidFill>
          </w14:textFill>
        </w:rPr>
        <w:drawing>
          <wp:inline distT="0" distB="0" distL="0" distR="0">
            <wp:extent cx="6067425" cy="3952875"/>
            <wp:effectExtent l="0" t="0" r="9525" b="9525"/>
            <wp:docPr id="14" name="图片 14" descr="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6067425" cy="3952875"/>
                    </a:xfrm>
                    <a:prstGeom prst="rect">
                      <a:avLst/>
                    </a:prstGeom>
                    <a:noFill/>
                    <a:ln>
                      <a:noFill/>
                    </a:ln>
                  </pic:spPr>
                </pic:pic>
              </a:graphicData>
            </a:graphic>
          </wp:inline>
        </w:drawing>
      </w:r>
    </w:p>
    <w:p>
      <w:pPr>
        <w:adjustRightInd w:val="0"/>
        <w:snapToGrid w:val="0"/>
        <w:ind w:left="1" w:firstLine="1"/>
        <w:jc w:val="center"/>
        <w:rPr>
          <w:rFonts w:eastAsia="仿宋_GB2312"/>
          <w:color w:val="000000" w:themeColor="text1"/>
          <w14:textFill>
            <w14:solidFill>
              <w14:schemeClr w14:val="tx1"/>
            </w14:solidFill>
          </w14:textFill>
        </w:rPr>
      </w:pPr>
      <w:r>
        <w:rPr>
          <w:b/>
          <w:color w:val="000000" w:themeColor="text1"/>
          <w14:textFill>
            <w14:solidFill>
              <w14:schemeClr w14:val="tx1"/>
            </w14:solidFill>
          </w14:textFill>
        </w:rPr>
        <w:t>图</w:t>
      </w:r>
      <w:r>
        <w:rPr>
          <w:rFonts w:hint="eastAsia"/>
          <w:b/>
          <w:color w:val="000000" w:themeColor="text1"/>
          <w14:textFill>
            <w14:solidFill>
              <w14:schemeClr w14:val="tx1"/>
            </w14:solidFill>
          </w14:textFill>
        </w:rPr>
        <w:t>8.5-4长江干线监管救助基地布局示意图</w:t>
      </w:r>
    </w:p>
    <w:p>
      <w:pPr>
        <w:adjustRightInd w:val="0"/>
        <w:snapToGrid w:val="0"/>
        <w:rPr>
          <w:rFonts w:hAnsi="宋体"/>
          <w:snapToGrid w:val="0"/>
          <w:color w:val="000000" w:themeColor="text1"/>
          <w:kern w:val="0"/>
          <w14:textFill>
            <w14:solidFill>
              <w14:schemeClr w14:val="tx1"/>
            </w14:solidFill>
          </w14:textFill>
        </w:rPr>
      </w:pPr>
      <w:r>
        <w:rPr>
          <w:rFonts w:hAnsi="宋体"/>
          <w:color w:val="000000" w:themeColor="text1"/>
          <w:kern w:val="0"/>
          <w14:textFill>
            <w14:solidFill>
              <w14:schemeClr w14:val="tx1"/>
            </w14:solidFill>
          </w14:textFill>
        </w:rPr>
        <w:drawing>
          <wp:inline distT="0" distB="0" distL="0" distR="0">
            <wp:extent cx="6057900" cy="4010025"/>
            <wp:effectExtent l="0" t="0" r="0" b="9525"/>
            <wp:docPr id="52" name="图片 52" descr="图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6057900" cy="4010025"/>
                    </a:xfrm>
                    <a:prstGeom prst="rect">
                      <a:avLst/>
                    </a:prstGeom>
                    <a:noFill/>
                    <a:ln>
                      <a:noFill/>
                    </a:ln>
                  </pic:spPr>
                </pic:pic>
              </a:graphicData>
            </a:graphic>
          </wp:inline>
        </w:drawing>
      </w:r>
    </w:p>
    <w:p>
      <w:pPr>
        <w:adjustRightInd w:val="0"/>
        <w:snapToGrid w:val="0"/>
        <w:ind w:left="1" w:firstLine="1"/>
        <w:jc w:val="center"/>
        <w:rPr>
          <w:rFonts w:eastAsia="仿宋_GB2312"/>
          <w:color w:val="000000" w:themeColor="text1"/>
          <w14:textFill>
            <w14:solidFill>
              <w14:schemeClr w14:val="tx1"/>
            </w14:solidFill>
          </w14:textFill>
        </w:rPr>
      </w:pPr>
      <w:r>
        <w:rPr>
          <w:b/>
          <w:color w:val="000000" w:themeColor="text1"/>
          <w14:textFill>
            <w14:solidFill>
              <w14:schemeClr w14:val="tx1"/>
            </w14:solidFill>
          </w14:textFill>
        </w:rPr>
        <w:t>图</w:t>
      </w:r>
      <w:r>
        <w:rPr>
          <w:rFonts w:hint="eastAsia"/>
          <w:b/>
          <w:color w:val="000000" w:themeColor="text1"/>
          <w14:textFill>
            <w14:solidFill>
              <w14:schemeClr w14:val="tx1"/>
            </w14:solidFill>
          </w14:textFill>
        </w:rPr>
        <w:t>8.5-5</w:t>
      </w:r>
      <w:r>
        <w:rPr>
          <w:b/>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长江干线船舶溢油应急设备库布局示意图</w:t>
      </w:r>
    </w:p>
    <w:p>
      <w:pPr>
        <w:adjustRightInd w:val="0"/>
        <w:snapToGrid w:val="0"/>
        <w:spacing w:line="360" w:lineRule="auto"/>
        <w:ind w:firstLine="480" w:firstLineChars="200"/>
        <w:rPr>
          <w:rFonts w:ascii="宋体" w:hAnsi="宋体"/>
          <w:snapToGrid w:val="0"/>
          <w:color w:val="0070C0"/>
          <w:kern w:val="0"/>
          <w:sz w:val="24"/>
        </w:rPr>
      </w:pPr>
      <w:r>
        <w:rPr>
          <w:rFonts w:hint="eastAsia" w:ascii="宋体" w:hAnsi="宋体"/>
          <w:snapToGrid w:val="0"/>
          <w:color w:val="0070C0"/>
          <w:kern w:val="0"/>
          <w:sz w:val="24"/>
        </w:rPr>
        <w:t>四、地方海事局</w:t>
      </w:r>
    </w:p>
    <w:p>
      <w:pPr>
        <w:adjustRightInd w:val="0"/>
        <w:snapToGrid w:val="0"/>
        <w:spacing w:line="360" w:lineRule="auto"/>
        <w:ind w:firstLine="480" w:firstLineChars="200"/>
        <w:rPr>
          <w:snapToGrid w:val="0"/>
          <w:color w:val="0070C0"/>
          <w:kern w:val="0"/>
          <w:sz w:val="24"/>
        </w:rPr>
      </w:pPr>
      <w:r>
        <w:rPr>
          <w:rFonts w:hAnsi="宋体"/>
          <w:snapToGrid w:val="0"/>
          <w:color w:val="0070C0"/>
          <w:kern w:val="0"/>
          <w:sz w:val="24"/>
        </w:rPr>
        <w:t>工程枝江</w:t>
      </w:r>
      <w:r>
        <w:rPr>
          <w:snapToGrid w:val="0"/>
          <w:color w:val="0070C0"/>
          <w:kern w:val="0"/>
          <w:sz w:val="24"/>
        </w:rPr>
        <w:t>-</w:t>
      </w:r>
      <w:r>
        <w:rPr>
          <w:rFonts w:hAnsi="宋体"/>
          <w:snapToGrid w:val="0"/>
          <w:color w:val="0070C0"/>
          <w:kern w:val="0"/>
          <w:sz w:val="24"/>
        </w:rPr>
        <w:t>江口河段</w:t>
      </w:r>
      <w:r>
        <w:rPr>
          <w:rFonts w:hint="eastAsia" w:hAnsi="宋体"/>
          <w:snapToGrid w:val="0"/>
          <w:color w:val="0070C0"/>
          <w:kern w:val="0"/>
          <w:sz w:val="24"/>
        </w:rPr>
        <w:t>整治工程</w:t>
      </w:r>
      <w:r>
        <w:rPr>
          <w:rFonts w:hAnsi="宋体"/>
          <w:snapToGrid w:val="0"/>
          <w:color w:val="0070C0"/>
          <w:kern w:val="0"/>
          <w:sz w:val="24"/>
        </w:rPr>
        <w:t>位于宜昌海事局枝江海事处辖区。海事局应急机构及应急站点见表</w:t>
      </w:r>
      <w:r>
        <w:rPr>
          <w:snapToGrid w:val="0"/>
          <w:color w:val="0070C0"/>
          <w:kern w:val="0"/>
          <w:sz w:val="24"/>
        </w:rPr>
        <w:t>8.</w:t>
      </w:r>
      <w:r>
        <w:rPr>
          <w:rFonts w:hint="eastAsia"/>
          <w:snapToGrid w:val="0"/>
          <w:color w:val="0070C0"/>
          <w:kern w:val="0"/>
          <w:sz w:val="24"/>
        </w:rPr>
        <w:t>5</w:t>
      </w:r>
      <w:r>
        <w:rPr>
          <w:snapToGrid w:val="0"/>
          <w:color w:val="0070C0"/>
          <w:kern w:val="0"/>
          <w:sz w:val="24"/>
        </w:rPr>
        <w:t>-</w:t>
      </w:r>
      <w:r>
        <w:rPr>
          <w:rFonts w:hint="eastAsia"/>
          <w:snapToGrid w:val="0"/>
          <w:color w:val="0070C0"/>
          <w:kern w:val="0"/>
          <w:sz w:val="24"/>
        </w:rPr>
        <w:t>2</w:t>
      </w:r>
      <w:r>
        <w:rPr>
          <w:rFonts w:hAnsi="宋体"/>
          <w:snapToGrid w:val="0"/>
          <w:color w:val="0070C0"/>
          <w:kern w:val="0"/>
          <w:sz w:val="24"/>
        </w:rPr>
        <w:t>。</w:t>
      </w:r>
    </w:p>
    <w:p>
      <w:pPr>
        <w:adjustRightInd w:val="0"/>
        <w:snapToGrid w:val="0"/>
        <w:ind w:firstLine="420" w:firstLineChars="200"/>
        <w:jc w:val="center"/>
        <w:rPr>
          <w:rFonts w:ascii="黑体" w:hAnsi="宋体" w:eastAsia="黑体"/>
          <w:snapToGrid w:val="0"/>
          <w:color w:val="000000" w:themeColor="text1"/>
          <w:kern w:val="0"/>
          <w14:textFill>
            <w14:solidFill>
              <w14:schemeClr w14:val="tx1"/>
            </w14:solidFill>
          </w14:textFill>
        </w:rPr>
      </w:pPr>
      <w:r>
        <w:rPr>
          <w:rFonts w:hint="eastAsia" w:ascii="黑体" w:hAnsi="宋体" w:eastAsia="黑体"/>
          <w:snapToGrid w:val="0"/>
          <w:color w:val="000000" w:themeColor="text1"/>
          <w:kern w:val="0"/>
          <w14:textFill>
            <w14:solidFill>
              <w14:schemeClr w14:val="tx1"/>
            </w14:solidFill>
          </w14:textFill>
        </w:rPr>
        <w:t>表</w:t>
      </w:r>
      <w:r>
        <w:rPr>
          <w:rFonts w:hint="eastAsia" w:ascii="黑体" w:eastAsia="黑体"/>
          <w:snapToGrid w:val="0"/>
          <w:color w:val="000000" w:themeColor="text1"/>
          <w:kern w:val="0"/>
          <w14:textFill>
            <w14:solidFill>
              <w14:schemeClr w14:val="tx1"/>
            </w14:solidFill>
          </w14:textFill>
        </w:rPr>
        <w:t>8.5-2 工程区域地方海事部门应急机构表</w:t>
      </w:r>
    </w:p>
    <w:tbl>
      <w:tblPr>
        <w:tblStyle w:val="104"/>
        <w:tblW w:w="9193"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1514"/>
        <w:gridCol w:w="1021"/>
        <w:gridCol w:w="733"/>
        <w:gridCol w:w="1607"/>
        <w:gridCol w:w="1090"/>
        <w:gridCol w:w="1690"/>
        <w:gridCol w:w="153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20" w:hRule="atLeast"/>
        </w:trPr>
        <w:tc>
          <w:tcPr>
            <w:tcW w:w="1514"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海事处</w:t>
            </w:r>
          </w:p>
        </w:tc>
        <w:tc>
          <w:tcPr>
            <w:tcW w:w="1021"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值班电话</w:t>
            </w:r>
          </w:p>
        </w:tc>
        <w:tc>
          <w:tcPr>
            <w:tcW w:w="733"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序号</w:t>
            </w:r>
          </w:p>
        </w:tc>
        <w:tc>
          <w:tcPr>
            <w:tcW w:w="1607"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应急站点名称</w:t>
            </w:r>
          </w:p>
        </w:tc>
        <w:tc>
          <w:tcPr>
            <w:tcW w:w="1090"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座落位置</w:t>
            </w:r>
          </w:p>
        </w:tc>
        <w:tc>
          <w:tcPr>
            <w:tcW w:w="1690"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负责水域</w:t>
            </w:r>
          </w:p>
        </w:tc>
        <w:tc>
          <w:tcPr>
            <w:tcW w:w="1538" w:type="dxa"/>
            <w:tcBorders>
              <w:bottom w:val="single" w:color="auto" w:sz="12" w:space="0"/>
            </w:tcBorders>
            <w:shd w:val="clear" w:color="auto" w:fill="FFFFFF"/>
            <w:vAlign w:val="center"/>
          </w:tcPr>
          <w:p>
            <w:pPr>
              <w:widowControl/>
              <w:jc w:val="center"/>
              <w:rPr>
                <w:rFonts w:ascii="黑体" w:hAnsi="宋体" w:eastAsia="黑体" w:cs="宋体"/>
                <w:color w:val="000000" w:themeColor="text1"/>
                <w:kern w:val="0"/>
                <w:szCs w:val="21"/>
                <w14:textFill>
                  <w14:solidFill>
                    <w14:schemeClr w14:val="tx1"/>
                  </w14:solidFill>
                </w14:textFill>
              </w:rPr>
            </w:pPr>
            <w:r>
              <w:rPr>
                <w:rFonts w:hint="eastAsia" w:ascii="黑体" w:hAnsi="宋体" w:eastAsia="黑体" w:cs="宋体"/>
                <w:color w:val="000000" w:themeColor="text1"/>
                <w:kern w:val="0"/>
                <w:szCs w:val="21"/>
                <w14:textFill>
                  <w14:solidFill>
                    <w14:schemeClr w14:val="tx1"/>
                  </w14:solidFill>
                </w14:textFill>
              </w:rPr>
              <w:t>值班电话</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20" w:hRule="atLeast"/>
        </w:trPr>
        <w:tc>
          <w:tcPr>
            <w:tcW w:w="1514" w:type="dxa"/>
            <w:vMerge w:val="restart"/>
            <w:tcBorders>
              <w:top w:val="single" w:color="auto" w:sz="12" w:space="0"/>
            </w:tcBorders>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宜昌海事局枝江海事处</w:t>
            </w:r>
          </w:p>
        </w:tc>
        <w:tc>
          <w:tcPr>
            <w:tcW w:w="1021" w:type="dxa"/>
            <w:vMerge w:val="restart"/>
            <w:tcBorders>
              <w:top w:val="single" w:color="auto" w:sz="12" w:space="0"/>
            </w:tcBorders>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0717-4142034</w:t>
            </w:r>
          </w:p>
        </w:tc>
        <w:tc>
          <w:tcPr>
            <w:tcW w:w="733" w:type="dxa"/>
            <w:tcBorders>
              <w:top w:val="single" w:color="auto" w:sz="12" w:space="0"/>
            </w:tcBorders>
            <w:shd w:val="clear" w:color="auto" w:fill="FFFFFF"/>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1</w:t>
            </w:r>
          </w:p>
        </w:tc>
        <w:tc>
          <w:tcPr>
            <w:tcW w:w="1607" w:type="dxa"/>
            <w:tcBorders>
              <w:top w:val="single" w:color="auto" w:sz="12" w:space="0"/>
            </w:tcBorders>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长江马家店巡航救助执法大队</w:t>
            </w:r>
          </w:p>
        </w:tc>
        <w:tc>
          <w:tcPr>
            <w:tcW w:w="1090" w:type="dxa"/>
            <w:tcBorders>
              <w:top w:val="single" w:color="auto" w:sz="12" w:space="0"/>
            </w:tcBorders>
            <w:shd w:val="clear" w:color="auto" w:fill="FFFFFF"/>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马家店</w:t>
            </w:r>
          </w:p>
        </w:tc>
        <w:tc>
          <w:tcPr>
            <w:tcW w:w="1690" w:type="dxa"/>
            <w:tcBorders>
              <w:top w:val="single" w:color="auto" w:sz="12" w:space="0"/>
            </w:tcBorders>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中游554.5km-527.8km</w:t>
            </w:r>
          </w:p>
        </w:tc>
        <w:tc>
          <w:tcPr>
            <w:tcW w:w="1538" w:type="dxa"/>
            <w:tcBorders>
              <w:top w:val="single" w:color="auto" w:sz="12" w:space="0"/>
            </w:tcBorders>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0717-4211591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20" w:hRule="atLeast"/>
        </w:trPr>
        <w:tc>
          <w:tcPr>
            <w:tcW w:w="1514" w:type="dxa"/>
            <w:vMerge w:val="continue"/>
            <w:vAlign w:val="center"/>
          </w:tcPr>
          <w:p>
            <w:pPr>
              <w:widowControl/>
              <w:jc w:val="center"/>
              <w:rPr>
                <w:rFonts w:eastAsia="楷体_GB2312"/>
                <w:color w:val="000000" w:themeColor="text1"/>
                <w:kern w:val="0"/>
                <w:szCs w:val="21"/>
                <w14:textFill>
                  <w14:solidFill>
                    <w14:schemeClr w14:val="tx1"/>
                  </w14:solidFill>
                </w14:textFill>
              </w:rPr>
            </w:pPr>
          </w:p>
        </w:tc>
        <w:tc>
          <w:tcPr>
            <w:tcW w:w="1021" w:type="dxa"/>
            <w:vMerge w:val="continue"/>
            <w:vAlign w:val="center"/>
          </w:tcPr>
          <w:p>
            <w:pPr>
              <w:widowControl/>
              <w:jc w:val="center"/>
              <w:rPr>
                <w:rFonts w:eastAsia="楷体_GB2312"/>
                <w:color w:val="000000" w:themeColor="text1"/>
                <w:kern w:val="0"/>
                <w:szCs w:val="21"/>
                <w14:textFill>
                  <w14:solidFill>
                    <w14:schemeClr w14:val="tx1"/>
                  </w14:solidFill>
                </w14:textFill>
              </w:rPr>
            </w:pPr>
          </w:p>
        </w:tc>
        <w:tc>
          <w:tcPr>
            <w:tcW w:w="733" w:type="dxa"/>
            <w:shd w:val="clear" w:color="auto" w:fill="FFFFFF"/>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2</w:t>
            </w:r>
          </w:p>
        </w:tc>
        <w:tc>
          <w:tcPr>
            <w:tcW w:w="1607" w:type="dxa"/>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长江七星台巡航救助执法大队</w:t>
            </w:r>
          </w:p>
        </w:tc>
        <w:tc>
          <w:tcPr>
            <w:tcW w:w="1090" w:type="dxa"/>
            <w:shd w:val="clear" w:color="auto" w:fill="FFFFFF"/>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七星台镇</w:t>
            </w:r>
          </w:p>
        </w:tc>
        <w:tc>
          <w:tcPr>
            <w:tcW w:w="1690" w:type="dxa"/>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中游527.8km-499.3km</w:t>
            </w:r>
          </w:p>
        </w:tc>
        <w:tc>
          <w:tcPr>
            <w:tcW w:w="1538" w:type="dxa"/>
            <w:shd w:val="clear" w:color="auto" w:fill="auto"/>
            <w:vAlign w:val="center"/>
          </w:tcPr>
          <w:p>
            <w:pPr>
              <w:widowControl/>
              <w:jc w:val="center"/>
              <w:rPr>
                <w:rFonts w:eastAsia="楷体_GB2312"/>
                <w:color w:val="000000" w:themeColor="text1"/>
                <w:kern w:val="0"/>
                <w:szCs w:val="21"/>
                <w14:textFill>
                  <w14:solidFill>
                    <w14:schemeClr w14:val="tx1"/>
                  </w14:solidFill>
                </w14:textFill>
              </w:rPr>
            </w:pPr>
            <w:r>
              <w:rPr>
                <w:rFonts w:eastAsia="楷体_GB2312"/>
                <w:color w:val="000000" w:themeColor="text1"/>
                <w:kern w:val="0"/>
                <w:szCs w:val="21"/>
                <w14:textFill>
                  <w14:solidFill>
                    <w14:schemeClr w14:val="tx1"/>
                  </w14:solidFill>
                </w14:textFill>
              </w:rPr>
              <w:t>0717-4391648</w:t>
            </w:r>
          </w:p>
        </w:tc>
      </w:tr>
    </w:tbl>
    <w:p>
      <w:pPr>
        <w:pStyle w:val="5"/>
        <w:tabs>
          <w:tab w:val="left" w:pos="567"/>
          <w:tab w:val="clear" w:pos="2138"/>
        </w:tabs>
        <w:spacing w:before="48" w:beforeLines="20" w:after="48" w:line="360" w:lineRule="auto"/>
        <w:ind w:left="0" w:firstLine="0"/>
        <w:rPr>
          <w:color w:val="000000" w:themeColor="text1"/>
          <w14:textFill>
            <w14:solidFill>
              <w14:schemeClr w14:val="tx1"/>
            </w14:solidFill>
          </w14:textFill>
        </w:rPr>
      </w:pPr>
      <w:r>
        <w:rPr>
          <w:rFonts w:hint="eastAsia"/>
          <w:color w:val="000000" w:themeColor="text1"/>
          <w14:textFill>
            <w14:solidFill>
              <w14:schemeClr w14:val="tx1"/>
            </w14:solidFill>
          </w14:textFill>
        </w:rPr>
        <w:t>湖北省水上应急体系建设情况</w:t>
      </w:r>
    </w:p>
    <w:p>
      <w:pPr>
        <w:adjustRightInd w:val="0"/>
        <w:snapToGrid w:val="0"/>
        <w:spacing w:line="360" w:lineRule="auto"/>
        <w:ind w:firstLine="480" w:firstLineChars="200"/>
        <w:rPr>
          <w:rFonts w:hAnsi="宋体"/>
          <w:snapToGrid w:val="0"/>
          <w:color w:val="000000" w:themeColor="text1"/>
          <w:kern w:val="0"/>
          <w:sz w:val="24"/>
          <w14:textFill>
            <w14:solidFill>
              <w14:schemeClr w14:val="tx1"/>
            </w14:solidFill>
          </w14:textFill>
        </w:rPr>
      </w:pPr>
      <w:r>
        <w:rPr>
          <w:snapToGrid w:val="0"/>
          <w:color w:val="000000" w:themeColor="text1"/>
          <w:kern w:val="0"/>
          <w:sz w:val="24"/>
          <w14:textFill>
            <w14:solidFill>
              <w14:schemeClr w14:val="tx1"/>
            </w14:solidFill>
          </w14:textFill>
        </w:rPr>
        <w:t>2006</w:t>
      </w:r>
      <w:r>
        <w:rPr>
          <w:rFonts w:hAnsi="宋体"/>
          <w:snapToGrid w:val="0"/>
          <w:color w:val="000000" w:themeColor="text1"/>
          <w:kern w:val="0"/>
          <w:sz w:val="24"/>
          <w14:textFill>
            <w14:solidFill>
              <w14:schemeClr w14:val="tx1"/>
            </w14:solidFill>
          </w14:textFill>
        </w:rPr>
        <w:t>年</w:t>
      </w:r>
      <w:r>
        <w:rPr>
          <w:snapToGrid w:val="0"/>
          <w:color w:val="000000" w:themeColor="text1"/>
          <w:kern w:val="0"/>
          <w:sz w:val="24"/>
          <w14:textFill>
            <w14:solidFill>
              <w14:schemeClr w14:val="tx1"/>
            </w14:solidFill>
          </w14:textFill>
        </w:rPr>
        <w:t>3</w:t>
      </w:r>
      <w:r>
        <w:rPr>
          <w:rFonts w:hAnsi="宋体"/>
          <w:snapToGrid w:val="0"/>
          <w:color w:val="000000" w:themeColor="text1"/>
          <w:kern w:val="0"/>
          <w:sz w:val="24"/>
          <w14:textFill>
            <w14:solidFill>
              <w14:schemeClr w14:val="tx1"/>
            </w14:solidFill>
          </w14:textFill>
        </w:rPr>
        <w:t>月湖北省政府组织编制并审议通过了《湖北省突发公共事件总体应急预案》和《湖北省水上搜救应急预案》。</w:t>
      </w:r>
      <w:r>
        <w:rPr>
          <w:rFonts w:hint="eastAsia" w:hAnsi="宋体"/>
          <w:snapToGrid w:val="0"/>
          <w:color w:val="000000" w:themeColor="text1"/>
          <w:kern w:val="0"/>
          <w:sz w:val="24"/>
          <w14:textFill>
            <w14:solidFill>
              <w14:schemeClr w14:val="tx1"/>
            </w14:solidFill>
          </w14:textFill>
        </w:rPr>
        <w:t>长江水上搜救协调中心制订了《长江水上搜救应急预案》和18套搜救分预案，组建了救搜专家库，推行救助专家制度。建立并实施了义“接警后值班船艇港区15分钟，库区和重点水域30分钟，其他水域40分钟到达现场”，及为加速反应建设目标的“153040”应急救助定期演练制度。</w:t>
      </w:r>
    </w:p>
    <w:p>
      <w:pPr>
        <w:adjustRightInd w:val="0"/>
        <w:snapToGrid w:val="0"/>
        <w:spacing w:line="360" w:lineRule="auto"/>
        <w:ind w:firstLine="480" w:firstLineChars="200"/>
        <w:rPr>
          <w:rFonts w:hAnsi="宋体"/>
          <w:snapToGrid w:val="0"/>
          <w:color w:val="000000" w:themeColor="text1"/>
          <w:kern w:val="0"/>
          <w:sz w:val="24"/>
          <w14:textFill>
            <w14:solidFill>
              <w14:schemeClr w14:val="tx1"/>
            </w14:solidFill>
          </w14:textFill>
        </w:rPr>
      </w:pPr>
      <w:r>
        <w:rPr>
          <w:rFonts w:hint="eastAsia" w:hAnsi="宋体"/>
          <w:snapToGrid w:val="0"/>
          <w:color w:val="000000" w:themeColor="text1"/>
          <w:kern w:val="0"/>
          <w:sz w:val="24"/>
          <w14:textFill>
            <w14:solidFill>
              <w14:schemeClr w14:val="tx1"/>
            </w14:solidFill>
          </w14:textFill>
        </w:rPr>
        <w:t>湖北省水上应急指挥中心已基本建立，并在省交通厅和长江海事局分别设立“水上应急搜救办公室”，在长江干线湖北段1053km干线主航道和231km支流汊道水域范围内建立“长江水上搜集协调中心”、4个搜救中心和15个搜救分中心，设置一线应急救助点59个，平均21.8km设置一个站点，重点水域搜救网络基本建成。</w:t>
      </w:r>
    </w:p>
    <w:p>
      <w:pPr>
        <w:pStyle w:val="5"/>
        <w:tabs>
          <w:tab w:val="left" w:pos="567"/>
          <w:tab w:val="clear" w:pos="2138"/>
        </w:tabs>
        <w:spacing w:before="48" w:beforeLines="20" w:after="48" w:line="360" w:lineRule="auto"/>
        <w:ind w:left="0" w:firstLine="0"/>
        <w:rPr>
          <w:b/>
          <w:bCs/>
          <w:color w:val="000000" w:themeColor="text1"/>
          <w:sz w:val="28"/>
          <w:szCs w:val="32"/>
          <w14:textFill>
            <w14:solidFill>
              <w14:schemeClr w14:val="tx1"/>
            </w14:solidFill>
          </w14:textFill>
        </w:rPr>
      </w:pPr>
      <w:r>
        <w:rPr>
          <w:rFonts w:hint="eastAsia"/>
          <w:b/>
          <w:bCs/>
          <w:color w:val="000000" w:themeColor="text1"/>
          <w:sz w:val="28"/>
          <w:szCs w:val="32"/>
          <w14:textFill>
            <w14:solidFill>
              <w14:schemeClr w14:val="tx1"/>
            </w14:solidFill>
          </w14:textFill>
        </w:rPr>
        <w:t>白洋港区突发环境事件应急响应预案</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宜昌建立了完善的应急预案，详细见应急组织衔接图8.5-6。</w:t>
      </w:r>
    </w:p>
    <w:p>
      <w:pPr>
        <w:jc w:val="left"/>
        <w:rPr>
          <w:rFonts w:hAnsi="宋体"/>
          <w:color w:val="000000" w:themeColor="text1"/>
          <w:sz w:val="28"/>
          <w14:textFill>
            <w14:solidFill>
              <w14:schemeClr w14:val="tx1"/>
            </w14:solidFill>
          </w14:textFill>
        </w:rPr>
      </w:pPr>
      <w:r>
        <w:rPr>
          <w:rFonts w:hAnsi="宋体"/>
          <w:color w:val="000000" w:themeColor="text1"/>
          <w:sz w:val="28"/>
          <w14:textFill>
            <w14:solidFill>
              <w14:schemeClr w14:val="tx1"/>
            </w14:solidFill>
          </w14:textFill>
        </w:rPr>
        <mc:AlternateContent>
          <mc:Choice Requires="wpg">
            <w:drawing>
              <wp:inline distT="0" distB="0" distL="0" distR="0">
                <wp:extent cx="5229225" cy="4650740"/>
                <wp:effectExtent l="8255" t="5080" r="10795" b="11430"/>
                <wp:docPr id="7" name="组合 7"/>
                <wp:cNvGraphicFramePr/>
                <a:graphic xmlns:a="http://schemas.openxmlformats.org/drawingml/2006/main">
                  <a:graphicData uri="http://schemas.microsoft.com/office/word/2010/wordprocessingGroup">
                    <wpg:wgp>
                      <wpg:cNvGrpSpPr/>
                      <wpg:grpSpPr>
                        <a:xfrm>
                          <a:off x="0" y="0"/>
                          <a:ext cx="5229225" cy="4650740"/>
                          <a:chOff x="0" y="0"/>
                          <a:chExt cx="8195" cy="7277"/>
                        </a:xfrm>
                      </wpg:grpSpPr>
                      <wps:wsp>
                        <wps:cNvPr id="8" name="Text Box 14"/>
                        <wps:cNvSpPr txBox="1">
                          <a:spLocks noChangeArrowheads="1"/>
                        </wps:cNvSpPr>
                        <wps:spPr bwMode="auto">
                          <a:xfrm>
                            <a:off x="2343" y="0"/>
                            <a:ext cx="3240" cy="780"/>
                          </a:xfrm>
                          <a:prstGeom prst="rect">
                            <a:avLst/>
                          </a:prstGeom>
                          <a:solidFill>
                            <a:srgbClr val="FFFFFF"/>
                          </a:solidFill>
                          <a:ln w="9525">
                            <a:solidFill>
                              <a:srgbClr val="000000"/>
                            </a:solidFill>
                            <a:miter lim="800000"/>
                          </a:ln>
                        </wps:spPr>
                        <wps:txbx>
                          <w:txbxContent>
                            <w:p>
                              <w:pPr>
                                <w:pStyle w:val="64"/>
                              </w:pPr>
                              <w:r>
                                <w:rPr>
                                  <w:rFonts w:hint="eastAsia"/>
                                </w:rPr>
                                <w:t>宜昌市海事局</w:t>
                              </w:r>
                            </w:p>
                            <w:p>
                              <w:pPr>
                                <w:pStyle w:val="64"/>
                              </w:pPr>
                              <w:r>
                                <w:rPr>
                                  <w:rFonts w:hint="eastAsia"/>
                                </w:rPr>
                                <w:t>（事故总指挥）</w:t>
                              </w:r>
                            </w:p>
                          </w:txbxContent>
                        </wps:txbx>
                        <wps:bodyPr rot="0" vert="horz" wrap="square" lIns="91440" tIns="45720" rIns="91440" bIns="45720" anchor="t" anchorCtr="0" upright="1">
                          <a:noAutofit/>
                        </wps:bodyPr>
                      </wps:wsp>
                      <wps:wsp>
                        <wps:cNvPr id="10" name="Line 15"/>
                        <wps:cNvCnPr/>
                        <wps:spPr bwMode="auto">
                          <a:xfrm>
                            <a:off x="4055" y="780"/>
                            <a:ext cx="0" cy="468"/>
                          </a:xfrm>
                          <a:prstGeom prst="line">
                            <a:avLst/>
                          </a:prstGeom>
                          <a:noFill/>
                          <a:ln w="9525">
                            <a:solidFill>
                              <a:srgbClr val="000000"/>
                            </a:solidFill>
                            <a:round/>
                            <a:tailEnd type="triangle" w="sm" len="lg"/>
                          </a:ln>
                        </wps:spPr>
                        <wps:bodyPr/>
                      </wps:wsp>
                      <wps:wsp>
                        <wps:cNvPr id="12" name="Text Box 16"/>
                        <wps:cNvSpPr txBox="1">
                          <a:spLocks noChangeArrowheads="1"/>
                        </wps:cNvSpPr>
                        <wps:spPr bwMode="auto">
                          <a:xfrm>
                            <a:off x="2343" y="1248"/>
                            <a:ext cx="3240" cy="468"/>
                          </a:xfrm>
                          <a:prstGeom prst="rect">
                            <a:avLst/>
                          </a:prstGeom>
                          <a:solidFill>
                            <a:srgbClr val="FFFFFF"/>
                          </a:solidFill>
                          <a:ln w="9525">
                            <a:solidFill>
                              <a:srgbClr val="000000"/>
                            </a:solidFill>
                            <a:miter lim="800000"/>
                          </a:ln>
                        </wps:spPr>
                        <wps:txbx>
                          <w:txbxContent>
                            <w:p>
                              <w:pPr>
                                <w:pStyle w:val="64"/>
                              </w:pPr>
                              <w:r>
                                <w:rPr>
                                  <w:rFonts w:hint="eastAsia"/>
                                </w:rPr>
                                <w:t>环保主管部门</w:t>
                              </w:r>
                            </w:p>
                          </w:txbxContent>
                        </wps:txbx>
                        <wps:bodyPr rot="0" vert="horz" wrap="square" lIns="91440" tIns="45720" rIns="91440" bIns="45720" anchor="t" anchorCtr="0" upright="1">
                          <a:noAutofit/>
                        </wps:bodyPr>
                      </wps:wsp>
                      <wps:wsp>
                        <wps:cNvPr id="13" name="Line 17"/>
                        <wps:cNvCnPr/>
                        <wps:spPr bwMode="auto">
                          <a:xfrm>
                            <a:off x="4051" y="1716"/>
                            <a:ext cx="0" cy="468"/>
                          </a:xfrm>
                          <a:prstGeom prst="line">
                            <a:avLst/>
                          </a:prstGeom>
                          <a:noFill/>
                          <a:ln w="9525">
                            <a:solidFill>
                              <a:srgbClr val="000000"/>
                            </a:solidFill>
                            <a:round/>
                            <a:tailEnd type="triangle" w="sm" len="lg"/>
                          </a:ln>
                        </wps:spPr>
                        <wps:bodyPr/>
                      </wps:wsp>
                      <wps:wsp>
                        <wps:cNvPr id="15" name="Text Box 18"/>
                        <wps:cNvSpPr txBox="1">
                          <a:spLocks noChangeArrowheads="1"/>
                        </wps:cNvSpPr>
                        <wps:spPr bwMode="auto">
                          <a:xfrm>
                            <a:off x="2343" y="2184"/>
                            <a:ext cx="3240" cy="780"/>
                          </a:xfrm>
                          <a:prstGeom prst="rect">
                            <a:avLst/>
                          </a:prstGeom>
                          <a:solidFill>
                            <a:srgbClr val="FFFFFF"/>
                          </a:solidFill>
                          <a:ln w="9525">
                            <a:solidFill>
                              <a:srgbClr val="000000"/>
                            </a:solidFill>
                            <a:miter lim="800000"/>
                          </a:ln>
                        </wps:spPr>
                        <wps:txbx>
                          <w:txbxContent>
                            <w:p>
                              <w:pPr>
                                <w:pStyle w:val="64"/>
                              </w:pPr>
                              <w:r>
                                <w:rPr>
                                  <w:rFonts w:hint="eastAsia"/>
                                </w:rPr>
                                <w:t>宜昌市白洋港区区安全保卫部</w:t>
                              </w:r>
                            </w:p>
                            <w:p>
                              <w:pPr>
                                <w:pStyle w:val="64"/>
                              </w:pPr>
                              <w:r>
                                <w:rPr>
                                  <w:rFonts w:hint="eastAsia"/>
                                </w:rPr>
                                <w:t>（现场总监）</w:t>
                              </w:r>
                            </w:p>
                            <w:p>
                              <w:pPr/>
                            </w:p>
                          </w:txbxContent>
                        </wps:txbx>
                        <wps:bodyPr rot="0" vert="horz" wrap="square" lIns="18000" tIns="45720" rIns="18000" bIns="45720" anchor="t" anchorCtr="0" upright="1">
                          <a:noAutofit/>
                        </wps:bodyPr>
                      </wps:wsp>
                      <wps:wsp>
                        <wps:cNvPr id="16" name="Line 19"/>
                        <wps:cNvCnPr/>
                        <wps:spPr bwMode="auto">
                          <a:xfrm>
                            <a:off x="3963" y="2964"/>
                            <a:ext cx="0" cy="468"/>
                          </a:xfrm>
                          <a:prstGeom prst="line">
                            <a:avLst/>
                          </a:prstGeom>
                          <a:noFill/>
                          <a:ln w="9525">
                            <a:solidFill>
                              <a:srgbClr val="000000"/>
                            </a:solidFill>
                            <a:round/>
                            <a:headEnd type="triangle" w="sm" len="lg"/>
                          </a:ln>
                        </wps:spPr>
                        <wps:bodyPr/>
                      </wps:wsp>
                      <wps:wsp>
                        <wps:cNvPr id="17" name="Line 20"/>
                        <wps:cNvCnPr/>
                        <wps:spPr bwMode="auto">
                          <a:xfrm>
                            <a:off x="1803" y="402"/>
                            <a:ext cx="0" cy="1560"/>
                          </a:xfrm>
                          <a:prstGeom prst="line">
                            <a:avLst/>
                          </a:prstGeom>
                          <a:noFill/>
                          <a:ln w="9525">
                            <a:solidFill>
                              <a:srgbClr val="000000"/>
                            </a:solidFill>
                            <a:round/>
                          </a:ln>
                        </wps:spPr>
                        <wps:bodyPr/>
                      </wps:wsp>
                      <wps:wsp>
                        <wps:cNvPr id="18" name="Line 21"/>
                        <wps:cNvCnPr/>
                        <wps:spPr bwMode="auto">
                          <a:xfrm>
                            <a:off x="1803" y="1962"/>
                            <a:ext cx="1980" cy="0"/>
                          </a:xfrm>
                          <a:prstGeom prst="line">
                            <a:avLst/>
                          </a:prstGeom>
                          <a:noFill/>
                          <a:ln w="9525">
                            <a:solidFill>
                              <a:srgbClr val="000000"/>
                            </a:solidFill>
                            <a:round/>
                            <a:tailEnd type="triangle" w="sm" len="lg"/>
                          </a:ln>
                        </wps:spPr>
                        <wps:bodyPr/>
                      </wps:wsp>
                      <wps:wsp>
                        <wps:cNvPr id="19" name="Line 22"/>
                        <wps:cNvCnPr/>
                        <wps:spPr bwMode="auto">
                          <a:xfrm>
                            <a:off x="1803" y="3432"/>
                            <a:ext cx="4320" cy="0"/>
                          </a:xfrm>
                          <a:prstGeom prst="line">
                            <a:avLst/>
                          </a:prstGeom>
                          <a:noFill/>
                          <a:ln w="9525">
                            <a:solidFill>
                              <a:srgbClr val="000000"/>
                            </a:solidFill>
                            <a:round/>
                          </a:ln>
                        </wps:spPr>
                        <wps:bodyPr/>
                      </wps:wsp>
                      <wps:wsp>
                        <wps:cNvPr id="20" name="Line 23"/>
                        <wps:cNvCnPr/>
                        <wps:spPr bwMode="auto">
                          <a:xfrm>
                            <a:off x="1803" y="3432"/>
                            <a:ext cx="0" cy="468"/>
                          </a:xfrm>
                          <a:prstGeom prst="line">
                            <a:avLst/>
                          </a:prstGeom>
                          <a:noFill/>
                          <a:ln w="9525">
                            <a:solidFill>
                              <a:srgbClr val="000000"/>
                            </a:solidFill>
                            <a:round/>
                            <a:tailEnd type="triangle" w="sm" len="lg"/>
                          </a:ln>
                        </wps:spPr>
                        <wps:bodyPr/>
                      </wps:wsp>
                      <wps:wsp>
                        <wps:cNvPr id="21" name="Line 24"/>
                        <wps:cNvCnPr/>
                        <wps:spPr bwMode="auto">
                          <a:xfrm>
                            <a:off x="6123" y="3432"/>
                            <a:ext cx="0" cy="468"/>
                          </a:xfrm>
                          <a:prstGeom prst="line">
                            <a:avLst/>
                          </a:prstGeom>
                          <a:noFill/>
                          <a:ln w="9525">
                            <a:solidFill>
                              <a:srgbClr val="000000"/>
                            </a:solidFill>
                            <a:round/>
                            <a:tailEnd type="triangle" w="sm" len="lg"/>
                          </a:ln>
                        </wps:spPr>
                        <wps:bodyPr/>
                      </wps:wsp>
                      <wps:wsp>
                        <wps:cNvPr id="22" name="Text Box 25"/>
                        <wps:cNvSpPr txBox="1">
                          <a:spLocks noChangeArrowheads="1"/>
                        </wps:cNvSpPr>
                        <wps:spPr bwMode="auto">
                          <a:xfrm>
                            <a:off x="903" y="3897"/>
                            <a:ext cx="1800" cy="468"/>
                          </a:xfrm>
                          <a:prstGeom prst="rect">
                            <a:avLst/>
                          </a:prstGeom>
                          <a:solidFill>
                            <a:srgbClr val="FFFFFF"/>
                          </a:solidFill>
                          <a:ln w="9525">
                            <a:solidFill>
                              <a:srgbClr val="000000"/>
                            </a:solidFill>
                            <a:miter lim="800000"/>
                          </a:ln>
                        </wps:spPr>
                        <wps:txbx>
                          <w:txbxContent>
                            <w:p>
                              <w:pPr>
                                <w:pStyle w:val="64"/>
                              </w:pPr>
                              <w:r>
                                <w:rPr>
                                  <w:rFonts w:hint="eastAsia"/>
                                </w:rPr>
                                <w:t>码头区工作人员</w:t>
                              </w:r>
                            </w:p>
                          </w:txbxContent>
                        </wps:txbx>
                        <wps:bodyPr rot="0" vert="horz" wrap="square" lIns="18000" tIns="45720" rIns="18000" bIns="45720" anchor="t" anchorCtr="0" upright="1">
                          <a:noAutofit/>
                        </wps:bodyPr>
                      </wps:wsp>
                      <wps:wsp>
                        <wps:cNvPr id="24" name="Text Box 26"/>
                        <wps:cNvSpPr txBox="1">
                          <a:spLocks noChangeArrowheads="1"/>
                        </wps:cNvSpPr>
                        <wps:spPr bwMode="auto">
                          <a:xfrm>
                            <a:off x="4055" y="3900"/>
                            <a:ext cx="4140" cy="468"/>
                          </a:xfrm>
                          <a:prstGeom prst="rect">
                            <a:avLst/>
                          </a:prstGeom>
                          <a:solidFill>
                            <a:srgbClr val="FFFFFF"/>
                          </a:solidFill>
                          <a:ln w="9525">
                            <a:solidFill>
                              <a:srgbClr val="000000"/>
                            </a:solidFill>
                            <a:miter lim="800000"/>
                          </a:ln>
                        </wps:spPr>
                        <wps:txbx>
                          <w:txbxContent>
                            <w:p>
                              <w:pPr>
                                <w:pStyle w:val="64"/>
                              </w:pPr>
                              <w:r>
                                <w:rPr>
                                  <w:rFonts w:hint="eastAsia"/>
                                </w:rPr>
                                <w:t>白洋港区安全保卫部应急小组</w:t>
                              </w:r>
                            </w:p>
                            <w:p>
                              <w:pPr/>
                            </w:p>
                          </w:txbxContent>
                        </wps:txbx>
                        <wps:bodyPr rot="0" vert="horz" wrap="square" lIns="91440" tIns="45720" rIns="91440" bIns="45720" anchor="t" anchorCtr="0" upright="1">
                          <a:noAutofit/>
                        </wps:bodyPr>
                      </wps:wsp>
                      <wps:wsp>
                        <wps:cNvPr id="26" name="Line 27"/>
                        <wps:cNvCnPr/>
                        <wps:spPr bwMode="auto">
                          <a:xfrm>
                            <a:off x="6123" y="4385"/>
                            <a:ext cx="0" cy="465"/>
                          </a:xfrm>
                          <a:prstGeom prst="line">
                            <a:avLst/>
                          </a:prstGeom>
                          <a:noFill/>
                          <a:ln w="9525">
                            <a:solidFill>
                              <a:srgbClr val="000000"/>
                            </a:solidFill>
                            <a:round/>
                            <a:headEnd type="triangle" w="sm" len="lg"/>
                          </a:ln>
                        </wps:spPr>
                        <wps:bodyPr/>
                      </wps:wsp>
                      <wps:wsp>
                        <wps:cNvPr id="27" name="Line 28"/>
                        <wps:cNvCnPr/>
                        <wps:spPr bwMode="auto">
                          <a:xfrm>
                            <a:off x="4323" y="4853"/>
                            <a:ext cx="3600" cy="0"/>
                          </a:xfrm>
                          <a:prstGeom prst="line">
                            <a:avLst/>
                          </a:prstGeom>
                          <a:noFill/>
                          <a:ln w="9525">
                            <a:solidFill>
                              <a:srgbClr val="000000"/>
                            </a:solidFill>
                            <a:round/>
                          </a:ln>
                        </wps:spPr>
                        <wps:bodyPr/>
                      </wps:wsp>
                      <wps:wsp>
                        <wps:cNvPr id="30" name="Line 29"/>
                        <wps:cNvCnPr/>
                        <wps:spPr bwMode="auto">
                          <a:xfrm>
                            <a:off x="4323" y="4853"/>
                            <a:ext cx="0" cy="468"/>
                          </a:xfrm>
                          <a:prstGeom prst="line">
                            <a:avLst/>
                          </a:prstGeom>
                          <a:noFill/>
                          <a:ln w="9525">
                            <a:solidFill>
                              <a:srgbClr val="000000"/>
                            </a:solidFill>
                            <a:round/>
                            <a:tailEnd type="triangle" w="sm" len="lg"/>
                          </a:ln>
                        </wps:spPr>
                        <wps:bodyPr/>
                      </wps:wsp>
                      <wps:wsp>
                        <wps:cNvPr id="232" name="Line 30"/>
                        <wps:cNvCnPr/>
                        <wps:spPr bwMode="auto">
                          <a:xfrm>
                            <a:off x="7023" y="4853"/>
                            <a:ext cx="0" cy="468"/>
                          </a:xfrm>
                          <a:prstGeom prst="line">
                            <a:avLst/>
                          </a:prstGeom>
                          <a:noFill/>
                          <a:ln w="9525">
                            <a:solidFill>
                              <a:srgbClr val="000000"/>
                            </a:solidFill>
                            <a:round/>
                            <a:tailEnd type="triangle" w="sm" len="lg"/>
                          </a:ln>
                        </wps:spPr>
                        <wps:bodyPr/>
                      </wps:wsp>
                      <wps:wsp>
                        <wps:cNvPr id="235" name="Text Box 31"/>
                        <wps:cNvSpPr txBox="1">
                          <a:spLocks noChangeArrowheads="1"/>
                        </wps:cNvSpPr>
                        <wps:spPr bwMode="auto">
                          <a:xfrm>
                            <a:off x="4055" y="5321"/>
                            <a:ext cx="540" cy="1716"/>
                          </a:xfrm>
                          <a:prstGeom prst="rect">
                            <a:avLst/>
                          </a:prstGeom>
                          <a:solidFill>
                            <a:srgbClr val="FFFFFF"/>
                          </a:solidFill>
                          <a:ln w="9525">
                            <a:solidFill>
                              <a:srgbClr val="000000"/>
                            </a:solidFill>
                            <a:miter lim="800000"/>
                          </a:ln>
                        </wps:spPr>
                        <wps:txbx>
                          <w:txbxContent>
                            <w:p>
                              <w:pPr>
                                <w:spacing w:line="240" w:lineRule="exact"/>
                                <w:jc w:val="center"/>
                              </w:pPr>
                              <w:r>
                                <w:rPr>
                                  <w:rFonts w:hint="eastAsia"/>
                                </w:rPr>
                                <w:t>组组长/副组长</w:t>
                              </w:r>
                            </w:p>
                          </w:txbxContent>
                        </wps:txbx>
                        <wps:bodyPr rot="0" vert="horz" wrap="square" lIns="91440" tIns="0" rIns="91440" bIns="0" anchor="t" anchorCtr="0" upright="1">
                          <a:noAutofit/>
                        </wps:bodyPr>
                      </wps:wsp>
                      <wps:wsp>
                        <wps:cNvPr id="237" name="Text Box 32"/>
                        <wps:cNvSpPr txBox="1">
                          <a:spLocks noChangeArrowheads="1"/>
                        </wps:cNvSpPr>
                        <wps:spPr bwMode="auto">
                          <a:xfrm>
                            <a:off x="6755" y="5321"/>
                            <a:ext cx="540" cy="1716"/>
                          </a:xfrm>
                          <a:prstGeom prst="rect">
                            <a:avLst/>
                          </a:prstGeom>
                          <a:solidFill>
                            <a:srgbClr val="FFFFFF"/>
                          </a:solidFill>
                          <a:ln w="9525">
                            <a:solidFill>
                              <a:srgbClr val="000000"/>
                            </a:solidFill>
                            <a:miter lim="800000"/>
                          </a:ln>
                        </wps:spPr>
                        <wps:txbx>
                          <w:txbxContent>
                            <w:p>
                              <w:pPr>
                                <w:spacing w:line="240" w:lineRule="exact"/>
                                <w:ind w:firstLine="420"/>
                                <w:jc w:val="center"/>
                              </w:pPr>
                              <w:r>
                                <w:rPr>
                                  <w:rFonts w:hint="eastAsia"/>
                                </w:rPr>
                                <w:t>操工作人员</w:t>
                              </w:r>
                            </w:p>
                          </w:txbxContent>
                        </wps:txbx>
                        <wps:bodyPr rot="0" vert="horz" wrap="square" lIns="91440" tIns="45720" rIns="91440" bIns="45720" anchor="t" anchorCtr="0" upright="1">
                          <a:noAutofit/>
                        </wps:bodyPr>
                      </wps:wsp>
                      <wps:wsp>
                        <wps:cNvPr id="238" name="Line 33"/>
                        <wps:cNvCnPr/>
                        <wps:spPr bwMode="auto">
                          <a:xfrm>
                            <a:off x="5223" y="4853"/>
                            <a:ext cx="0" cy="468"/>
                          </a:xfrm>
                          <a:prstGeom prst="line">
                            <a:avLst/>
                          </a:prstGeom>
                          <a:noFill/>
                          <a:ln w="9525">
                            <a:solidFill>
                              <a:srgbClr val="000000"/>
                            </a:solidFill>
                            <a:round/>
                            <a:tailEnd type="triangle" w="sm" len="lg"/>
                          </a:ln>
                        </wps:spPr>
                        <wps:bodyPr/>
                      </wps:wsp>
                      <wps:wsp>
                        <wps:cNvPr id="242" name="Text Box 34"/>
                        <wps:cNvSpPr txBox="1">
                          <a:spLocks noChangeArrowheads="1"/>
                        </wps:cNvSpPr>
                        <wps:spPr bwMode="auto">
                          <a:xfrm>
                            <a:off x="4955" y="5321"/>
                            <a:ext cx="540" cy="1716"/>
                          </a:xfrm>
                          <a:prstGeom prst="rect">
                            <a:avLst/>
                          </a:prstGeom>
                          <a:solidFill>
                            <a:srgbClr val="FFFFFF"/>
                          </a:solidFill>
                          <a:ln w="9525">
                            <a:solidFill>
                              <a:srgbClr val="000000"/>
                            </a:solidFill>
                            <a:miter lim="800000"/>
                          </a:ln>
                        </wps:spPr>
                        <wps:txbx>
                          <w:txbxContent>
                            <w:p>
                              <w:pPr>
                                <w:spacing w:line="240" w:lineRule="exact"/>
                                <w:ind w:firstLine="420"/>
                                <w:jc w:val="center"/>
                              </w:pPr>
                              <w:r>
                                <w:rPr>
                                  <w:rFonts w:hint="eastAsia"/>
                                </w:rPr>
                                <w:t>预预测评估人员</w:t>
                              </w:r>
                            </w:p>
                          </w:txbxContent>
                        </wps:txbx>
                        <wps:bodyPr rot="0" vert="horz" wrap="square" lIns="91440" tIns="0" rIns="91440" bIns="0" anchor="t" anchorCtr="0" upright="1">
                          <a:noAutofit/>
                        </wps:bodyPr>
                      </wps:wsp>
                      <wps:wsp>
                        <wps:cNvPr id="243" name="Line 35"/>
                        <wps:cNvCnPr/>
                        <wps:spPr bwMode="auto">
                          <a:xfrm>
                            <a:off x="6123" y="4853"/>
                            <a:ext cx="0" cy="468"/>
                          </a:xfrm>
                          <a:prstGeom prst="line">
                            <a:avLst/>
                          </a:prstGeom>
                          <a:noFill/>
                          <a:ln w="9525">
                            <a:solidFill>
                              <a:srgbClr val="000000"/>
                            </a:solidFill>
                            <a:round/>
                            <a:tailEnd type="triangle" w="sm" len="lg"/>
                          </a:ln>
                        </wps:spPr>
                        <wps:bodyPr/>
                      </wps:wsp>
                      <wps:wsp>
                        <wps:cNvPr id="244" name="Text Box 36"/>
                        <wps:cNvSpPr txBox="1">
                          <a:spLocks noChangeArrowheads="1"/>
                        </wps:cNvSpPr>
                        <wps:spPr bwMode="auto">
                          <a:xfrm>
                            <a:off x="5855" y="5321"/>
                            <a:ext cx="540" cy="1716"/>
                          </a:xfrm>
                          <a:prstGeom prst="rect">
                            <a:avLst/>
                          </a:prstGeom>
                          <a:solidFill>
                            <a:srgbClr val="FFFFFF"/>
                          </a:solidFill>
                          <a:ln w="9525">
                            <a:solidFill>
                              <a:srgbClr val="000000"/>
                            </a:solidFill>
                            <a:miter lim="800000"/>
                          </a:ln>
                        </wps:spPr>
                        <wps:txbx>
                          <w:txbxContent>
                            <w:p>
                              <w:pPr>
                                <w:spacing w:line="240" w:lineRule="exact"/>
                                <w:ind w:firstLine="420"/>
                                <w:jc w:val="center"/>
                              </w:pPr>
                              <w:r>
                                <w:rPr>
                                  <w:rFonts w:hint="eastAsia"/>
                                </w:rPr>
                                <w:t>监监测化验人员</w:t>
                              </w:r>
                            </w:p>
                          </w:txbxContent>
                        </wps:txbx>
                        <wps:bodyPr rot="0" vert="horz" wrap="square" lIns="91440" tIns="0" rIns="91440" bIns="0" anchor="t" anchorCtr="0" upright="1">
                          <a:noAutofit/>
                        </wps:bodyPr>
                      </wps:wsp>
                      <wps:wsp>
                        <wps:cNvPr id="246" name="Line 37"/>
                        <wps:cNvCnPr/>
                        <wps:spPr bwMode="auto">
                          <a:xfrm>
                            <a:off x="7923" y="4853"/>
                            <a:ext cx="0" cy="468"/>
                          </a:xfrm>
                          <a:prstGeom prst="line">
                            <a:avLst/>
                          </a:prstGeom>
                          <a:noFill/>
                          <a:ln w="9525">
                            <a:solidFill>
                              <a:srgbClr val="000000"/>
                            </a:solidFill>
                            <a:round/>
                            <a:tailEnd type="triangle" w="sm" len="lg"/>
                          </a:ln>
                        </wps:spPr>
                        <wps:bodyPr/>
                      </wps:wsp>
                      <wps:wsp>
                        <wps:cNvPr id="247" name="Text Box 38"/>
                        <wps:cNvSpPr txBox="1">
                          <a:spLocks noChangeArrowheads="1"/>
                        </wps:cNvSpPr>
                        <wps:spPr bwMode="auto">
                          <a:xfrm>
                            <a:off x="7655" y="5321"/>
                            <a:ext cx="540" cy="1716"/>
                          </a:xfrm>
                          <a:prstGeom prst="rect">
                            <a:avLst/>
                          </a:prstGeom>
                          <a:solidFill>
                            <a:srgbClr val="FFFFFF"/>
                          </a:solidFill>
                          <a:ln w="9525">
                            <a:solidFill>
                              <a:srgbClr val="000000"/>
                            </a:solidFill>
                            <a:miter lim="800000"/>
                          </a:ln>
                        </wps:spPr>
                        <wps:txbx>
                          <w:txbxContent>
                            <w:p>
                              <w:pPr>
                                <w:spacing w:line="240" w:lineRule="exact"/>
                                <w:ind w:firstLine="420"/>
                                <w:jc w:val="center"/>
                              </w:pPr>
                              <w:r>
                                <w:rPr>
                                  <w:rFonts w:hint="eastAsia"/>
                                </w:rPr>
                                <w:t>值值班人员</w:t>
                              </w:r>
                            </w:p>
                          </w:txbxContent>
                        </wps:txbx>
                        <wps:bodyPr rot="0" vert="horz" wrap="square" lIns="91440" tIns="45720" rIns="91440" bIns="45720" anchor="t" anchorCtr="0" upright="1">
                          <a:noAutofit/>
                        </wps:bodyPr>
                      </wps:wsp>
                      <wps:wsp>
                        <wps:cNvPr id="248" name="Line 39"/>
                        <wps:cNvCnPr/>
                        <wps:spPr bwMode="auto">
                          <a:xfrm>
                            <a:off x="1803" y="4385"/>
                            <a:ext cx="0" cy="465"/>
                          </a:xfrm>
                          <a:prstGeom prst="line">
                            <a:avLst/>
                          </a:prstGeom>
                          <a:noFill/>
                          <a:ln w="9525">
                            <a:solidFill>
                              <a:srgbClr val="000000"/>
                            </a:solidFill>
                            <a:round/>
                            <a:headEnd type="triangle" w="sm" len="lg"/>
                          </a:ln>
                        </wps:spPr>
                        <wps:bodyPr/>
                      </wps:wsp>
                      <wps:wsp>
                        <wps:cNvPr id="249" name="Line 40"/>
                        <wps:cNvCnPr/>
                        <wps:spPr bwMode="auto">
                          <a:xfrm>
                            <a:off x="903" y="4853"/>
                            <a:ext cx="1800" cy="0"/>
                          </a:xfrm>
                          <a:prstGeom prst="line">
                            <a:avLst/>
                          </a:prstGeom>
                          <a:noFill/>
                          <a:ln w="9525">
                            <a:solidFill>
                              <a:srgbClr val="000000"/>
                            </a:solidFill>
                            <a:round/>
                          </a:ln>
                        </wps:spPr>
                        <wps:bodyPr/>
                      </wps:wsp>
                      <wps:wsp>
                        <wps:cNvPr id="250" name="Line 41"/>
                        <wps:cNvCnPr/>
                        <wps:spPr bwMode="auto">
                          <a:xfrm>
                            <a:off x="903" y="4850"/>
                            <a:ext cx="0" cy="468"/>
                          </a:xfrm>
                          <a:prstGeom prst="line">
                            <a:avLst/>
                          </a:prstGeom>
                          <a:noFill/>
                          <a:ln w="9525">
                            <a:solidFill>
                              <a:srgbClr val="000000"/>
                            </a:solidFill>
                            <a:round/>
                            <a:tailEnd type="triangle" w="sm" len="lg"/>
                          </a:ln>
                        </wps:spPr>
                        <wps:bodyPr/>
                      </wps:wsp>
                      <wps:wsp>
                        <wps:cNvPr id="251" name="Line 42"/>
                        <wps:cNvCnPr/>
                        <wps:spPr bwMode="auto">
                          <a:xfrm>
                            <a:off x="2703" y="4853"/>
                            <a:ext cx="0" cy="468"/>
                          </a:xfrm>
                          <a:prstGeom prst="line">
                            <a:avLst/>
                          </a:prstGeom>
                          <a:noFill/>
                          <a:ln w="9525">
                            <a:solidFill>
                              <a:srgbClr val="000000"/>
                            </a:solidFill>
                            <a:round/>
                            <a:tailEnd type="triangle" w="sm" len="lg"/>
                          </a:ln>
                        </wps:spPr>
                        <wps:bodyPr/>
                      </wps:wsp>
                      <wps:wsp>
                        <wps:cNvPr id="252" name="Text Box 43"/>
                        <wps:cNvSpPr txBox="1">
                          <a:spLocks noChangeArrowheads="1"/>
                        </wps:cNvSpPr>
                        <wps:spPr bwMode="auto">
                          <a:xfrm>
                            <a:off x="635" y="5321"/>
                            <a:ext cx="540" cy="1716"/>
                          </a:xfrm>
                          <a:prstGeom prst="rect">
                            <a:avLst/>
                          </a:prstGeom>
                          <a:solidFill>
                            <a:srgbClr val="FFFFFF"/>
                          </a:solidFill>
                          <a:ln w="9525">
                            <a:solidFill>
                              <a:srgbClr val="000000"/>
                            </a:solidFill>
                            <a:miter lim="800000"/>
                          </a:ln>
                        </wps:spPr>
                        <wps:txbx>
                          <w:txbxContent>
                            <w:p>
                              <w:pPr>
                                <w:jc w:val="center"/>
                              </w:pPr>
                            </w:p>
                            <w:p>
                              <w:pPr>
                                <w:jc w:val="center"/>
                              </w:pPr>
                              <w:r>
                                <w:rPr>
                                  <w:rFonts w:hint="eastAsia"/>
                                </w:rPr>
                                <w:t>码头长</w:t>
                              </w:r>
                            </w:p>
                          </w:txbxContent>
                        </wps:txbx>
                        <wps:bodyPr rot="0" vert="horz" wrap="square" lIns="91440" tIns="0" rIns="91440" bIns="0" anchor="t" anchorCtr="0" upright="1">
                          <a:noAutofit/>
                        </wps:bodyPr>
                      </wps:wsp>
                      <wps:wsp>
                        <wps:cNvPr id="253" name="Text Box 44"/>
                        <wps:cNvSpPr txBox="1">
                          <a:spLocks noChangeArrowheads="1"/>
                        </wps:cNvSpPr>
                        <wps:spPr bwMode="auto">
                          <a:xfrm>
                            <a:off x="2435" y="5321"/>
                            <a:ext cx="540" cy="1716"/>
                          </a:xfrm>
                          <a:prstGeom prst="rect">
                            <a:avLst/>
                          </a:prstGeom>
                          <a:solidFill>
                            <a:srgbClr val="FFFFFF"/>
                          </a:solidFill>
                          <a:ln w="9525">
                            <a:solidFill>
                              <a:srgbClr val="000000"/>
                            </a:solidFill>
                            <a:miter lim="800000"/>
                          </a:ln>
                        </wps:spPr>
                        <wps:txbx>
                          <w:txbxContent>
                            <w:p>
                              <w:pPr>
                                <w:spacing w:line="240" w:lineRule="exact"/>
                                <w:jc w:val="center"/>
                              </w:pPr>
                              <w:r>
                                <w:rPr>
                                  <w:rFonts w:hint="eastAsia"/>
                                </w:rPr>
                                <w:t>码码头值班人员</w:t>
                              </w:r>
                            </w:p>
                          </w:txbxContent>
                        </wps:txbx>
                        <wps:bodyPr rot="0" vert="horz" wrap="square" lIns="91440" tIns="0" rIns="91440" bIns="0" anchor="t" anchorCtr="0" upright="1">
                          <a:noAutofit/>
                        </wps:bodyPr>
                      </wps:wsp>
                      <wps:wsp>
                        <wps:cNvPr id="254" name="Line 45"/>
                        <wps:cNvCnPr/>
                        <wps:spPr bwMode="auto">
                          <a:xfrm>
                            <a:off x="1803" y="4853"/>
                            <a:ext cx="0" cy="468"/>
                          </a:xfrm>
                          <a:prstGeom prst="line">
                            <a:avLst/>
                          </a:prstGeom>
                          <a:noFill/>
                          <a:ln w="9525">
                            <a:solidFill>
                              <a:srgbClr val="000000"/>
                            </a:solidFill>
                            <a:round/>
                            <a:tailEnd type="triangle" w="sm" len="lg"/>
                          </a:ln>
                        </wps:spPr>
                        <wps:bodyPr/>
                      </wps:wsp>
                      <wps:wsp>
                        <wps:cNvPr id="32" name="Text Box 46"/>
                        <wps:cNvSpPr txBox="1">
                          <a:spLocks noChangeArrowheads="1"/>
                        </wps:cNvSpPr>
                        <wps:spPr bwMode="auto">
                          <a:xfrm>
                            <a:off x="1531" y="5321"/>
                            <a:ext cx="540" cy="1716"/>
                          </a:xfrm>
                          <a:prstGeom prst="rect">
                            <a:avLst/>
                          </a:prstGeom>
                          <a:solidFill>
                            <a:srgbClr val="FFFFFF"/>
                          </a:solidFill>
                          <a:ln w="9525">
                            <a:solidFill>
                              <a:srgbClr val="000000"/>
                            </a:solidFill>
                            <a:miter lim="800000"/>
                          </a:ln>
                        </wps:spPr>
                        <wps:txbx>
                          <w:txbxContent>
                            <w:p>
                              <w:pPr>
                                <w:spacing w:line="240" w:lineRule="exact"/>
                                <w:jc w:val="center"/>
                              </w:pPr>
                              <w:r>
                                <w:rPr>
                                  <w:rFonts w:hint="eastAsia"/>
                                </w:rPr>
                                <w:t>码码头工作人员</w:t>
                              </w:r>
                            </w:p>
                          </w:txbxContent>
                        </wps:txbx>
                        <wps:bodyPr rot="0" vert="horz" wrap="square" lIns="91440" tIns="0" rIns="91440" bIns="0" anchor="t" anchorCtr="0" upright="1">
                          <a:noAutofit/>
                        </wps:bodyPr>
                      </wps:wsp>
                      <wps:wsp>
                        <wps:cNvPr id="35" name="Line 47"/>
                        <wps:cNvCnPr/>
                        <wps:spPr bwMode="auto">
                          <a:xfrm flipV="1">
                            <a:off x="3871" y="780"/>
                            <a:ext cx="0" cy="468"/>
                          </a:xfrm>
                          <a:prstGeom prst="line">
                            <a:avLst/>
                          </a:prstGeom>
                          <a:noFill/>
                          <a:ln w="9525">
                            <a:solidFill>
                              <a:srgbClr val="000000"/>
                            </a:solidFill>
                            <a:round/>
                            <a:tailEnd type="triangle" w="sm" len="lg"/>
                          </a:ln>
                        </wps:spPr>
                        <wps:bodyPr/>
                      </wps:wsp>
                      <wps:wsp>
                        <wps:cNvPr id="39" name="Line 48"/>
                        <wps:cNvCnPr/>
                        <wps:spPr bwMode="auto">
                          <a:xfrm flipV="1">
                            <a:off x="3871" y="1716"/>
                            <a:ext cx="0" cy="468"/>
                          </a:xfrm>
                          <a:prstGeom prst="line">
                            <a:avLst/>
                          </a:prstGeom>
                          <a:noFill/>
                          <a:ln w="9525">
                            <a:solidFill>
                              <a:srgbClr val="000000"/>
                            </a:solidFill>
                            <a:round/>
                            <a:tailEnd type="triangle" w="sm" len="lg"/>
                          </a:ln>
                        </wps:spPr>
                        <wps:bodyPr/>
                      </wps:wsp>
                      <wps:wsp>
                        <wps:cNvPr id="40" name="Line 49"/>
                        <wps:cNvCnPr/>
                        <wps:spPr bwMode="auto">
                          <a:xfrm>
                            <a:off x="1803" y="402"/>
                            <a:ext cx="540" cy="0"/>
                          </a:xfrm>
                          <a:prstGeom prst="line">
                            <a:avLst/>
                          </a:prstGeom>
                          <a:noFill/>
                          <a:ln w="9525">
                            <a:solidFill>
                              <a:srgbClr val="000000"/>
                            </a:solidFill>
                            <a:round/>
                          </a:ln>
                        </wps:spPr>
                        <wps:bodyPr/>
                      </wps:wsp>
                      <wps:wsp>
                        <wps:cNvPr id="41" name="Text Box 50"/>
                        <wps:cNvSpPr txBox="1">
                          <a:spLocks noChangeArrowheads="1"/>
                        </wps:cNvSpPr>
                        <wps:spPr bwMode="auto">
                          <a:xfrm>
                            <a:off x="6123" y="1248"/>
                            <a:ext cx="1980" cy="468"/>
                          </a:xfrm>
                          <a:prstGeom prst="rect">
                            <a:avLst/>
                          </a:prstGeom>
                          <a:solidFill>
                            <a:srgbClr val="FFFFFF"/>
                          </a:solidFill>
                          <a:ln w="9525">
                            <a:solidFill>
                              <a:srgbClr val="000000"/>
                            </a:solidFill>
                            <a:miter lim="800000"/>
                          </a:ln>
                        </wps:spPr>
                        <wps:txbx>
                          <w:txbxContent>
                            <w:p>
                              <w:pPr>
                                <w:pStyle w:val="64"/>
                              </w:pPr>
                              <w:r>
                                <w:rPr>
                                  <w:rFonts w:hint="eastAsia"/>
                                </w:rPr>
                                <w:t>技术咨询专家评估</w:t>
                              </w:r>
                            </w:p>
                          </w:txbxContent>
                        </wps:txbx>
                        <wps:bodyPr rot="0" vert="horz" wrap="square" lIns="54000" tIns="45720" rIns="54000" bIns="45720" anchor="t" anchorCtr="0" upright="1">
                          <a:noAutofit/>
                        </wps:bodyPr>
                      </wps:wsp>
                      <wps:wsp>
                        <wps:cNvPr id="42" name="Line 51"/>
                        <wps:cNvCnPr/>
                        <wps:spPr bwMode="auto">
                          <a:xfrm>
                            <a:off x="5583" y="1539"/>
                            <a:ext cx="540" cy="0"/>
                          </a:xfrm>
                          <a:prstGeom prst="line">
                            <a:avLst/>
                          </a:prstGeom>
                          <a:noFill/>
                          <a:ln w="9525">
                            <a:solidFill>
                              <a:srgbClr val="000000"/>
                            </a:solidFill>
                            <a:round/>
                            <a:tailEnd type="triangle" w="sm" len="lg"/>
                          </a:ln>
                        </wps:spPr>
                        <wps:bodyPr/>
                      </wps:wsp>
                      <wps:wsp>
                        <wps:cNvPr id="43" name="Line 52"/>
                        <wps:cNvCnPr/>
                        <wps:spPr bwMode="auto">
                          <a:xfrm>
                            <a:off x="5583" y="1437"/>
                            <a:ext cx="540" cy="0"/>
                          </a:xfrm>
                          <a:prstGeom prst="line">
                            <a:avLst/>
                          </a:prstGeom>
                          <a:noFill/>
                          <a:ln w="9525">
                            <a:solidFill>
                              <a:srgbClr val="000000"/>
                            </a:solidFill>
                            <a:round/>
                            <a:headEnd type="triangle" w="sm" len="lg"/>
                          </a:ln>
                        </wps:spPr>
                        <wps:bodyPr/>
                      </wps:wsp>
                      <wps:wsp>
                        <wps:cNvPr id="44" name="Line 53"/>
                        <wps:cNvCnPr/>
                        <wps:spPr bwMode="auto">
                          <a:xfrm>
                            <a:off x="3423" y="3653"/>
                            <a:ext cx="0" cy="3588"/>
                          </a:xfrm>
                          <a:prstGeom prst="line">
                            <a:avLst/>
                          </a:prstGeom>
                          <a:noFill/>
                          <a:ln w="9525">
                            <a:solidFill>
                              <a:srgbClr val="000000"/>
                            </a:solidFill>
                            <a:prstDash val="sysDot"/>
                            <a:round/>
                          </a:ln>
                        </wps:spPr>
                        <wps:bodyPr/>
                      </wps:wsp>
                      <wps:wsp>
                        <wps:cNvPr id="48" name="Line 54"/>
                        <wps:cNvCnPr/>
                        <wps:spPr bwMode="auto">
                          <a:xfrm flipH="1">
                            <a:off x="0" y="7266"/>
                            <a:ext cx="3420" cy="0"/>
                          </a:xfrm>
                          <a:prstGeom prst="line">
                            <a:avLst/>
                          </a:prstGeom>
                          <a:noFill/>
                          <a:ln w="9525">
                            <a:solidFill>
                              <a:srgbClr val="000000"/>
                            </a:solidFill>
                            <a:prstDash val="sysDot"/>
                            <a:round/>
                          </a:ln>
                        </wps:spPr>
                        <wps:bodyPr/>
                      </wps:wsp>
                      <wps:wsp>
                        <wps:cNvPr id="49" name="Line 55"/>
                        <wps:cNvCnPr/>
                        <wps:spPr bwMode="auto">
                          <a:xfrm>
                            <a:off x="0" y="3634"/>
                            <a:ext cx="0" cy="3643"/>
                          </a:xfrm>
                          <a:prstGeom prst="line">
                            <a:avLst/>
                          </a:prstGeom>
                          <a:noFill/>
                          <a:ln w="9525">
                            <a:solidFill>
                              <a:srgbClr val="000000"/>
                            </a:solidFill>
                            <a:prstDash val="sysDot"/>
                            <a:round/>
                          </a:ln>
                        </wps:spPr>
                        <wps:bodyPr/>
                      </wps:wsp>
                      <wps:wsp>
                        <wps:cNvPr id="50" name="Text Box 56"/>
                        <wps:cNvSpPr txBox="1">
                          <a:spLocks noChangeArrowheads="1"/>
                        </wps:cNvSpPr>
                        <wps:spPr bwMode="auto">
                          <a:xfrm>
                            <a:off x="147" y="4527"/>
                            <a:ext cx="363" cy="1872"/>
                          </a:xfrm>
                          <a:prstGeom prst="rect">
                            <a:avLst/>
                          </a:prstGeom>
                          <a:noFill/>
                          <a:ln>
                            <a:noFill/>
                          </a:ln>
                        </wps:spPr>
                        <wps:txbx>
                          <w:txbxContent>
                            <w:p>
                              <w:pPr>
                                <w:adjustRightInd w:val="0"/>
                                <w:snapToGrid w:val="0"/>
                                <w:spacing w:line="280" w:lineRule="exact"/>
                                <w:jc w:val="center"/>
                              </w:pPr>
                              <w:r>
                                <w:rPr>
                                  <w:rFonts w:hint="eastAsia"/>
                                </w:rPr>
                                <w:t>码头应急系统</w:t>
                              </w:r>
                            </w:p>
                          </w:txbxContent>
                        </wps:txbx>
                        <wps:bodyPr rot="0" vert="horz" wrap="square" lIns="0" tIns="0" rIns="0" bIns="0" anchor="t" anchorCtr="0" upright="1">
                          <a:noAutofit/>
                        </wps:bodyPr>
                      </wps:wsp>
                      <wps:wsp>
                        <wps:cNvPr id="51" name="Line 57"/>
                        <wps:cNvCnPr/>
                        <wps:spPr bwMode="auto">
                          <a:xfrm>
                            <a:off x="0" y="3648"/>
                            <a:ext cx="3420" cy="0"/>
                          </a:xfrm>
                          <a:prstGeom prst="line">
                            <a:avLst/>
                          </a:prstGeom>
                          <a:noFill/>
                          <a:ln w="9525">
                            <a:solidFill>
                              <a:srgbClr val="000000"/>
                            </a:solidFill>
                            <a:prstDash val="sysDot"/>
                            <a:round/>
                          </a:ln>
                        </wps:spPr>
                        <wps:bodyPr/>
                      </wps:wsp>
                    </wpg:wgp>
                  </a:graphicData>
                </a:graphic>
              </wp:inline>
            </w:drawing>
          </mc:Choice>
          <mc:Fallback>
            <w:pict>
              <v:group id="_x0000_s1026" o:spid="_x0000_s1026" o:spt="203" style="height:366.2pt;width:411.75pt;" coordsize="8195,7277" o:gfxdata="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">
                <o:lock v:ext="edit" aspectratio="f"/>
                <v:shape id="Text Box 14" o:spid="_x0000_s1026" o:spt="202" type="#_x0000_t202" style="position:absolute;left:2343;top:0;height:780;width:3240;" fillcolor="#FFFFFF" filled="t" stroked="t" coordsize="21600,21600" o:gfxdata="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7t26e8AAAA&#10;2g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pStyle w:val="64"/>
                        </w:pPr>
                        <w:r>
                          <w:rPr>
                            <w:rFonts w:hint="eastAsia"/>
                          </w:rPr>
                          <w:t>宜昌市海事局</w:t>
                        </w:r>
                      </w:p>
                      <w:p>
                        <w:pPr>
                          <w:pStyle w:val="64"/>
                        </w:pPr>
                        <w:r>
                          <w:rPr>
                            <w:rFonts w:hint="eastAsia"/>
                          </w:rPr>
                          <w:t>（事故总指挥）</w:t>
                        </w:r>
                      </w:p>
                    </w:txbxContent>
                  </v:textbox>
                </v:shape>
                <v:line id="Line 15" o:spid="_x0000_s1026" o:spt="20" style="position:absolute;left:4055;top:780;height:468;width:0;" filled="f" stroked="t" coordsize="21600,21600" o:gfxdata="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M5lm/&#10;AAAA2wAAAA8AAAAAAAAAAQAgAAAAIgAAAGRycy9kb3ducmV2LnhtbFBLAQIUABQAAAAIAIdO4kAz&#10;LwWeOwAAADkAAAAQAAAAAAAAAAEAIAAAAA4BAABkcnMvc2hhcGV4bWwueG1sUEsFBgAAAAAGAAYA&#10;WwEAALgDAAAAAA==&#10;">
                  <v:fill on="f" focussize="0,0"/>
                  <v:stroke color="#000000" joinstyle="round" endarrow="block" endarrowwidth="narrow" endarrowlength="long"/>
                  <v:imagedata o:title=""/>
                  <o:lock v:ext="edit" aspectratio="f"/>
                </v:line>
                <v:shape id="Text Box 16" o:spid="_x0000_s1026" o:spt="202" type="#_x0000_t202" style="position:absolute;left:2343;top:1248;height:468;width:3240;" fillcolor="#FFFFFF" filled="t" stroked="t" coordsize="21600,21600" o:gfxdata="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2uQ1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pPr>
                          <w:pStyle w:val="64"/>
                        </w:pPr>
                        <w:r>
                          <w:rPr>
                            <w:rFonts w:hint="eastAsia"/>
                          </w:rPr>
                          <w:t>环保主管部门</w:t>
                        </w:r>
                      </w:p>
                    </w:txbxContent>
                  </v:textbox>
                </v:shape>
                <v:line id="Line 17" o:spid="_x0000_s1026" o:spt="20" style="position:absolute;left:4051;top:1716;height:468;width:0;" filled="f" stroked="t" coordsize="21600,21600" o:gfxdata="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HnguugAAANsA&#10;AAAPAAAAAAAAAAEAIAAAACIAAABkcnMvZG93bnJldi54bWxQSwECFAAUAAAACACHTuJAMy8FnjsA&#10;AAA5AAAAEAAAAAAAAAABACAAAAAJAQAAZHJzL3NoYXBleG1sLnhtbFBLBQYAAAAABgAGAFsBAACz&#10;AwAAAAA=&#10;">
                  <v:fill on="f" focussize="0,0"/>
                  <v:stroke color="#000000" joinstyle="round" endarrow="block" endarrowwidth="narrow" endarrowlength="long"/>
                  <v:imagedata o:title=""/>
                  <o:lock v:ext="edit" aspectratio="f"/>
                </v:line>
                <v:shape id="Text Box 18" o:spid="_x0000_s1026" o:spt="202" type="#_x0000_t202" style="position:absolute;left:2343;top:2184;height:780;width:3240;" fillcolor="#FFFFFF" filled="t" stroked="t" coordsize="21600,21600" o:gfxdata="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Sc3da5AAAA2w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textbox inset="0.5mm,1.27mm,0.5mm,1.27mm">
                    <w:txbxContent>
                      <w:p>
                        <w:pPr>
                          <w:pStyle w:val="64"/>
                        </w:pPr>
                        <w:r>
                          <w:rPr>
                            <w:rFonts w:hint="eastAsia"/>
                          </w:rPr>
                          <w:t>宜昌市白洋港区区安全保卫部</w:t>
                        </w:r>
                      </w:p>
                      <w:p>
                        <w:pPr>
                          <w:pStyle w:val="64"/>
                        </w:pPr>
                        <w:r>
                          <w:rPr>
                            <w:rFonts w:hint="eastAsia"/>
                          </w:rPr>
                          <w:t>（现场总监）</w:t>
                        </w:r>
                      </w:p>
                      <w:p>
                        <w:pPr/>
                      </w:p>
                    </w:txbxContent>
                  </v:textbox>
                </v:shape>
                <v:line id="Line 19" o:spid="_x0000_s1026" o:spt="20" style="position:absolute;left:3963;top:2964;height:468;width:0;" filled="f" stroked="t" coordsize="21600,21600" o:gfxdata="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41QS8AAAA&#10;2wAAAA8AAAAAAAAAAQAgAAAAIgAAAGRycy9kb3ducmV2LnhtbFBLAQIUABQAAAAIAIdO4kAzLwWe&#10;OwAAADkAAAAQAAAAAAAAAAEAIAAAAAsBAABkcnMvc2hhcGV4bWwueG1sUEsFBgAAAAAGAAYAWwEA&#10;ALUDAAAAAA==&#10;">
                  <v:fill on="f" focussize="0,0"/>
                  <v:stroke color="#000000" joinstyle="round" startarrow="block" startarrowwidth="narrow" startarrowlength="long"/>
                  <v:imagedata o:title=""/>
                  <o:lock v:ext="edit" aspectratio="f"/>
                </v:line>
                <v:line id="Line 20" o:spid="_x0000_s1026" o:spt="20" style="position:absolute;left:1803;top:402;height:1560;width:0;" filled="f" stroked="t" coordsize="21600,21600" o:gfxdata="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VSNy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21" o:spid="_x0000_s1026" o:spt="20" style="position:absolute;left:1803;top:1962;height:0;width:1980;" filled="f" stroked="t" coordsize="21600,21600" o:gfxdata="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66l+/&#10;AAAA2wAAAA8AAAAAAAAAAQAgAAAAIgAAAGRycy9kb3ducmV2LnhtbFBLAQIUABQAAAAIAIdO4kAz&#10;LwWeOwAAADkAAAAQAAAAAAAAAAEAIAAAAA4BAABkcnMvc2hhcGV4bWwueG1sUEsFBgAAAAAGAAYA&#10;WwEAALgDAAAAAA==&#10;">
                  <v:fill on="f" focussize="0,0"/>
                  <v:stroke color="#000000" joinstyle="round" endarrow="block" endarrowwidth="narrow" endarrowlength="long"/>
                  <v:imagedata o:title=""/>
                  <o:lock v:ext="edit" aspectratio="f"/>
                </v:line>
                <v:line id="Line 22" o:spid="_x0000_s1026" o:spt="20" style="position:absolute;left:1803;top:3432;height:0;width:4320;" filled="f" stroked="t" coordsize="21600,21600" o:gfxdata="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GeTW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23" o:spid="_x0000_s1026" o:spt="20" style="position:absolute;left:1803;top:3432;height:468;width:0;" filled="f" stroked="t" coordsize="21600,21600" o:gfxdata="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LOS5AAAA2wAA&#10;AA8AAAAAAAAAAQAgAAAAIgAAAGRycy9kb3ducmV2LnhtbFBLAQIUABQAAAAIAIdO4kAzLwWeOwAA&#10;ADkAAAAQAAAAAAAAAAEAIAAAAAgBAABkcnMvc2hhcGV4bWwueG1sUEsFBgAAAAAGAAYAWwEAALID&#10;AAAAAA==&#10;">
                  <v:fill on="f" focussize="0,0"/>
                  <v:stroke color="#000000" joinstyle="round" endarrow="block" endarrowwidth="narrow" endarrowlength="long"/>
                  <v:imagedata o:title=""/>
                  <o:lock v:ext="edit" aspectratio="f"/>
                </v:line>
                <v:line id="Line 24" o:spid="_x0000_s1026" o:spt="20" style="position:absolute;left:6123;top:3432;height:468;width:0;" filled="f" stroked="t" coordsize="21600,21600" o:gfxdata="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7Il/vQAA&#10;ANsAAAAPAAAAAAAAAAEAIAAAACIAAABkcnMvZG93bnJldi54bWxQSwECFAAUAAAACACHTuJAMy8F&#10;njsAAAA5AAAAEAAAAAAAAAABACAAAAAMAQAAZHJzL3NoYXBleG1sLnhtbFBLBQYAAAAABgAGAFsB&#10;AAC2AwAAAAA=&#10;">
                  <v:fill on="f" focussize="0,0"/>
                  <v:stroke color="#000000" joinstyle="round" endarrow="block" endarrowwidth="narrow" endarrowlength="long"/>
                  <v:imagedata o:title=""/>
                  <o:lock v:ext="edit" aspectratio="f"/>
                </v:line>
                <v:shape id="Text Box 25" o:spid="_x0000_s1026" o:spt="202" type="#_x0000_t202" style="position:absolute;left:903;top:3897;height:468;width:1800;" fillcolor="#FFFFFF" filled="t" stroked="t" coordsize="21600,21600" o:gfxdata="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Zjx+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0.5mm,1.27mm,0.5mm,1.27mm">
                    <w:txbxContent>
                      <w:p>
                        <w:pPr>
                          <w:pStyle w:val="64"/>
                        </w:pPr>
                        <w:r>
                          <w:rPr>
                            <w:rFonts w:hint="eastAsia"/>
                          </w:rPr>
                          <w:t>码头区工作人员</w:t>
                        </w:r>
                      </w:p>
                    </w:txbxContent>
                  </v:textbox>
                </v:shape>
                <v:shape id="Text Box 26" o:spid="_x0000_s1026" o:spt="202" type="#_x0000_t202" style="position:absolute;left:4055;top:3900;height:468;width:4140;" fillcolor="#FFFFFF" filled="t" stroked="t" coordsize="21600,21600" o:gfxdata="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TE2e/&#10;AAAA2w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pPr>
                          <w:pStyle w:val="64"/>
                        </w:pPr>
                        <w:r>
                          <w:rPr>
                            <w:rFonts w:hint="eastAsia"/>
                          </w:rPr>
                          <w:t>白洋港区安全保卫部应急小组</w:t>
                        </w:r>
                      </w:p>
                      <w:p>
                        <w:pPr/>
                      </w:p>
                    </w:txbxContent>
                  </v:textbox>
                </v:shape>
                <v:line id="Line 27" o:spid="_x0000_s1026" o:spt="20" style="position:absolute;left:6123;top:4385;height:465;width:0;" filled="f" stroked="t" coordsize="21600,21600" o:gfxdata="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JQfub4A&#10;AADbAAAADwAAAAAAAAABACAAAAAiAAAAZHJzL2Rvd25yZXYueG1sUEsBAhQAFAAAAAgAh07iQDMv&#10;BZ47AAAAOQAAABAAAAAAAAAAAQAgAAAADQEAAGRycy9zaGFwZXhtbC54bWxQSwUGAAAAAAYABgBb&#10;AQAAtwMAAAAA&#10;">
                  <v:fill on="f" focussize="0,0"/>
                  <v:stroke color="#000000" joinstyle="round" startarrow="block" startarrowwidth="narrow" startarrowlength="long"/>
                  <v:imagedata o:title=""/>
                  <o:lock v:ext="edit" aspectratio="f"/>
                </v:line>
                <v:line id="Line 28" o:spid="_x0000_s1026" o:spt="20" style="position:absolute;left:4323;top:4853;height:0;width:3600;" filled="f" stroked="t" coordsize="21600,21600" o:gfxdata="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uYJ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29" o:spid="_x0000_s1026" o:spt="20" style="position:absolute;left:4323;top:4853;height:468;width:0;" filled="f" stroked="t" coordsize="21600,21600" o:gfxdata="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6ObsAAADb&#10;AAAADwAAAAAAAAABACAAAAAiAAAAZHJzL2Rvd25yZXYueG1sUEsBAhQAFAAAAAgAh07iQDMvBZ47&#10;AAAAOQAAABAAAAAAAAAAAQAgAAAACgEAAGRycy9zaGFwZXhtbC54bWxQSwUGAAAAAAYABgBbAQAA&#10;tAMAAAAA&#10;">
                  <v:fill on="f" focussize="0,0"/>
                  <v:stroke color="#000000" joinstyle="round" endarrow="block" endarrowwidth="narrow" endarrowlength="long"/>
                  <v:imagedata o:title=""/>
                  <o:lock v:ext="edit" aspectratio="f"/>
                </v:line>
                <v:line id="Line 30" o:spid="_x0000_s1026" o:spt="20" style="position:absolute;left:7023;top:4853;height:468;width:0;" filled="f" stroked="t" coordsize="21600,21600" o:gfxdata="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8qlBO/&#10;AAAA3AAAAA8AAAAAAAAAAQAgAAAAIgAAAGRycy9kb3ducmV2LnhtbFBLAQIUABQAAAAIAIdO4kAz&#10;LwWeOwAAADkAAAAQAAAAAAAAAAEAIAAAAA4BAABkcnMvc2hhcGV4bWwueG1sUEsFBgAAAAAGAAYA&#10;WwEAALgDAAAAAA==&#10;">
                  <v:fill on="f" focussize="0,0"/>
                  <v:stroke color="#000000" joinstyle="round" endarrow="block" endarrowwidth="narrow" endarrowlength="long"/>
                  <v:imagedata o:title=""/>
                  <o:lock v:ext="edit" aspectratio="f"/>
                </v:line>
                <v:shape id="Text Box 31" o:spid="_x0000_s1026" o:spt="202" type="#_x0000_t202" style="position:absolute;left:4055;top:5321;height:1716;width:540;" fillcolor="#FFFFFF" filled="t" stroked="t" coordsize="21600,21600" o:gfxdata="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40j6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2.54mm,0mm,2.54mm,0mm">
                    <w:txbxContent>
                      <w:p>
                        <w:pPr>
                          <w:spacing w:line="240" w:lineRule="exact"/>
                          <w:jc w:val="center"/>
                        </w:pPr>
                        <w:r>
                          <w:rPr>
                            <w:rFonts w:hint="eastAsia"/>
                          </w:rPr>
                          <w:t>组组长/副组长</w:t>
                        </w:r>
                      </w:p>
                    </w:txbxContent>
                  </v:textbox>
                </v:shape>
                <v:shape id="Text Box 32" o:spid="_x0000_s1026" o:spt="202" type="#_x0000_t202" style="position:absolute;left:6755;top:5321;height:1716;width:540;" fillcolor="#FFFFFF" filled="t" stroked="t" coordsize="21600,21600" o:gfxdata="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S4IHr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spacing w:line="240" w:lineRule="exact"/>
                          <w:ind w:firstLine="420"/>
                          <w:jc w:val="center"/>
                        </w:pPr>
                        <w:r>
                          <w:rPr>
                            <w:rFonts w:hint="eastAsia"/>
                          </w:rPr>
                          <w:t>操工作人员</w:t>
                        </w:r>
                      </w:p>
                    </w:txbxContent>
                  </v:textbox>
                </v:shape>
                <v:line id="Line 33" o:spid="_x0000_s1026" o:spt="20" style="position:absolute;left:5223;top:4853;height:468;width:0;" filled="f" stroked="t" coordsize="21600,21600" o:gfxdata="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sKj+bsAAADc&#10;AAAADwAAAAAAAAABACAAAAAiAAAAZHJzL2Rvd25yZXYueG1sUEsBAhQAFAAAAAgAh07iQDMvBZ47&#10;AAAAOQAAABAAAAAAAAAAAQAgAAAACgEAAGRycy9zaGFwZXhtbC54bWxQSwUGAAAAAAYABgBbAQAA&#10;tAMAAAAA&#10;">
                  <v:fill on="f" focussize="0,0"/>
                  <v:stroke color="#000000" joinstyle="round" endarrow="block" endarrowwidth="narrow" endarrowlength="long"/>
                  <v:imagedata o:title=""/>
                  <o:lock v:ext="edit" aspectratio="f"/>
                </v:line>
                <v:shape id="Text Box 34" o:spid="_x0000_s1026" o:spt="202" type="#_x0000_t202" style="position:absolute;left:4955;top:5321;height:1716;width:540;" fillcolor="#FFFFFF" filled="t" stroked="t" coordsize="21600,21600" o:gfxdata="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LI4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2.54mm,0mm,2.54mm,0mm">
                    <w:txbxContent>
                      <w:p>
                        <w:pPr>
                          <w:spacing w:line="240" w:lineRule="exact"/>
                          <w:ind w:firstLine="420"/>
                          <w:jc w:val="center"/>
                        </w:pPr>
                        <w:r>
                          <w:rPr>
                            <w:rFonts w:hint="eastAsia"/>
                          </w:rPr>
                          <w:t>预预测评估人员</w:t>
                        </w:r>
                      </w:p>
                    </w:txbxContent>
                  </v:textbox>
                </v:shape>
                <v:line id="Line 35" o:spid="_x0000_s1026" o:spt="20" style="position:absolute;left:6123;top:4853;height:468;width:0;" filled="f" stroked="t" coordsize="21600,21600" o:gfxdata="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gQvW/&#10;AAAA3AAAAA8AAAAAAAAAAQAgAAAAIgAAAGRycy9kb3ducmV2LnhtbFBLAQIUABQAAAAIAIdO4kAz&#10;LwWeOwAAADkAAAAQAAAAAAAAAAEAIAAAAA4BAABkcnMvc2hhcGV4bWwueG1sUEsFBgAAAAAGAAYA&#10;WwEAALgDAAAAAA==&#10;">
                  <v:fill on="f" focussize="0,0"/>
                  <v:stroke color="#000000" joinstyle="round" endarrow="block" endarrowwidth="narrow" endarrowlength="long"/>
                  <v:imagedata o:title=""/>
                  <o:lock v:ext="edit" aspectratio="f"/>
                </v:line>
                <v:shape id="Text Box 36" o:spid="_x0000_s1026" o:spt="202" type="#_x0000_t202" style="position:absolute;left:5855;top:5321;height:1716;width:540;" fillcolor="#FFFFFF" filled="t" stroked="t" coordsize="21600,21600" o:gfxdata="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Mf1D7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2.54mm,0mm,2.54mm,0mm">
                    <w:txbxContent>
                      <w:p>
                        <w:pPr>
                          <w:spacing w:line="240" w:lineRule="exact"/>
                          <w:ind w:firstLine="420"/>
                          <w:jc w:val="center"/>
                        </w:pPr>
                        <w:r>
                          <w:rPr>
                            <w:rFonts w:hint="eastAsia"/>
                          </w:rPr>
                          <w:t>监监测化验人员</w:t>
                        </w:r>
                      </w:p>
                    </w:txbxContent>
                  </v:textbox>
                </v:shape>
                <v:line id="Line 37" o:spid="_x0000_s1026" o:spt="20" style="position:absolute;left:7923;top:4853;height:468;width:0;" filled="f" stroked="t" coordsize="21600,21600" o:gfxdata="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X4W2/&#10;AAAA3AAAAA8AAAAAAAAAAQAgAAAAIgAAAGRycy9kb3ducmV2LnhtbFBLAQIUABQAAAAIAIdO4kAz&#10;LwWeOwAAADkAAAAQAAAAAAAAAAEAIAAAAA4BAABkcnMvc2hhcGV4bWwueG1sUEsFBgAAAAAGAAYA&#10;WwEAALgDAAAAAA==&#10;">
                  <v:fill on="f" focussize="0,0"/>
                  <v:stroke color="#000000" joinstyle="round" endarrow="block" endarrowwidth="narrow" endarrowlength="long"/>
                  <v:imagedata o:title=""/>
                  <o:lock v:ext="edit" aspectratio="f"/>
                </v:line>
                <v:shape id="Text Box 38" o:spid="_x0000_s1026" o:spt="202" type="#_x0000_t202" style="position:absolute;left:7655;top:5321;height:1716;width:540;" fillcolor="#FFFFFF" filled="t" stroked="t" coordsize="21600,21600" o:gfxdata="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Sh7Y7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spacing w:line="240" w:lineRule="exact"/>
                          <w:ind w:firstLine="420"/>
                          <w:jc w:val="center"/>
                        </w:pPr>
                        <w:r>
                          <w:rPr>
                            <w:rFonts w:hint="eastAsia"/>
                          </w:rPr>
                          <w:t>值值班人员</w:t>
                        </w:r>
                      </w:p>
                    </w:txbxContent>
                  </v:textbox>
                </v:shape>
                <v:line id="Line 39" o:spid="_x0000_s1026" o:spt="20" style="position:absolute;left:1803;top:4385;height:465;width:0;" filled="f" stroked="t" coordsize="21600,21600" o:gfxdata="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DBw68AAAA&#10;3AAAAA8AAAAAAAAAAQAgAAAAIgAAAGRycy9kb3ducmV2LnhtbFBLAQIUABQAAAAIAIdO4kAzLwWe&#10;OwAAADkAAAAQAAAAAAAAAAEAIAAAAAsBAABkcnMvc2hhcGV4bWwueG1sUEsFBgAAAAAGAAYAWwEA&#10;ALUDAAAAAA==&#10;">
                  <v:fill on="f" focussize="0,0"/>
                  <v:stroke color="#000000" joinstyle="round" startarrow="block" startarrowwidth="narrow" startarrowlength="long"/>
                  <v:imagedata o:title=""/>
                  <o:lock v:ext="edit" aspectratio="f"/>
                </v:line>
                <v:line id="Line 40" o:spid="_x0000_s1026" o:spt="20" style="position:absolute;left:903;top:4853;height:0;width:1800;" filled="f" stroked="t" coordsize="21600,21600" o:gfxdata="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iI6Aa/&#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41" o:spid="_x0000_s1026" o:spt="20" style="position:absolute;left:903;top:4850;height:468;width:0;" filled="f" stroked="t" coordsize="21600,21600" o:gfxdata="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WtKX7sAAADc&#10;AAAADwAAAAAAAAABACAAAAAiAAAAZHJzL2Rvd25yZXYueG1sUEsBAhQAFAAAAAgAh07iQDMvBZ47&#10;AAAAOQAAABAAAAAAAAAAAQAgAAAACgEAAGRycy9zaGFwZXhtbC54bWxQSwUGAAAAAAYABgBbAQAA&#10;tAMAAAAA&#10;">
                  <v:fill on="f" focussize="0,0"/>
                  <v:stroke color="#000000" joinstyle="round" endarrow="block" endarrowwidth="narrow" endarrowlength="long"/>
                  <v:imagedata o:title=""/>
                  <o:lock v:ext="edit" aspectratio="f"/>
                </v:line>
                <v:line id="Line 42" o:spid="_x0000_s1026" o:spt="20" style="position:absolute;left:2703;top:4853;height:468;width:0;" filled="f" stroked="t" coordsize="21600,21600" o:gfxdata="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J+/E&#10;wAAAANwAAAAPAAAAAAAAAAEAIAAAACIAAABkcnMvZG93bnJldi54bWxQSwECFAAUAAAACACHTuJA&#10;My8FnjsAAAA5AAAAEAAAAAAAAAABACAAAAAPAQAAZHJzL3NoYXBleG1sLnhtbFBLBQYAAAAABgAG&#10;AFsBAAC5AwAAAAA=&#10;">
                  <v:fill on="f" focussize="0,0"/>
                  <v:stroke color="#000000" joinstyle="round" endarrow="block" endarrowwidth="narrow" endarrowlength="long"/>
                  <v:imagedata o:title=""/>
                  <o:lock v:ext="edit" aspectratio="f"/>
                </v:line>
                <v:shape id="Text Box 43" o:spid="_x0000_s1026" o:spt="202" type="#_x0000_t202" style="position:absolute;left:635;top:5321;height:1716;width:540;" fillcolor="#FFFFFF" filled="t" stroked="t" coordsize="21600,21600" o:gfxdata="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bteP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2.54mm,0mm,2.54mm,0mm">
                    <w:txbxContent>
                      <w:p>
                        <w:pPr>
                          <w:jc w:val="center"/>
                        </w:pPr>
                      </w:p>
                      <w:p>
                        <w:pPr>
                          <w:jc w:val="center"/>
                        </w:pPr>
                        <w:r>
                          <w:rPr>
                            <w:rFonts w:hint="eastAsia"/>
                          </w:rPr>
                          <w:t>码头长</w:t>
                        </w:r>
                      </w:p>
                    </w:txbxContent>
                  </v:textbox>
                </v:shape>
                <v:shape id="Text Box 44" o:spid="_x0000_s1026" o:spt="202" type="#_x0000_t202" style="position:absolute;left:2435;top:5321;height:1716;width:540;" fillcolor="#FFFFFF" filled="t" stroked="t" coordsize="21600,21600" o:gfxdata="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vf7pr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2.54mm,0mm,2.54mm,0mm">
                    <w:txbxContent>
                      <w:p>
                        <w:pPr>
                          <w:spacing w:line="240" w:lineRule="exact"/>
                          <w:jc w:val="center"/>
                        </w:pPr>
                        <w:r>
                          <w:rPr>
                            <w:rFonts w:hint="eastAsia"/>
                          </w:rPr>
                          <w:t>码码头值班人员</w:t>
                        </w:r>
                      </w:p>
                    </w:txbxContent>
                  </v:textbox>
                </v:shape>
                <v:line id="Line 45" o:spid="_x0000_s1026" o:spt="20" style="position:absolute;left:1803;top:4853;height:468;width:0;" filled="f" stroked="t" coordsize="21600,21600" o:gfxdata="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UExc&#10;wAAAANwAAAAPAAAAAAAAAAEAIAAAACIAAABkcnMvZG93bnJldi54bWxQSwECFAAUAAAACACHTuJA&#10;My8FnjsAAAA5AAAAEAAAAAAAAAABACAAAAAPAQAAZHJzL3NoYXBleG1sLnhtbFBLBQYAAAAABgAG&#10;AFsBAAC5AwAAAAA=&#10;">
                  <v:fill on="f" focussize="0,0"/>
                  <v:stroke color="#000000" joinstyle="round" endarrow="block" endarrowwidth="narrow" endarrowlength="long"/>
                  <v:imagedata o:title=""/>
                  <o:lock v:ext="edit" aspectratio="f"/>
                </v:line>
                <v:shape id="Text Box 46" o:spid="_x0000_s1026" o:spt="202" type="#_x0000_t202" style="position:absolute;left:1531;top:5321;height:1716;width:540;" fillcolor="#FFFFFF" filled="t" stroked="t" coordsize="21600,21600" o:gfxdata="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HSBE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2.54mm,0mm,2.54mm,0mm">
                    <w:txbxContent>
                      <w:p>
                        <w:pPr>
                          <w:spacing w:line="240" w:lineRule="exact"/>
                          <w:jc w:val="center"/>
                        </w:pPr>
                        <w:r>
                          <w:rPr>
                            <w:rFonts w:hint="eastAsia"/>
                          </w:rPr>
                          <w:t>码码头工作人员</w:t>
                        </w:r>
                      </w:p>
                    </w:txbxContent>
                  </v:textbox>
                </v:shape>
                <v:line id="Line 47" o:spid="_x0000_s1026" o:spt="20" style="position:absolute;left:3871;top:780;flip:y;height:468;width:0;" filled="f" stroked="t" coordsize="21600,21600" o:gfxdata="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Lq76bsAAADb&#10;AAAADwAAAAAAAAABACAAAAAiAAAAZHJzL2Rvd25yZXYueG1sUEsBAhQAFAAAAAgAh07iQDMvBZ47&#10;AAAAOQAAABAAAAAAAAAAAQAgAAAACgEAAGRycy9zaGFwZXhtbC54bWxQSwUGAAAAAAYABgBbAQAA&#10;tAMAAAAA&#10;">
                  <v:fill on="f" focussize="0,0"/>
                  <v:stroke color="#000000" joinstyle="round" endarrow="block" endarrowwidth="narrow" endarrowlength="long"/>
                  <v:imagedata o:title=""/>
                  <o:lock v:ext="edit" aspectratio="f"/>
                </v:line>
                <v:line id="Line 48" o:spid="_x0000_s1026" o:spt="20" style="position:absolute;left:3871;top:1716;flip:y;height:468;width:0;" filled="f" stroked="t" coordsize="21600,21600" o:gfxdata="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fex7LgAAADbAAAA&#10;DwAAAAAAAAABACAAAAAiAAAAZHJzL2Rvd25yZXYueG1sUEsBAhQAFAAAAAgAh07iQDMvBZ47AAAA&#10;OQAAABAAAAAAAAAAAQAgAAAABwEAAGRycy9zaGFwZXhtbC54bWxQSwUGAAAAAAYABgBbAQAAsQMA&#10;AAAA&#10;">
                  <v:fill on="f" focussize="0,0"/>
                  <v:stroke color="#000000" joinstyle="round" endarrow="block" endarrowwidth="narrow" endarrowlength="long"/>
                  <v:imagedata o:title=""/>
                  <o:lock v:ext="edit" aspectratio="f"/>
                </v:line>
                <v:line id="Line 49" o:spid="_x0000_s1026" o:spt="20" style="position:absolute;left:1803;top:402;height:0;width:540;" filled="f" stroked="t" coordsize="21600,21600" o:gfxdata="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j/+1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shape id="Text Box 50" o:spid="_x0000_s1026" o:spt="202" type="#_x0000_t202" style="position:absolute;left:6123;top:1248;height:468;width:1980;" fillcolor="#FFFFFF" filled="t" stroked="t" coordsize="21600,21600" o:gfxdata="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vQu/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1.5mm,1.27mm,1.5mm,1.27mm">
                    <w:txbxContent>
                      <w:p>
                        <w:pPr>
                          <w:pStyle w:val="64"/>
                        </w:pPr>
                        <w:r>
                          <w:rPr>
                            <w:rFonts w:hint="eastAsia"/>
                          </w:rPr>
                          <w:t>技术咨询专家评估</w:t>
                        </w:r>
                      </w:p>
                    </w:txbxContent>
                  </v:textbox>
                </v:shape>
                <v:line id="Line 51" o:spid="_x0000_s1026" o:spt="20" style="position:absolute;left:5583;top:1539;height:0;width:540;" filled="f" stroked="t" coordsize="21600,21600" o:gfxdata="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eHyqL4A&#10;AADbAAAADwAAAAAAAAABACAAAAAiAAAAZHJzL2Rvd25yZXYueG1sUEsBAhQAFAAAAAgAh07iQDMv&#10;BZ47AAAAOQAAABAAAAAAAAAAAQAgAAAADQEAAGRycy9zaGFwZXhtbC54bWxQSwUGAAAAAAYABgBb&#10;AQAAtwMAAAAA&#10;">
                  <v:fill on="f" focussize="0,0"/>
                  <v:stroke color="#000000" joinstyle="round" endarrow="block" endarrowwidth="narrow" endarrowlength="long"/>
                  <v:imagedata o:title=""/>
                  <o:lock v:ext="edit" aspectratio="f"/>
                </v:line>
                <v:line id="Line 52" o:spid="_x0000_s1026" o:spt="20" style="position:absolute;left:5583;top:1437;height:0;width:540;" filled="f" stroked="t" coordsize="21600,21600" o:gfxdata="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TxZgb4A&#10;AADbAAAADwAAAAAAAAABACAAAAAiAAAAZHJzL2Rvd25yZXYueG1sUEsBAhQAFAAAAAgAh07iQDMv&#10;BZ47AAAAOQAAABAAAAAAAAAAAQAgAAAADQEAAGRycy9zaGFwZXhtbC54bWxQSwUGAAAAAAYABgBb&#10;AQAAtwMAAAAA&#10;">
                  <v:fill on="f" focussize="0,0"/>
                  <v:stroke color="#000000" joinstyle="round" startarrow="block" startarrowwidth="narrow" startarrowlength="long"/>
                  <v:imagedata o:title=""/>
                  <o:lock v:ext="edit" aspectratio="f"/>
                </v:line>
                <v:line id="Line 53" o:spid="_x0000_s1026" o:spt="20" style="position:absolute;left:3423;top:3653;height:3588;width:0;" filled="f" stroked="t" coordsize="21600,21600" o:gfxdata="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Zktjr4A&#10;AADbAAAADwAAAAAAAAABACAAAAAiAAAAZHJzL2Rvd25yZXYueG1sUEsBAhQAFAAAAAgAh07iQDMv&#10;BZ47AAAAOQAAABAAAAAAAAAAAQAgAAAADQEAAGRycy9zaGFwZXhtbC54bWxQSwUGAAAAAAYABgBb&#10;AQAAtwMAAAAA&#10;">
                  <v:fill on="f" focussize="0,0"/>
                  <v:stroke color="#000000" joinstyle="round" dashstyle="1 1"/>
                  <v:imagedata o:title=""/>
                  <o:lock v:ext="edit" aspectratio="f"/>
                </v:line>
                <v:line id="Line 54" o:spid="_x0000_s1026" o:spt="20" style="position:absolute;left:0;top:7266;flip:x;height:0;width:3420;" filled="f" stroked="t" coordsize="21600,21600" o:gfxdata="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2v4vugAAANsA&#10;AAAPAAAAAAAAAAEAIAAAACIAAABkcnMvZG93bnJldi54bWxQSwECFAAUAAAACACHTuJAMy8FnjsA&#10;AAA5AAAAEAAAAAAAAAABACAAAAAJAQAAZHJzL3NoYXBleG1sLnhtbFBLBQYAAAAABgAGAFsBAACz&#10;AwAAAAA=&#10;">
                  <v:fill on="f" focussize="0,0"/>
                  <v:stroke color="#000000" joinstyle="round" dashstyle="1 1"/>
                  <v:imagedata o:title=""/>
                  <o:lock v:ext="edit" aspectratio="f"/>
                </v:line>
                <v:line id="Line 55" o:spid="_x0000_s1026" o:spt="20" style="position:absolute;left:0;top:3634;height:3643;width:0;" filled="f" stroked="t" coordsize="21600,21600" o:gfxdata="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mIIQvQAA&#10;ANsAAAAPAAAAAAAAAAEAIAAAACIAAABkcnMvZG93bnJldi54bWxQSwECFAAUAAAACACHTuJAMy8F&#10;njsAAAA5AAAAEAAAAAAAAAABACAAAAAMAQAAZHJzL3NoYXBleG1sLnhtbFBLBQYAAAAABgAGAFsB&#10;AAC2AwAAAAA=&#10;">
                  <v:fill on="f" focussize="0,0"/>
                  <v:stroke color="#000000" joinstyle="round" dashstyle="1 1"/>
                  <v:imagedata o:title=""/>
                  <o:lock v:ext="edit" aspectratio="f"/>
                </v:line>
                <v:shape id="Text Box 56" o:spid="_x0000_s1026" o:spt="202" type="#_x0000_t202" style="position:absolute;left:147;top:4527;height:1872;width:363;" filled="f" stroked="f" coordsize="21600,21600" o:gfxdata="UEsDBAoAAAAAAIdO4kAAAAAAAAAAAAAAAAAEAAAAZHJzL1BLAwQUAAAACACHTuJAnGBIeLoAAADb&#10;AAAADwAAAGRycy9kb3ducmV2LnhtbEVPy2oCMRTdF/yHcAvd1USh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YEh4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adjustRightInd w:val="0"/>
                          <w:snapToGrid w:val="0"/>
                          <w:spacing w:line="280" w:lineRule="exact"/>
                          <w:jc w:val="center"/>
                        </w:pPr>
                        <w:r>
                          <w:rPr>
                            <w:rFonts w:hint="eastAsia"/>
                          </w:rPr>
                          <w:t>码头应急系统</w:t>
                        </w:r>
                      </w:p>
                    </w:txbxContent>
                  </v:textbox>
                </v:shape>
                <v:line id="Line 57" o:spid="_x0000_s1026" o:spt="20" style="position:absolute;left:0;top:3648;height:0;width:3420;" filled="f" stroked="t" coordsize="21600,21600" o:gfxdata="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NxjLvQAA&#10;ANsAAAAPAAAAAAAAAAEAIAAAACIAAABkcnMvZG93bnJldi54bWxQSwECFAAUAAAACACHTuJAMy8F&#10;njsAAAA5AAAAEAAAAAAAAAABACAAAAAMAQAAZHJzL3NoYXBleG1sLnhtbFBLBQYAAAAABgAGAFsB&#10;AAC2AwAAAAA=&#10;">
                  <v:fill on="f" focussize="0,0"/>
                  <v:stroke color="#000000" joinstyle="round" dashstyle="1 1"/>
                  <v:imagedata o:title=""/>
                  <o:lock v:ext="edit" aspectratio="f"/>
                </v:line>
                <w10:wrap type="none"/>
                <w10:anchorlock/>
              </v:group>
            </w:pict>
          </mc:Fallback>
        </mc:AlternateContent>
      </w:r>
    </w:p>
    <w:p>
      <w:pPr>
        <w:ind w:firstLine="562"/>
        <w:jc w:val="center"/>
        <w:rPr>
          <w:rFonts w:hAnsi="宋体"/>
          <w:b/>
          <w:color w:val="000000" w:themeColor="text1"/>
          <w14:textFill>
            <w14:solidFill>
              <w14:schemeClr w14:val="tx1"/>
            </w14:solidFill>
          </w14:textFill>
        </w:rPr>
      </w:pPr>
      <w:r>
        <w:rPr>
          <w:rFonts w:hint="eastAsia" w:hAnsi="宋体"/>
          <w:b/>
          <w:color w:val="000000" w:themeColor="text1"/>
          <w14:textFill>
            <w14:solidFill>
              <w14:schemeClr w14:val="tx1"/>
            </w14:solidFill>
          </w14:textFill>
        </w:rPr>
        <w:t>图8.5-6应急组织衔接图</w:t>
      </w:r>
    </w:p>
    <w:p>
      <w:pPr>
        <w:pStyle w:val="5"/>
        <w:tabs>
          <w:tab w:val="left" w:pos="567"/>
          <w:tab w:val="clear" w:pos="2138"/>
        </w:tabs>
        <w:spacing w:before="48" w:beforeLines="20" w:after="48" w:line="360" w:lineRule="auto"/>
        <w:ind w:left="0" w:firstLine="0"/>
        <w:rPr>
          <w:b/>
          <w:bCs/>
          <w:color w:val="000000" w:themeColor="text1"/>
          <w:sz w:val="28"/>
          <w:szCs w:val="32"/>
          <w14:textFill>
            <w14:solidFill>
              <w14:schemeClr w14:val="tx1"/>
            </w14:solidFill>
          </w14:textFill>
        </w:rPr>
      </w:pPr>
      <w:r>
        <w:rPr>
          <w:rFonts w:hint="eastAsia"/>
          <w:b/>
          <w:bCs/>
          <w:color w:val="000000" w:themeColor="text1"/>
          <w:sz w:val="28"/>
          <w:szCs w:val="32"/>
          <w14:textFill>
            <w14:solidFill>
              <w14:schemeClr w14:val="tx1"/>
            </w14:solidFill>
          </w14:textFill>
        </w:rPr>
        <w:t>应急响应预案</w:t>
      </w:r>
    </w:p>
    <w:p>
      <w:pPr>
        <w:pStyle w:val="78"/>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（1）应急组织指挥机构</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组织指挥机构由宜昌海事局海事监管中心领导、白洋港区生产安全部领导应急小组成员以及相关的技术咨询专家组成。三峡物流中心生产安全部领导应急小组组长在宜昌海事局海事监管中心领导、公司安全部领导未到达事故现场时担任应急指挥，待有关领导抵达现场时移交指挥。</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根据国家环境保护部规定，因生产安全事故引起环境污染事故时，除按事故应急系统逐级上报外，应在事故发生第一时间，迅速报告宜昌市环境保护局和湖北省环境保护厅。</w:t>
      </w:r>
    </w:p>
    <w:p>
      <w:pPr>
        <w:rPr>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应急反应行动图见7.6-8。</w:t>
      </w:r>
    </w:p>
    <w:p>
      <w:pPr>
        <w:jc w:val="center"/>
        <w:rPr>
          <w:rFonts w:hAnsi="宋体"/>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86300" cy="4800600"/>
            <wp:effectExtent l="1905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52" cstate="print"/>
                    <a:srcRect/>
                    <a:stretch>
                      <a:fillRect/>
                    </a:stretch>
                  </pic:blipFill>
                  <pic:spPr>
                    <a:xfrm>
                      <a:off x="0" y="0"/>
                      <a:ext cx="4686300" cy="4800600"/>
                    </a:xfrm>
                    <a:prstGeom prst="rect">
                      <a:avLst/>
                    </a:prstGeom>
                    <a:noFill/>
                    <a:ln w="9525">
                      <a:noFill/>
                      <a:miter lim="800000"/>
                      <a:headEnd/>
                      <a:tailEnd/>
                    </a:ln>
                  </pic:spPr>
                </pic:pic>
              </a:graphicData>
            </a:graphic>
          </wp:inline>
        </w:drawing>
      </w:r>
    </w:p>
    <w:p>
      <w:pPr>
        <w:spacing w:before="120" w:after="120"/>
        <w:ind w:firstLine="482"/>
        <w:jc w:val="center"/>
        <w:rPr>
          <w:rFonts w:hAnsi="宋体"/>
          <w:b/>
          <w:color w:val="000000" w:themeColor="text1"/>
          <w14:textFill>
            <w14:solidFill>
              <w14:schemeClr w14:val="tx1"/>
            </w14:solidFill>
          </w14:textFill>
        </w:rPr>
      </w:pPr>
      <w:r>
        <w:rPr>
          <w:rFonts w:hint="eastAsia" w:hAnsi="宋体"/>
          <w:b/>
          <w:color w:val="000000" w:themeColor="text1"/>
          <w14:textFill>
            <w14:solidFill>
              <w14:schemeClr w14:val="tx1"/>
            </w14:solidFill>
          </w14:textFill>
        </w:rPr>
        <w:t>图8.5－7  应急反应行动图</w:t>
      </w:r>
    </w:p>
    <w:p>
      <w:pPr>
        <w:pStyle w:val="78"/>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表8.5-3  应急组织指挥机构成员职责</w:t>
      </w:r>
    </w:p>
    <w:tbl>
      <w:tblPr>
        <w:tblStyle w:val="105"/>
        <w:tblW w:w="9250"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43"/>
        <w:gridCol w:w="1750"/>
        <w:gridCol w:w="5184"/>
        <w:gridCol w:w="157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419" w:hRule="atLeast"/>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序号</w:t>
            </w:r>
          </w:p>
        </w:tc>
        <w:tc>
          <w:tcPr>
            <w:tcW w:w="1750"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机构成员</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职责</w:t>
            </w:r>
          </w:p>
        </w:tc>
        <w:tc>
          <w:tcPr>
            <w:tcW w:w="157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1</w:t>
            </w:r>
          </w:p>
        </w:tc>
        <w:tc>
          <w:tcPr>
            <w:tcW w:w="1750" w:type="dxa"/>
            <w:vAlign w:val="center"/>
          </w:tcPr>
          <w:p>
            <w:pPr>
              <w:ind w:right="-67" w:rightChars="-32"/>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宜昌市海事局</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接收水上事故险情报告，负责监督油污应急计划的实施，必要时协调水上专业救助队伍和交通行业有关部门的应急行动，调动各部门拥有的溢油应急反应的人力、物力、后勤支援，召集应急专家为本码头提供技术咨询支持。</w:t>
            </w:r>
          </w:p>
        </w:tc>
        <w:tc>
          <w:tcPr>
            <w:tcW w:w="1573" w:type="dxa"/>
            <w:vAlign w:val="center"/>
          </w:tcPr>
          <w:p>
            <w:pPr>
              <w:rPr>
                <w:color w:val="000000" w:themeColor="text1"/>
                <w:kern w:val="0"/>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2</w:t>
            </w:r>
          </w:p>
        </w:tc>
        <w:tc>
          <w:tcPr>
            <w:tcW w:w="1750"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环保主管部门</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组织有关专家提供技术咨询，负责事故可能造成环境危害的监删组织、指导工作，组织有关单位人员进行现场监测，密切关注上下游水厂取水口水域水质变化情况，提供相应的环保监测技术支持。对事故处理后的吸油毡处置、溢油回收及清污作业等提出技术要求。</w:t>
            </w:r>
          </w:p>
        </w:tc>
        <w:tc>
          <w:tcPr>
            <w:tcW w:w="157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湖北省环保厅</w:t>
            </w:r>
          </w:p>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027-87167130</w:t>
            </w:r>
          </w:p>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宜昌市环保局</w:t>
            </w:r>
          </w:p>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0717-6448003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3</w:t>
            </w:r>
          </w:p>
        </w:tc>
        <w:tc>
          <w:tcPr>
            <w:tcW w:w="1750"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技术咨询专家组</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由海事、环保等部门组织有关专家成立技术咨询专家组，为应急反应提供技术咨询参加应急反应决策支持工作。还将视事故影响程度聘请国内溢油应急反应专家，对事故影响预测、应急决策、清污作业和事故后的污染赔偿等处理提供咨询。</w:t>
            </w:r>
          </w:p>
        </w:tc>
        <w:tc>
          <w:tcPr>
            <w:tcW w:w="157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事故发生时临时组建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4</w:t>
            </w:r>
          </w:p>
        </w:tc>
        <w:tc>
          <w:tcPr>
            <w:tcW w:w="1750"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白洋码头作业区安全部</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应急指挥中心主任在应急指挥中担任本码头现场应急总指挥，下达调动本分公司各种力量参加抢险、救援命令，决策重大事故处理方案，决定向本系统上级汇报或请求其它救援的时间、方式等。</w:t>
            </w:r>
          </w:p>
        </w:tc>
        <w:tc>
          <w:tcPr>
            <w:tcW w:w="157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法人代表</w:t>
            </w:r>
          </w:p>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部门负责人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74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5</w:t>
            </w:r>
          </w:p>
        </w:tc>
        <w:tc>
          <w:tcPr>
            <w:tcW w:w="1750"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三峡物流中心白洋码头作业区生产安全部应急小组</w:t>
            </w:r>
          </w:p>
        </w:tc>
        <w:tc>
          <w:tcPr>
            <w:tcW w:w="5184"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组长全面负责本计划实施。在接到现场事故报告后组织本港区人员采取应急措施，并在海事局主管部门领导、公司应急小组领导抵达现场前担任应急指挥。组长不在现场时，副组长担任总监相应的职责，依此类推。小组成员执行组长或应急总指挥下达的命令，具体负责组织现场人员回收或消除溢油等工作。</w:t>
            </w:r>
          </w:p>
        </w:tc>
        <w:tc>
          <w:tcPr>
            <w:tcW w:w="1573" w:type="dxa"/>
            <w:vAlign w:val="center"/>
          </w:tcPr>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项目建成后组建</w:t>
            </w:r>
          </w:p>
        </w:tc>
      </w:tr>
    </w:tbl>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（2）事故应急队伍组成</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事故应急队伍由三峡物流白洋码头作业区内部人员和外部协作支援队伍组成，其中外部协作支援队伍由宜昌海事监管中心视事故影响程度和范围就近调配。</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（3）应急设施、设备、材料和管理</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考虑到溢油事故的突发性，本码头应自备必要的应急设施和应急行动计划工作人员，以便在突发事故的第一时间采取行动，将事故影响的范围和程度降低到最小。</w:t>
      </w:r>
    </w:p>
    <w:p>
      <w:pPr>
        <w:autoSpaceDE w:val="0"/>
        <w:autoSpaceDN w:val="0"/>
        <w:adjustRightInd w:val="0"/>
        <w:spacing w:line="360" w:lineRule="auto"/>
        <w:ind w:firstLine="480" w:firstLineChars="200"/>
        <w:jc w:val="left"/>
        <w:rPr>
          <w:rFonts w:ascii="宋体" w:cs="宋体" w:hAnsiTheme="minorHAnsi"/>
          <w:color w:val="000000" w:themeColor="text1"/>
          <w:kern w:val="0"/>
          <w:sz w:val="24"/>
          <w14:textFill>
            <w14:solidFill>
              <w14:schemeClr w14:val="tx1"/>
            </w14:solidFill>
          </w14:textFill>
        </w:rPr>
      </w:pPr>
      <w:r>
        <w:rPr>
          <w:rFonts w:hint="eastAsia" w:ascii="宋体" w:cs="宋体" w:hAnsiTheme="minorHAnsi"/>
          <w:color w:val="000000" w:themeColor="text1"/>
          <w:kern w:val="0"/>
          <w:sz w:val="24"/>
          <w14:textFill>
            <w14:solidFill>
              <w14:schemeClr w14:val="tx1"/>
            </w14:solidFill>
          </w14:textFill>
        </w:rPr>
        <w:t>根据《港口码头溢油应急设备配备要求》（</w:t>
      </w:r>
      <w:r>
        <w:rPr>
          <w:rFonts w:ascii="TimesNewRomanPSMT" w:hAnsi="TimesNewRomanPSMT" w:eastAsia="新宋体" w:cs="TimesNewRomanPSMT"/>
          <w:color w:val="000000" w:themeColor="text1"/>
          <w:kern w:val="0"/>
          <w:sz w:val="24"/>
          <w14:textFill>
            <w14:solidFill>
              <w14:schemeClr w14:val="tx1"/>
            </w14:solidFill>
          </w14:textFill>
        </w:rPr>
        <w:t>JT/T451-2009</w:t>
      </w:r>
      <w:r>
        <w:rPr>
          <w:rFonts w:hint="eastAsia" w:ascii="宋体" w:cs="宋体" w:hAnsiTheme="minorHAnsi"/>
          <w:color w:val="000000" w:themeColor="text1"/>
          <w:kern w:val="0"/>
          <w:sz w:val="24"/>
          <w14:textFill>
            <w14:solidFill>
              <w14:schemeClr w14:val="tx1"/>
            </w14:solidFill>
          </w14:textFill>
        </w:rPr>
        <w:t>），本码头需配置应急设备见表</w:t>
      </w:r>
      <w:r>
        <w:rPr>
          <w:rFonts w:hint="eastAsia" w:ascii="TimesNewRomanPSMT" w:hAnsi="TimesNewRomanPSMT" w:eastAsia="新宋体" w:cs="TimesNewRomanPSMT"/>
          <w:color w:val="000000" w:themeColor="text1"/>
          <w:kern w:val="0"/>
          <w:sz w:val="24"/>
          <w14:textFill>
            <w14:solidFill>
              <w14:schemeClr w14:val="tx1"/>
            </w14:solidFill>
          </w14:textFill>
        </w:rPr>
        <w:t>8</w:t>
      </w:r>
      <w:r>
        <w:rPr>
          <w:rFonts w:ascii="TimesNewRomanPSMT" w:hAnsi="TimesNewRomanPSMT" w:eastAsia="新宋体" w:cs="TimesNewRomanPSMT"/>
          <w:color w:val="000000" w:themeColor="text1"/>
          <w:kern w:val="0"/>
          <w:sz w:val="24"/>
          <w14:textFill>
            <w14:solidFill>
              <w14:schemeClr w14:val="tx1"/>
            </w14:solidFill>
          </w14:textFill>
        </w:rPr>
        <w:t>.</w:t>
      </w:r>
      <w:r>
        <w:rPr>
          <w:rFonts w:hint="eastAsia" w:ascii="TimesNewRomanPSMT" w:hAnsi="TimesNewRomanPSMT" w:eastAsia="新宋体" w:cs="TimesNewRomanPSMT"/>
          <w:color w:val="000000" w:themeColor="text1"/>
          <w:kern w:val="0"/>
          <w:sz w:val="24"/>
          <w14:textFill>
            <w14:solidFill>
              <w14:schemeClr w14:val="tx1"/>
            </w14:solidFill>
          </w14:textFill>
        </w:rPr>
        <w:t>5</w:t>
      </w:r>
      <w:r>
        <w:rPr>
          <w:rFonts w:ascii="TimesNewRomanPSMT" w:hAnsi="TimesNewRomanPSMT" w:eastAsia="新宋体" w:cs="TimesNewRomanPSMT"/>
          <w:color w:val="000000" w:themeColor="text1"/>
          <w:kern w:val="0"/>
          <w:sz w:val="24"/>
          <w14:textFill>
            <w14:solidFill>
              <w14:schemeClr w14:val="tx1"/>
            </w14:solidFill>
          </w14:textFill>
        </w:rPr>
        <w:t>-</w:t>
      </w:r>
      <w:r>
        <w:rPr>
          <w:rFonts w:hint="eastAsia" w:ascii="TimesNewRomanPSMT" w:hAnsi="TimesNewRomanPSMT" w:eastAsia="新宋体" w:cs="TimesNewRomanPSMT"/>
          <w:color w:val="000000" w:themeColor="text1"/>
          <w:kern w:val="0"/>
          <w:sz w:val="24"/>
          <w14:textFill>
            <w14:solidFill>
              <w14:schemeClr w14:val="tx1"/>
            </w14:solidFill>
          </w14:textFill>
        </w:rPr>
        <w:t>4</w:t>
      </w:r>
      <w:r>
        <w:rPr>
          <w:rFonts w:hint="eastAsia" w:ascii="宋体" w:cs="宋体" w:hAnsiTheme="minorHAnsi"/>
          <w:color w:val="000000" w:themeColor="text1"/>
          <w:kern w:val="0"/>
          <w:sz w:val="24"/>
          <w14:textFill>
            <w14:solidFill>
              <w14:schemeClr w14:val="tx1"/>
            </w14:solidFill>
          </w14:textFill>
        </w:rPr>
        <w:t>。</w:t>
      </w:r>
    </w:p>
    <w:p>
      <w:pPr>
        <w:autoSpaceDE w:val="0"/>
        <w:autoSpaceDN w:val="0"/>
        <w:adjustRightInd w:val="0"/>
        <w:spacing w:line="360" w:lineRule="auto"/>
        <w:ind w:firstLine="480" w:firstLineChars="200"/>
        <w:jc w:val="left"/>
        <w:rPr>
          <w:rFonts w:ascii="宋体" w:cs="宋体" w:hAnsiTheme="minorHAnsi"/>
          <w:color w:val="000000" w:themeColor="text1"/>
          <w:kern w:val="0"/>
          <w:sz w:val="24"/>
          <w14:textFill>
            <w14:solidFill>
              <w14:schemeClr w14:val="tx1"/>
            </w14:solidFill>
          </w14:textFill>
        </w:rPr>
      </w:pPr>
      <w:r>
        <w:rPr>
          <w:rFonts w:hint="eastAsia" w:ascii="宋体" w:cs="宋体" w:hAnsiTheme="minorHAnsi"/>
          <w:color w:val="000000" w:themeColor="text1"/>
          <w:kern w:val="0"/>
          <w:sz w:val="24"/>
          <w14:textFill>
            <w14:solidFill>
              <w14:schemeClr w14:val="tx1"/>
            </w14:solidFill>
          </w14:textFill>
        </w:rPr>
        <w:t>发生溢油事故时应及时布放围油栏，并抛投吸油毡进行吸油处理。当事故规模、气候条件使码头人员、设备无法满足要求时，码头应立刻报告宜昌海事局海事监管中心，请求提供外部力量支援。</w:t>
      </w:r>
    </w:p>
    <w:p>
      <w:pPr>
        <w:pStyle w:val="78"/>
        <w:spacing w:line="240" w:lineRule="auto"/>
        <w:ind w:firstLine="0" w:firstLineChars="0"/>
        <w:jc w:val="center"/>
        <w:rPr>
          <w:rFonts w:ascii="宋体" w:cs="宋体" w:hAnsiTheme="minorHAnsi"/>
          <w:b/>
          <w:color w:val="000000" w:themeColor="text1"/>
          <w:kern w:val="0"/>
          <w:sz w:val="21"/>
          <w:szCs w:val="21"/>
          <w14:textFill>
            <w14:solidFill>
              <w14:schemeClr w14:val="tx1"/>
            </w14:solidFill>
          </w14:textFill>
        </w:rPr>
      </w:pPr>
      <w:r>
        <w:rPr>
          <w:rFonts w:hint="eastAsia" w:ascii="宋体" w:cs="宋体" w:hAnsiTheme="minorHAnsi"/>
          <w:b/>
          <w:color w:val="000000" w:themeColor="text1"/>
          <w:kern w:val="0"/>
          <w:sz w:val="21"/>
          <w:szCs w:val="21"/>
          <w14:textFill>
            <w14:solidFill>
              <w14:schemeClr w14:val="tx1"/>
            </w14:solidFill>
          </w14:textFill>
        </w:rPr>
        <w:t>表</w:t>
      </w:r>
      <w:r>
        <w:rPr>
          <w:rFonts w:hint="eastAsia" w:eastAsia="新宋体"/>
          <w:b/>
          <w:bCs/>
          <w:color w:val="000000" w:themeColor="text1"/>
          <w:kern w:val="0"/>
          <w:sz w:val="21"/>
          <w:szCs w:val="21"/>
          <w14:textFill>
            <w14:solidFill>
              <w14:schemeClr w14:val="tx1"/>
            </w14:solidFill>
          </w14:textFill>
        </w:rPr>
        <w:t>8</w:t>
      </w:r>
      <w:r>
        <w:rPr>
          <w:rFonts w:eastAsia="新宋体"/>
          <w:b/>
          <w:bCs/>
          <w:color w:val="000000" w:themeColor="text1"/>
          <w:kern w:val="0"/>
          <w:sz w:val="21"/>
          <w:szCs w:val="21"/>
          <w14:textFill>
            <w14:solidFill>
              <w14:schemeClr w14:val="tx1"/>
            </w14:solidFill>
          </w14:textFill>
        </w:rPr>
        <w:t>.</w:t>
      </w:r>
      <w:r>
        <w:rPr>
          <w:rFonts w:hint="eastAsia" w:eastAsia="新宋体"/>
          <w:b/>
          <w:bCs/>
          <w:color w:val="000000" w:themeColor="text1"/>
          <w:kern w:val="0"/>
          <w:sz w:val="21"/>
          <w:szCs w:val="21"/>
          <w14:textFill>
            <w14:solidFill>
              <w14:schemeClr w14:val="tx1"/>
            </w14:solidFill>
          </w14:textFill>
        </w:rPr>
        <w:t>5</w:t>
      </w:r>
      <w:r>
        <w:rPr>
          <w:rFonts w:eastAsia="新宋体"/>
          <w:b/>
          <w:bCs/>
          <w:color w:val="000000" w:themeColor="text1"/>
          <w:kern w:val="0"/>
          <w:sz w:val="21"/>
          <w:szCs w:val="21"/>
          <w14:textFill>
            <w14:solidFill>
              <w14:schemeClr w14:val="tx1"/>
            </w14:solidFill>
          </w14:textFill>
        </w:rPr>
        <w:t>-</w:t>
      </w:r>
      <w:r>
        <w:rPr>
          <w:rFonts w:hint="eastAsia" w:eastAsia="新宋体"/>
          <w:b/>
          <w:bCs/>
          <w:color w:val="000000" w:themeColor="text1"/>
          <w:kern w:val="0"/>
          <w:sz w:val="21"/>
          <w:szCs w:val="21"/>
          <w14:textFill>
            <w14:solidFill>
              <w14:schemeClr w14:val="tx1"/>
            </w14:solidFill>
          </w14:textFill>
        </w:rPr>
        <w:t>4</w:t>
      </w:r>
      <w:r>
        <w:rPr>
          <w:rFonts w:eastAsia="新宋体"/>
          <w:b/>
          <w:bCs/>
          <w:color w:val="000000" w:themeColor="text1"/>
          <w:kern w:val="0"/>
          <w:sz w:val="21"/>
          <w:szCs w:val="21"/>
          <w14:textFill>
            <w14:solidFill>
              <w14:schemeClr w14:val="tx1"/>
            </w14:solidFill>
          </w14:textFill>
        </w:rPr>
        <w:t xml:space="preserve"> </w:t>
      </w:r>
      <w:r>
        <w:rPr>
          <w:rFonts w:hint="eastAsia" w:ascii="宋体" w:cs="宋体" w:hAnsiTheme="minorHAnsi"/>
          <w:b/>
          <w:color w:val="000000" w:themeColor="text1"/>
          <w:kern w:val="0"/>
          <w:sz w:val="21"/>
          <w:szCs w:val="21"/>
          <w14:textFill>
            <w14:solidFill>
              <w14:schemeClr w14:val="tx1"/>
            </w14:solidFill>
          </w14:textFill>
        </w:rPr>
        <w:t>码头需配置的应急装备</w:t>
      </w:r>
    </w:p>
    <w:tbl>
      <w:tblPr>
        <w:tblStyle w:val="104"/>
        <w:tblW w:w="8662"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0"/>
        <w:gridCol w:w="3402"/>
        <w:gridCol w:w="1559"/>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设备名称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规格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数量 </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备注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围油栏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应急型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1300m</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收油机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总能力：20m</w:t>
            </w:r>
            <w:r>
              <w:rPr>
                <w:color w:val="000000" w:themeColor="text1"/>
                <w:kern w:val="0"/>
                <w:szCs w:val="21"/>
                <w:vertAlign w:val="superscript"/>
                <w14:textFill>
                  <w14:solidFill>
                    <w14:schemeClr w14:val="tx1"/>
                  </w14:solidFill>
                </w14:textFill>
              </w:rPr>
              <w:t>3</w:t>
            </w:r>
            <w:r>
              <w:rPr>
                <w:color w:val="000000" w:themeColor="text1"/>
                <w:kern w:val="0"/>
                <w:sz w:val="22"/>
                <w:szCs w:val="22"/>
                <w14:textFill>
                  <w14:solidFill>
                    <w14:schemeClr w14:val="tx1"/>
                  </w14:solidFill>
                </w14:textFill>
              </w:rPr>
              <w:t xml:space="preserve">/h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1 台 </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依托一期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油拖网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 m</w:t>
            </w:r>
            <w:r>
              <w:rPr>
                <w:color w:val="000000" w:themeColor="text1"/>
                <w:kern w:val="0"/>
                <w:szCs w:val="21"/>
                <w:vertAlign w:val="superscript"/>
                <w14:textFill>
                  <w14:solidFill>
                    <w14:schemeClr w14:val="tx1"/>
                  </w14:solidFill>
                </w14:textFill>
              </w:rPr>
              <w:t>3</w:t>
            </w:r>
            <w:r>
              <w:rPr>
                <w:color w:val="000000" w:themeColor="text1"/>
                <w:kern w:val="0"/>
                <w:sz w:val="22"/>
                <w:szCs w:val="22"/>
                <w14:textFill>
                  <w14:solidFill>
                    <w14:schemeClr w14:val="tx1"/>
                  </w14:solidFill>
                </w14:textFill>
              </w:rPr>
              <w:t xml:space="preserve">/套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 套</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依托一期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吸油毡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0.</w:t>
            </w:r>
            <w:r>
              <w:rPr>
                <w:rFonts w:hint="eastAsia"/>
                <w:color w:val="000000" w:themeColor="text1"/>
                <w:kern w:val="0"/>
                <w:sz w:val="22"/>
                <w:szCs w:val="22"/>
                <w14:textFill>
                  <w14:solidFill>
                    <w14:schemeClr w14:val="tx1"/>
                  </w14:solidFill>
                </w14:textFill>
              </w:rPr>
              <w:t>5</w:t>
            </w:r>
            <w:r>
              <w:rPr>
                <w:color w:val="000000" w:themeColor="text1"/>
                <w:kern w:val="0"/>
                <w:sz w:val="22"/>
                <w:szCs w:val="22"/>
                <w14:textFill>
                  <w14:solidFill>
                    <w14:schemeClr w14:val="tx1"/>
                  </w14:solidFill>
                </w14:textFill>
              </w:rPr>
              <w:t xml:space="preserve"> t</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溢油分散剂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浓缩型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0.</w:t>
            </w:r>
            <w:r>
              <w:rPr>
                <w:rFonts w:hint="eastAsia"/>
                <w:color w:val="000000" w:themeColor="text1"/>
                <w:kern w:val="0"/>
                <w:sz w:val="22"/>
                <w:szCs w:val="22"/>
                <w14:textFill>
                  <w14:solidFill>
                    <w14:schemeClr w14:val="tx1"/>
                  </w14:solidFill>
                </w14:textFill>
              </w:rPr>
              <w:t>3</w:t>
            </w:r>
            <w:r>
              <w:rPr>
                <w:color w:val="000000" w:themeColor="text1"/>
                <w:kern w:val="0"/>
                <w:sz w:val="22"/>
                <w:szCs w:val="22"/>
                <w14:textFill>
                  <w14:solidFill>
                    <w14:schemeClr w14:val="tx1"/>
                  </w14:solidFill>
                </w14:textFill>
              </w:rPr>
              <w:t xml:space="preserve"> t </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5402" w:type="dxa"/>
            <w:gridSpan w:val="2"/>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溢油分散剂喷洒装置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 套</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000"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轻便储油罐 </w:t>
            </w:r>
          </w:p>
        </w:tc>
        <w:tc>
          <w:tcPr>
            <w:tcW w:w="3402"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有效容积：1 m3</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 台</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5402" w:type="dxa"/>
            <w:gridSpan w:val="2"/>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围油栏布放艇 </w:t>
            </w:r>
          </w:p>
        </w:tc>
        <w:tc>
          <w:tcPr>
            <w:tcW w:w="1559"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1 艘</w:t>
            </w:r>
          </w:p>
        </w:tc>
        <w:tc>
          <w:tcPr>
            <w:tcW w:w="1701" w:type="dxa"/>
            <w:shd w:val="clear" w:color="auto" w:fill="auto"/>
            <w:vAlign w:val="center"/>
          </w:tcPr>
          <w:p>
            <w:pPr>
              <w:widowControl/>
              <w:jc w:val="left"/>
              <w:rPr>
                <w:color w:val="000000" w:themeColor="text1"/>
                <w:kern w:val="0"/>
                <w:sz w:val="22"/>
                <w:szCs w:val="22"/>
                <w14:textFill>
                  <w14:solidFill>
                    <w14:schemeClr w14:val="tx1"/>
                  </w14:solidFill>
                </w14:textFill>
              </w:rPr>
            </w:pPr>
            <w:r>
              <w:rPr>
                <w:color w:val="000000" w:themeColor="text1"/>
                <w:kern w:val="0"/>
                <w:sz w:val="22"/>
                <w:szCs w:val="22"/>
                <w14:textFill>
                  <w14:solidFill>
                    <w14:schemeClr w14:val="tx1"/>
                  </w14:solidFill>
                </w14:textFill>
              </w:rPr>
              <w:t xml:space="preserve">依托一期 </w:t>
            </w:r>
          </w:p>
        </w:tc>
      </w:tr>
    </w:tbl>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（4）应急反应</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码头出现和可能出现事故溢油时，码头区调度室及值班人员应视溢油程度需要快速向应急小组报告。应急小组在接到事故现场人员报告后，迅速组织技术评估人员立即评估溢油规模，预计溢油漂移趋势及对码头上下游水厂取水口造成影响，初步确定应急方案。</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经过溢油事故初始评估后，应急小组组长决定是否启动应急计划。若溢油事故规模较小，码头人员、设备具备处理的能力，应立即组织人员、调用设备进行处理，若码头人员、设备不具备处理的能力，应立即启动应急计划。</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应急计划反应内容包括：由组长或其指定的人员向上级主管部门以及与事故相关的货主、保险公司、海事、环保等部门报告。报告内容应包括：</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① 事故发生的时间、地点、船名、位置；</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② 事故发生江段气象、水文情况；</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③ 事故发生后已经采取的措施及控制情况；</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④ 事故发展势态、可能发生的严重后果；</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⑤ 需要的援助（应急设施和物资、人员、环境监测、医疗援助等）；</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⑥ 事故报警单位、联系人及联系电话等。</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小组全体成员立即采取应急措施，包括溢油控制与清除，溢油的监测和监视等。同时，在事故发生第一时间应立即通知码头上下游各水厂，组织有关单位人员对取水口水域水质进行密集监测，一旦发现污染超标现象，立即停止取水。</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码头下游最近陆城二水厂、田家河水厂位置及联系方式见表8.5-5。</w:t>
      </w:r>
    </w:p>
    <w:p>
      <w:pPr>
        <w:pStyle w:val="78"/>
        <w:spacing w:line="240" w:lineRule="auto"/>
        <w:ind w:firstLine="0" w:firstLineChars="0"/>
        <w:jc w:val="center"/>
        <w:rPr>
          <w:rFonts w:asciiTheme="minorEastAsia" w:hAnsiTheme="minorEastAsia" w:eastAsiaTheme="minorEastAsia"/>
          <w:b/>
          <w:color w:val="000000" w:themeColor="text1"/>
          <w:sz w:val="21"/>
          <w:szCs w:val="21"/>
          <w14:textFill>
            <w14:solidFill>
              <w14:schemeClr w14:val="tx1"/>
            </w14:solidFill>
          </w14:textFill>
        </w:rPr>
      </w:pPr>
      <w:r>
        <w:rPr>
          <w:rFonts w:asciiTheme="minorEastAsia" w:hAnsiTheme="minorEastAsia" w:eastAsiaTheme="minorEastAsia"/>
          <w:b/>
          <w:color w:val="000000" w:themeColor="text1"/>
          <w:sz w:val="21"/>
          <w:szCs w:val="21"/>
          <w14:textFill>
            <w14:solidFill>
              <w14:schemeClr w14:val="tx1"/>
            </w14:solidFill>
          </w14:textFill>
        </w:rPr>
        <w:t>表</w:t>
      </w:r>
      <w:r>
        <w:rPr>
          <w:rFonts w:hint="eastAsia" w:asciiTheme="minorEastAsia" w:hAnsiTheme="minorEastAsia" w:eastAsiaTheme="minorEastAsia"/>
          <w:b/>
          <w:color w:val="000000" w:themeColor="text1"/>
          <w:sz w:val="21"/>
          <w:szCs w:val="21"/>
          <w14:textFill>
            <w14:solidFill>
              <w14:schemeClr w14:val="tx1"/>
            </w14:solidFill>
          </w14:textFill>
        </w:rPr>
        <w:t>8</w:t>
      </w:r>
      <w:r>
        <w:rPr>
          <w:rFonts w:asciiTheme="minorEastAsia" w:hAnsiTheme="minorEastAsia" w:eastAsiaTheme="minorEastAsia"/>
          <w:b/>
          <w:color w:val="000000" w:themeColor="text1"/>
          <w:sz w:val="21"/>
          <w:szCs w:val="21"/>
          <w14:textFill>
            <w14:solidFill>
              <w14:schemeClr w14:val="tx1"/>
            </w14:solidFill>
          </w14:textFill>
        </w:rPr>
        <w:t>.</w:t>
      </w:r>
      <w:r>
        <w:rPr>
          <w:rFonts w:hint="eastAsia" w:asciiTheme="minorEastAsia" w:hAnsiTheme="minorEastAsia" w:eastAsiaTheme="minorEastAsia"/>
          <w:b/>
          <w:color w:val="000000" w:themeColor="text1"/>
          <w:sz w:val="21"/>
          <w:szCs w:val="21"/>
          <w14:textFill>
            <w14:solidFill>
              <w14:schemeClr w14:val="tx1"/>
            </w14:solidFill>
          </w14:textFill>
        </w:rPr>
        <w:t>5</w:t>
      </w:r>
      <w:r>
        <w:rPr>
          <w:rFonts w:asciiTheme="minorEastAsia" w:hAnsiTheme="minorEastAsia" w:eastAsiaTheme="minorEastAsia"/>
          <w:b/>
          <w:color w:val="000000" w:themeColor="text1"/>
          <w:sz w:val="21"/>
          <w:szCs w:val="21"/>
          <w14:textFill>
            <w14:solidFill>
              <w14:schemeClr w14:val="tx1"/>
            </w14:solidFill>
          </w14:textFill>
        </w:rPr>
        <w:t>-</w:t>
      </w:r>
      <w:r>
        <w:rPr>
          <w:rFonts w:hint="eastAsia" w:asciiTheme="minorEastAsia" w:hAnsiTheme="minorEastAsia" w:eastAsiaTheme="minorEastAsia"/>
          <w:b/>
          <w:color w:val="000000" w:themeColor="text1"/>
          <w:sz w:val="21"/>
          <w:szCs w:val="21"/>
          <w14:textFill>
            <w14:solidFill>
              <w14:schemeClr w14:val="tx1"/>
            </w14:solidFill>
          </w14:textFill>
        </w:rPr>
        <w:t>5</w:t>
      </w:r>
      <w:r>
        <w:rPr>
          <w:rFonts w:asciiTheme="minorEastAsia" w:hAnsiTheme="minorEastAsia" w:eastAsiaTheme="minorEastAsia"/>
          <w:b/>
          <w:color w:val="000000" w:themeColor="text1"/>
          <w:sz w:val="21"/>
          <w:szCs w:val="21"/>
          <w14:textFill>
            <w14:solidFill>
              <w14:schemeClr w14:val="tx1"/>
            </w14:solidFill>
          </w14:textFill>
        </w:rPr>
        <w:t xml:space="preserve">  码头</w:t>
      </w:r>
      <w:r>
        <w:rPr>
          <w:rFonts w:hint="eastAsia" w:asciiTheme="minorEastAsia" w:hAnsiTheme="minorEastAsia" w:eastAsiaTheme="minorEastAsia"/>
          <w:b/>
          <w:color w:val="000000" w:themeColor="text1"/>
          <w:sz w:val="21"/>
          <w:szCs w:val="21"/>
          <w14:textFill>
            <w14:solidFill>
              <w14:schemeClr w14:val="tx1"/>
            </w14:solidFill>
          </w14:textFill>
        </w:rPr>
        <w:t>下</w:t>
      </w:r>
      <w:r>
        <w:rPr>
          <w:rFonts w:asciiTheme="minorEastAsia" w:hAnsiTheme="minorEastAsia" w:eastAsiaTheme="minorEastAsia"/>
          <w:b/>
          <w:color w:val="000000" w:themeColor="text1"/>
          <w:sz w:val="21"/>
          <w:szCs w:val="21"/>
          <w14:textFill>
            <w14:solidFill>
              <w14:schemeClr w14:val="tx1"/>
            </w14:solidFill>
          </w14:textFill>
        </w:rPr>
        <w:t>游</w:t>
      </w:r>
      <w:r>
        <w:rPr>
          <w:rFonts w:hint="eastAsia" w:asciiTheme="minorEastAsia" w:hAnsiTheme="minorEastAsia" w:eastAsiaTheme="minorEastAsia"/>
          <w:b/>
          <w:color w:val="000000" w:themeColor="text1"/>
          <w:sz w:val="21"/>
          <w:szCs w:val="21"/>
          <w14:textFill>
            <w14:solidFill>
              <w14:schemeClr w14:val="tx1"/>
            </w14:solidFill>
          </w14:textFill>
        </w:rPr>
        <w:t>最近</w:t>
      </w:r>
      <w:r>
        <w:rPr>
          <w:rFonts w:asciiTheme="minorEastAsia" w:hAnsiTheme="minorEastAsia" w:eastAsiaTheme="minorEastAsia"/>
          <w:b/>
          <w:color w:val="000000" w:themeColor="text1"/>
          <w:sz w:val="21"/>
          <w:szCs w:val="21"/>
          <w14:textFill>
            <w14:solidFill>
              <w14:schemeClr w14:val="tx1"/>
            </w14:solidFill>
          </w14:textFill>
        </w:rPr>
        <w:t>水厂联系方式</w:t>
      </w:r>
    </w:p>
    <w:tbl>
      <w:tblPr>
        <w:tblStyle w:val="104"/>
        <w:tblW w:w="9021"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8"/>
        <w:gridCol w:w="2133"/>
        <w:gridCol w:w="2338"/>
        <w:gridCol w:w="1701"/>
        <w:gridCol w:w="215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98"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序号</w:t>
            </w:r>
          </w:p>
        </w:tc>
        <w:tc>
          <w:tcPr>
            <w:tcW w:w="2133"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水厂名称</w:t>
            </w:r>
          </w:p>
        </w:tc>
        <w:tc>
          <w:tcPr>
            <w:tcW w:w="2338"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与项目位置的关系</w:t>
            </w:r>
          </w:p>
        </w:tc>
        <w:tc>
          <w:tcPr>
            <w:tcW w:w="170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方位</w:t>
            </w:r>
          </w:p>
        </w:tc>
        <w:tc>
          <w:tcPr>
            <w:tcW w:w="215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98"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w:t>
            </w:r>
          </w:p>
        </w:tc>
        <w:tc>
          <w:tcPr>
            <w:tcW w:w="2133" w:type="dxa"/>
            <w:vAlign w:val="center"/>
          </w:tcPr>
          <w:p>
            <w:pPr>
              <w:autoSpaceDE w:val="0"/>
              <w:autoSpaceDN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陆城二水厂取水口</w:t>
            </w:r>
          </w:p>
        </w:tc>
        <w:tc>
          <w:tcPr>
            <w:tcW w:w="2338" w:type="dxa"/>
            <w:vAlign w:val="center"/>
          </w:tcPr>
          <w:p>
            <w:pPr>
              <w:autoSpaceDE w:val="0"/>
              <w:autoSpaceDN w:val="0"/>
              <w:jc w:val="center"/>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12#泊位</w:t>
            </w:r>
            <w:r>
              <w:rPr>
                <w:rFonts w:hAnsi="宋体"/>
                <w:color w:val="000000" w:themeColor="text1"/>
                <w:szCs w:val="21"/>
                <w14:textFill>
                  <w14:solidFill>
                    <w14:schemeClr w14:val="tx1"/>
                  </w14:solidFill>
                </w14:textFill>
              </w:rPr>
              <w:t>码头下游约</w:t>
            </w:r>
            <w:r>
              <w:rPr>
                <w:rFonts w:hint="eastAsia"/>
                <w:color w:val="000000" w:themeColor="text1"/>
                <w:szCs w:val="21"/>
                <w14:textFill>
                  <w14:solidFill>
                    <w14:schemeClr w14:val="tx1"/>
                  </w14:solidFill>
                </w14:textFill>
              </w:rPr>
              <w:t>1.8</w:t>
            </w:r>
            <w:r>
              <w:rPr>
                <w:color w:val="000000" w:themeColor="text1"/>
                <w:szCs w:val="21"/>
                <w14:textFill>
                  <w14:solidFill>
                    <w14:schemeClr w14:val="tx1"/>
                  </w14:solidFill>
                </w14:textFill>
              </w:rPr>
              <w:t>km</w:t>
            </w:r>
          </w:p>
        </w:tc>
        <w:tc>
          <w:tcPr>
            <w:tcW w:w="170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长江南</w:t>
            </w:r>
            <w:r>
              <w:rPr>
                <w:color w:val="000000" w:themeColor="text1"/>
                <w:sz w:val="21"/>
                <w:szCs w:val="21"/>
                <w14:textFill>
                  <w14:solidFill>
                    <w14:schemeClr w14:val="tx1"/>
                  </w14:solidFill>
                </w14:textFill>
              </w:rPr>
              <w:t>岸</w:t>
            </w:r>
          </w:p>
        </w:tc>
        <w:tc>
          <w:tcPr>
            <w:tcW w:w="215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98"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2133" w:type="dxa"/>
            <w:vAlign w:val="center"/>
          </w:tcPr>
          <w:p>
            <w:pPr>
              <w:autoSpaceDE w:val="0"/>
              <w:autoSpaceDN w:val="0"/>
              <w:jc w:val="center"/>
              <w:rPr>
                <w:rFonts w:hAnsi="宋体"/>
                <w:bCs/>
                <w:color w:val="000000" w:themeColor="text1"/>
                <w:kern w:val="36"/>
                <w:szCs w:val="21"/>
                <w14:textFill>
                  <w14:solidFill>
                    <w14:schemeClr w14:val="tx1"/>
                  </w14:solidFill>
                </w14:textFill>
              </w:rPr>
            </w:pPr>
            <w:r>
              <w:rPr>
                <w:rFonts w:hint="eastAsia"/>
                <w:color w:val="000000" w:themeColor="text1"/>
                <w:szCs w:val="21"/>
                <w14:textFill>
                  <w14:solidFill>
                    <w14:schemeClr w14:val="tx1"/>
                  </w14:solidFill>
                </w14:textFill>
              </w:rPr>
              <w:t>田家河水厂取水口</w:t>
            </w:r>
          </w:p>
        </w:tc>
        <w:tc>
          <w:tcPr>
            <w:tcW w:w="2338" w:type="dxa"/>
            <w:vAlign w:val="center"/>
          </w:tcPr>
          <w:p>
            <w:pPr>
              <w:autoSpaceDE w:val="0"/>
              <w:autoSpaceDN w:val="0"/>
              <w:jc w:val="center"/>
              <w:rPr>
                <w:rFonts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11#泊位下游3</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8</w:t>
            </w:r>
            <w:r>
              <w:rPr>
                <w:color w:val="000000" w:themeColor="text1"/>
                <w:szCs w:val="21"/>
                <w14:textFill>
                  <w14:solidFill>
                    <w14:schemeClr w14:val="tx1"/>
                  </w14:solidFill>
                </w14:textFill>
              </w:rPr>
              <w:t>km</w:t>
            </w:r>
          </w:p>
        </w:tc>
        <w:tc>
          <w:tcPr>
            <w:tcW w:w="170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长江北岸</w:t>
            </w:r>
          </w:p>
        </w:tc>
        <w:tc>
          <w:tcPr>
            <w:tcW w:w="2151" w:type="dxa"/>
            <w:vAlign w:val="center"/>
          </w:tcPr>
          <w:p>
            <w:pPr>
              <w:pStyle w:val="78"/>
              <w:spacing w:line="240" w:lineRule="auto"/>
              <w:ind w:firstLine="0" w:firstLineChars="0"/>
              <w:jc w:val="center"/>
              <w:rPr>
                <w:color w:val="000000" w:themeColor="text1"/>
                <w:sz w:val="21"/>
                <w:szCs w:val="21"/>
                <w14:textFill>
                  <w14:solidFill>
                    <w14:schemeClr w14:val="tx1"/>
                  </w14:solidFill>
                </w14:textFill>
              </w:rPr>
            </w:pPr>
          </w:p>
        </w:tc>
      </w:tr>
    </w:tbl>
    <w:p>
      <w:pPr>
        <w:pStyle w:val="78"/>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（5）应急反应时间和控制能力分析</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宜昌</w:t>
      </w:r>
      <w:r>
        <w:rPr>
          <w:color w:val="000000" w:themeColor="text1"/>
          <w14:textFill>
            <w14:solidFill>
              <w14:schemeClr w14:val="tx1"/>
            </w14:solidFill>
          </w14:textFill>
        </w:rPr>
        <w:t>海事局承担</w:t>
      </w:r>
      <w:r>
        <w:rPr>
          <w:rFonts w:hint="eastAsia"/>
          <w:color w:val="000000" w:themeColor="text1"/>
          <w14:textFill>
            <w14:solidFill>
              <w14:schemeClr w14:val="tx1"/>
            </w14:solidFill>
          </w14:textFill>
        </w:rPr>
        <w:t>该段</w:t>
      </w:r>
      <w:r>
        <w:rPr>
          <w:color w:val="000000" w:themeColor="text1"/>
          <w14:textFill>
            <w14:solidFill>
              <w14:schemeClr w14:val="tx1"/>
            </w14:solidFill>
          </w14:textFill>
        </w:rPr>
        <w:t>水域水上交通安全保障任务。一般航段</w:t>
      </w:r>
      <w:r>
        <w:rPr>
          <w:rFonts w:hint="eastAsia"/>
          <w:color w:val="000000" w:themeColor="text1"/>
          <w14:textFill>
            <w14:solidFill>
              <w14:schemeClr w14:val="tx1"/>
            </w14:solidFill>
          </w14:textFill>
        </w:rPr>
        <w:t>15</w:t>
      </w:r>
      <w:r>
        <w:rPr>
          <w:color w:val="000000" w:themeColor="text1"/>
          <w14:textFill>
            <w14:solidFill>
              <w14:schemeClr w14:val="tx1"/>
            </w14:solidFill>
          </w14:textFill>
        </w:rPr>
        <w:t>分钟内到达险情或事故现场；接“警”后常规艇5分钟内出航；溢油应急反应机制具备50t以上油污控制能力。</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（6）溢油回收</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吸油毡回收后可重复使用。当溢油经过围控和回收，但仍有部分漂移至码头附件的岸边时，需要组织码头人员、外部协作单位并召集附近民众进行岸滩油污清除工作。溢油回收后，应送宜昌海事局等主管机关认可的油类废弃物回收单位回收处理。</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（7）事故报告制度</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发生污染事故时应及时报告，事故处理完毕后，应由三峡物流公司对事故原因、溢油量、污染清除处理过程、污染范围和影响程度报告宜昌市海事局和环保局，由海事局、环保局等部门组织调查，按实际情况确定由事故溢油造成受损失的赔偿费用，经法院最终裁决后，给予经济赔偿。</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（8）人员培训</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码头应急反应的有关管理人员、设施操作人员、应急清污人员应通过专业培训和在职培训，掌握履行其职责所需的相关知识，逐步实现应急反应人员持证上岗，使应急人员具备应急反应理论和溢油控制及清污的实践经验。</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（9）演习</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为了提高应对水上突发事件的应急处置水平和应急指挥能力，增强应急队伍应急处置和安全保护技能，加强各应急救助单位之间的配合与沟通，检验参与单位应急能力，应适时组织举办综合演习。</w:t>
      </w:r>
    </w:p>
    <w:p>
      <w:pPr>
        <w:pStyle w:val="78"/>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（10）定期检查</w:t>
      </w:r>
    </w:p>
    <w:p>
      <w:pPr>
        <w:autoSpaceDE w:val="0"/>
        <w:autoSpaceDN w:val="0"/>
        <w:spacing w:line="360" w:lineRule="auto"/>
        <w:ind w:firstLine="420" w:firstLineChars="200"/>
        <w:rPr>
          <w:rFonts w:hAnsi="宋体"/>
          <w:sz w:val="24"/>
        </w:rPr>
      </w:pPr>
      <w:r>
        <w:rPr>
          <w:rFonts w:hint="eastAsia"/>
          <w:color w:val="000000" w:themeColor="text1"/>
          <w14:textFill>
            <w14:solidFill>
              <w14:schemeClr w14:val="tx1"/>
            </w14:solidFill>
          </w14:textFill>
        </w:rPr>
        <w:t>本应急计划保证相关人员人手一册，并且每年进行一次计划检查，及时对应急组织指挥机构成员及其联系方式进行修改更新。</w:t>
      </w:r>
    </w:p>
    <w:p>
      <w:pPr>
        <w:pStyle w:val="3"/>
        <w:tabs>
          <w:tab w:val="clear" w:pos="3695"/>
        </w:tabs>
        <w:spacing w:before="120" w:after="120"/>
        <w:ind w:left="567"/>
      </w:pPr>
      <w:bookmarkStart w:id="289" w:name="_Toc428864009"/>
      <w:bookmarkStart w:id="290" w:name="_Toc442195790"/>
      <w:r>
        <w:rPr>
          <w:rFonts w:hint="eastAsia"/>
        </w:rPr>
        <w:t>培训计划</w:t>
      </w:r>
      <w:bookmarkEnd w:id="289"/>
      <w:bookmarkEnd w:id="290"/>
    </w:p>
    <w:p>
      <w:pPr>
        <w:autoSpaceDE w:val="0"/>
        <w:autoSpaceDN w:val="0"/>
        <w:spacing w:line="360" w:lineRule="auto"/>
        <w:ind w:firstLine="480" w:firstLineChars="200"/>
        <w:rPr>
          <w:rFonts w:hAnsi="宋体"/>
          <w:sz w:val="24"/>
        </w:rPr>
      </w:pPr>
      <w:r>
        <w:rPr>
          <w:rFonts w:hAnsi="宋体"/>
          <w:sz w:val="24"/>
        </w:rPr>
        <w:t>环境保护培训的目的是使项目各方熟悉环境管理计划，以及国家与地方其它有关施工与运营的环保要求，以促进环保措施的落实。</w:t>
      </w:r>
    </w:p>
    <w:p>
      <w:pPr>
        <w:autoSpaceDE w:val="0"/>
        <w:autoSpaceDN w:val="0"/>
        <w:spacing w:line="360" w:lineRule="auto"/>
        <w:ind w:firstLine="480" w:firstLineChars="200"/>
        <w:rPr>
          <w:rFonts w:hAnsi="宋体"/>
          <w:sz w:val="24"/>
        </w:rPr>
      </w:pPr>
      <w:r>
        <w:rPr>
          <w:rFonts w:hAnsi="宋体"/>
          <w:sz w:val="24"/>
        </w:rPr>
        <w:t>环境保护培训的主要对象是环境管理者和环境监理，他们的培训是项目的技术支持组成部分之一。培训课程在项目的实施过程中也培训建设方和工人。在项目施工开始前，所有的施工单位和运营单位和建筑监理员要求参加强制的环境、健康、安全培训。</w:t>
      </w:r>
      <w:r>
        <w:rPr>
          <w:rFonts w:hint="eastAsia" w:hAnsi="宋体"/>
          <w:sz w:val="24"/>
        </w:rPr>
        <w:t>具体培训计划见表8.6-1。</w:t>
      </w:r>
    </w:p>
    <w:p>
      <w:pPr>
        <w:pStyle w:val="46"/>
        <w:spacing w:line="360" w:lineRule="auto"/>
        <w:jc w:val="center"/>
        <w:rPr>
          <w:rFonts w:ascii="Times New Roman" w:hAnsi="Times New Roman"/>
          <w:b/>
          <w:snapToGrid w:val="0"/>
          <w:kern w:val="0"/>
          <w:sz w:val="24"/>
          <w:szCs w:val="21"/>
        </w:rPr>
      </w:pPr>
      <w:r>
        <w:rPr>
          <w:rFonts w:ascii="Times New Roman" w:hAnsi="Times New Roman"/>
          <w:b/>
          <w:snapToGrid w:val="0"/>
          <w:kern w:val="0"/>
          <w:sz w:val="24"/>
          <w:szCs w:val="21"/>
        </w:rPr>
        <w:t>表</w:t>
      </w:r>
      <w:r>
        <w:rPr>
          <w:rFonts w:hint="eastAsia" w:ascii="Times New Roman" w:hAnsi="Times New Roman"/>
          <w:b/>
          <w:snapToGrid w:val="0"/>
          <w:kern w:val="0"/>
          <w:sz w:val="24"/>
          <w:szCs w:val="21"/>
        </w:rPr>
        <w:t>8</w:t>
      </w:r>
      <w:r>
        <w:rPr>
          <w:rFonts w:ascii="Times New Roman" w:hAnsi="Times New Roman"/>
          <w:b/>
          <w:snapToGrid w:val="0"/>
          <w:kern w:val="0"/>
          <w:sz w:val="24"/>
          <w:szCs w:val="21"/>
        </w:rPr>
        <w:t>.</w:t>
      </w:r>
      <w:r>
        <w:rPr>
          <w:rFonts w:hint="eastAsia" w:ascii="Times New Roman" w:hAnsi="Times New Roman"/>
          <w:b/>
          <w:snapToGrid w:val="0"/>
          <w:kern w:val="0"/>
          <w:sz w:val="24"/>
          <w:szCs w:val="21"/>
        </w:rPr>
        <w:t>6</w:t>
      </w:r>
      <w:r>
        <w:rPr>
          <w:rFonts w:ascii="Times New Roman" w:hAnsi="Times New Roman"/>
          <w:b/>
          <w:snapToGrid w:val="0"/>
          <w:kern w:val="0"/>
          <w:sz w:val="24"/>
          <w:szCs w:val="21"/>
        </w:rPr>
        <w:t>-1技术人员培训计划</w:t>
      </w:r>
    </w:p>
    <w:tbl>
      <w:tblPr>
        <w:tblStyle w:val="104"/>
        <w:tblW w:w="88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768"/>
        <w:gridCol w:w="1703"/>
        <w:gridCol w:w="1703"/>
        <w:gridCol w:w="915"/>
        <w:gridCol w:w="846"/>
        <w:gridCol w:w="1052"/>
        <w:gridCol w:w="1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2" w:type="dxa"/>
            <w:vAlign w:val="center"/>
          </w:tcPr>
          <w:p>
            <w:pPr>
              <w:pStyle w:val="46"/>
              <w:jc w:val="center"/>
              <w:rPr>
                <w:rFonts w:ascii="Times New Roman" w:hAnsi="Times New Roman"/>
                <w:b/>
                <w:snapToGrid w:val="0"/>
                <w:kern w:val="0"/>
                <w:szCs w:val="21"/>
              </w:rPr>
            </w:pPr>
            <w:r>
              <w:rPr>
                <w:rFonts w:hint="eastAsia" w:ascii="Times New Roman" w:hAnsi="Times New Roman"/>
                <w:b/>
                <w:snapToGrid w:val="0"/>
                <w:kern w:val="0"/>
                <w:szCs w:val="21"/>
              </w:rPr>
              <w:t>类型</w:t>
            </w:r>
          </w:p>
        </w:tc>
        <w:tc>
          <w:tcPr>
            <w:tcW w:w="768" w:type="dxa"/>
            <w:vAlign w:val="center"/>
          </w:tcPr>
          <w:p>
            <w:pPr>
              <w:pStyle w:val="46"/>
              <w:jc w:val="center"/>
              <w:rPr>
                <w:rFonts w:ascii="Times New Roman" w:hAnsi="宋体"/>
                <w:b/>
                <w:snapToGrid w:val="0"/>
                <w:kern w:val="0"/>
                <w:szCs w:val="21"/>
              </w:rPr>
            </w:pPr>
            <w:r>
              <w:rPr>
                <w:rFonts w:hint="eastAsia" w:ascii="Times New Roman" w:hAnsi="宋体"/>
                <w:b/>
                <w:snapToGrid w:val="0"/>
                <w:kern w:val="0"/>
                <w:szCs w:val="21"/>
              </w:rPr>
              <w:t>特点</w:t>
            </w:r>
          </w:p>
        </w:tc>
        <w:tc>
          <w:tcPr>
            <w:tcW w:w="1703" w:type="dxa"/>
            <w:vAlign w:val="center"/>
          </w:tcPr>
          <w:p>
            <w:pPr>
              <w:pStyle w:val="46"/>
              <w:jc w:val="center"/>
              <w:rPr>
                <w:rFonts w:ascii="Times New Roman" w:hAnsi="宋体"/>
                <w:b/>
                <w:snapToGrid w:val="0"/>
                <w:kern w:val="0"/>
                <w:szCs w:val="21"/>
              </w:rPr>
            </w:pPr>
            <w:r>
              <w:rPr>
                <w:rFonts w:ascii="Times New Roman" w:hAnsi="宋体"/>
                <w:b/>
                <w:snapToGrid w:val="0"/>
                <w:kern w:val="0"/>
                <w:szCs w:val="21"/>
              </w:rPr>
              <w:t>人员</w:t>
            </w:r>
          </w:p>
        </w:tc>
        <w:tc>
          <w:tcPr>
            <w:tcW w:w="1703" w:type="dxa"/>
            <w:vAlign w:val="center"/>
          </w:tcPr>
          <w:p>
            <w:pPr>
              <w:pStyle w:val="46"/>
              <w:jc w:val="center"/>
              <w:rPr>
                <w:rFonts w:ascii="Times New Roman" w:hAnsi="Times New Roman"/>
                <w:b/>
                <w:snapToGrid w:val="0"/>
                <w:kern w:val="0"/>
                <w:szCs w:val="21"/>
              </w:rPr>
            </w:pPr>
            <w:r>
              <w:rPr>
                <w:rFonts w:ascii="Times New Roman" w:hAnsi="宋体"/>
                <w:b/>
                <w:snapToGrid w:val="0"/>
                <w:kern w:val="0"/>
                <w:szCs w:val="21"/>
              </w:rPr>
              <w:t>培训内容</w:t>
            </w:r>
          </w:p>
        </w:tc>
        <w:tc>
          <w:tcPr>
            <w:tcW w:w="915" w:type="dxa"/>
            <w:vAlign w:val="center"/>
          </w:tcPr>
          <w:p>
            <w:pPr>
              <w:pStyle w:val="46"/>
              <w:jc w:val="center"/>
              <w:rPr>
                <w:rFonts w:ascii="Times New Roman" w:hAnsi="Times New Roman"/>
                <w:b/>
                <w:snapToGrid w:val="0"/>
                <w:kern w:val="0"/>
                <w:szCs w:val="21"/>
              </w:rPr>
            </w:pPr>
            <w:r>
              <w:rPr>
                <w:rFonts w:ascii="Times New Roman" w:hAnsi="宋体"/>
                <w:b/>
                <w:snapToGrid w:val="0"/>
                <w:kern w:val="0"/>
                <w:szCs w:val="21"/>
              </w:rPr>
              <w:t>人数</w:t>
            </w:r>
          </w:p>
        </w:tc>
        <w:tc>
          <w:tcPr>
            <w:tcW w:w="846" w:type="dxa"/>
            <w:vAlign w:val="center"/>
          </w:tcPr>
          <w:p>
            <w:pPr>
              <w:pStyle w:val="46"/>
              <w:jc w:val="center"/>
              <w:rPr>
                <w:rFonts w:ascii="Times New Roman" w:hAnsi="Times New Roman"/>
                <w:b/>
                <w:snapToGrid w:val="0"/>
                <w:kern w:val="0"/>
                <w:szCs w:val="21"/>
              </w:rPr>
            </w:pPr>
            <w:r>
              <w:rPr>
                <w:rFonts w:ascii="Times New Roman" w:hAnsi="宋体"/>
                <w:b/>
                <w:snapToGrid w:val="0"/>
                <w:kern w:val="0"/>
                <w:szCs w:val="21"/>
              </w:rPr>
              <w:t>时间</w:t>
            </w:r>
          </w:p>
        </w:tc>
        <w:tc>
          <w:tcPr>
            <w:tcW w:w="1052" w:type="dxa"/>
            <w:vAlign w:val="center"/>
          </w:tcPr>
          <w:p>
            <w:pPr>
              <w:pStyle w:val="46"/>
              <w:jc w:val="center"/>
              <w:rPr>
                <w:rFonts w:ascii="Times New Roman" w:hAnsi="宋体"/>
                <w:b/>
                <w:snapToGrid w:val="0"/>
                <w:kern w:val="0"/>
                <w:szCs w:val="21"/>
              </w:rPr>
            </w:pPr>
            <w:r>
              <w:rPr>
                <w:rFonts w:hint="eastAsia" w:ascii="Times New Roman" w:hAnsi="宋体"/>
                <w:b/>
                <w:snapToGrid w:val="0"/>
                <w:kern w:val="0"/>
                <w:szCs w:val="21"/>
              </w:rPr>
              <w:t>日期（年）</w:t>
            </w:r>
          </w:p>
        </w:tc>
        <w:tc>
          <w:tcPr>
            <w:tcW w:w="1102" w:type="dxa"/>
            <w:vAlign w:val="center"/>
          </w:tcPr>
          <w:p>
            <w:pPr>
              <w:pStyle w:val="46"/>
              <w:jc w:val="center"/>
              <w:rPr>
                <w:rFonts w:ascii="Times New Roman" w:hAnsi="Times New Roman"/>
                <w:b/>
                <w:snapToGrid w:val="0"/>
                <w:kern w:val="0"/>
                <w:szCs w:val="21"/>
              </w:rPr>
            </w:pPr>
            <w:r>
              <w:rPr>
                <w:rFonts w:ascii="Times New Roman" w:hAnsi="宋体"/>
                <w:b/>
                <w:snapToGrid w:val="0"/>
                <w:kern w:val="0"/>
                <w:szCs w:val="21"/>
              </w:rPr>
              <w:t>费用</w:t>
            </w:r>
            <w:r>
              <w:rPr>
                <w:rFonts w:hint="eastAsia" w:ascii="Times New Roman" w:hAnsi="宋体"/>
                <w:b/>
                <w:snapToGrid w:val="0"/>
                <w:kern w:val="0"/>
                <w:szCs w:val="21"/>
              </w:rPr>
              <w:br w:type="textWrapping"/>
            </w:r>
            <w:r>
              <w:rPr>
                <w:rFonts w:ascii="Times New Roman" w:hAnsi="宋体"/>
                <w:b/>
                <w:snapToGrid w:val="0"/>
                <w:kern w:val="0"/>
                <w:szCs w:val="21"/>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2" w:type="dxa"/>
            <w:vMerge w:val="restart"/>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国外</w:t>
            </w:r>
          </w:p>
        </w:tc>
        <w:tc>
          <w:tcPr>
            <w:tcW w:w="768" w:type="dxa"/>
            <w:vMerge w:val="restart"/>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环境管理</w:t>
            </w:r>
          </w:p>
        </w:tc>
        <w:tc>
          <w:tcPr>
            <w:tcW w:w="1703" w:type="dxa"/>
          </w:tcPr>
          <w:p>
            <w:pPr>
              <w:pStyle w:val="46"/>
              <w:jc w:val="center"/>
              <w:rPr>
                <w:rFonts w:ascii="Times New Roman" w:hAnsi="Times New Roman"/>
                <w:snapToGrid w:val="0"/>
                <w:kern w:val="0"/>
                <w:szCs w:val="21"/>
              </w:rPr>
            </w:pPr>
            <w:r>
              <w:rPr>
                <w:rFonts w:hint="eastAsia" w:ascii="Times New Roman" w:hAnsi="Times New Roman"/>
                <w:snapToGrid w:val="0"/>
                <w:kern w:val="0"/>
                <w:szCs w:val="21"/>
              </w:rPr>
              <w:t>项目协调办公室相关部门管理人员</w:t>
            </w:r>
          </w:p>
        </w:tc>
        <w:tc>
          <w:tcPr>
            <w:tcW w:w="1703" w:type="dxa"/>
            <w:vAlign w:val="center"/>
          </w:tcPr>
          <w:p>
            <w:pPr>
              <w:pStyle w:val="46"/>
              <w:jc w:val="center"/>
              <w:rPr>
                <w:rFonts w:ascii="Times New Roman" w:hAnsi="Times New Roman"/>
                <w:snapToGrid w:val="0"/>
                <w:kern w:val="0"/>
                <w:szCs w:val="21"/>
              </w:rPr>
            </w:pPr>
            <w:r>
              <w:rPr>
                <w:rFonts w:hint="eastAsia" w:cs="宋体"/>
                <w:kern w:val="0"/>
                <w:szCs w:val="21"/>
              </w:rPr>
              <w:t>施工期环境管理先进经验和最佳实践</w:t>
            </w:r>
          </w:p>
        </w:tc>
        <w:tc>
          <w:tcPr>
            <w:tcW w:w="915"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5</w:t>
            </w:r>
          </w:p>
        </w:tc>
        <w:tc>
          <w:tcPr>
            <w:tcW w:w="846"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10天</w:t>
            </w:r>
          </w:p>
        </w:tc>
        <w:tc>
          <w:tcPr>
            <w:tcW w:w="105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2016年</w:t>
            </w:r>
          </w:p>
        </w:tc>
        <w:tc>
          <w:tcPr>
            <w:tcW w:w="110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2" w:type="dxa"/>
            <w:vMerge w:val="continue"/>
            <w:vAlign w:val="center"/>
          </w:tcPr>
          <w:p>
            <w:pPr>
              <w:pStyle w:val="46"/>
              <w:jc w:val="center"/>
              <w:rPr>
                <w:rFonts w:ascii="Times New Roman" w:hAnsi="Times New Roman"/>
                <w:snapToGrid w:val="0"/>
                <w:kern w:val="0"/>
                <w:szCs w:val="21"/>
              </w:rPr>
            </w:pPr>
          </w:p>
        </w:tc>
        <w:tc>
          <w:tcPr>
            <w:tcW w:w="768" w:type="dxa"/>
            <w:vMerge w:val="continue"/>
            <w:vAlign w:val="center"/>
          </w:tcPr>
          <w:p>
            <w:pPr>
              <w:pStyle w:val="46"/>
              <w:jc w:val="center"/>
              <w:rPr>
                <w:rFonts w:ascii="Times New Roman" w:hAnsi="Times New Roman"/>
                <w:snapToGrid w:val="0"/>
                <w:kern w:val="0"/>
                <w:szCs w:val="21"/>
              </w:rPr>
            </w:pPr>
          </w:p>
        </w:tc>
        <w:tc>
          <w:tcPr>
            <w:tcW w:w="1703" w:type="dxa"/>
          </w:tcPr>
          <w:p>
            <w:pPr>
              <w:pStyle w:val="46"/>
              <w:jc w:val="center"/>
              <w:rPr>
                <w:rFonts w:ascii="Times New Roman" w:hAnsi="Times New Roman"/>
                <w:snapToGrid w:val="0"/>
                <w:kern w:val="0"/>
                <w:szCs w:val="21"/>
              </w:rPr>
            </w:pPr>
            <w:r>
              <w:rPr>
                <w:rFonts w:hint="eastAsia" w:ascii="Times New Roman" w:hAnsi="Times New Roman"/>
                <w:snapToGrid w:val="0"/>
                <w:kern w:val="0"/>
                <w:szCs w:val="21"/>
              </w:rPr>
              <w:t>项目管理办公室、业主单位专业人员</w:t>
            </w:r>
          </w:p>
        </w:tc>
        <w:tc>
          <w:tcPr>
            <w:tcW w:w="1703" w:type="dxa"/>
            <w:vAlign w:val="center"/>
          </w:tcPr>
          <w:p>
            <w:pPr>
              <w:pStyle w:val="46"/>
              <w:jc w:val="center"/>
              <w:rPr>
                <w:rFonts w:ascii="Times New Roman" w:hAnsi="Times New Roman"/>
                <w:snapToGrid w:val="0"/>
                <w:kern w:val="0"/>
                <w:szCs w:val="21"/>
              </w:rPr>
            </w:pPr>
            <w:r>
              <w:rPr>
                <w:rFonts w:hint="eastAsia" w:cs="宋体"/>
                <w:kern w:val="0"/>
                <w:szCs w:val="21"/>
              </w:rPr>
              <w:t>施工期环境管理技术方法</w:t>
            </w:r>
          </w:p>
        </w:tc>
        <w:tc>
          <w:tcPr>
            <w:tcW w:w="915"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20</w:t>
            </w:r>
          </w:p>
        </w:tc>
        <w:tc>
          <w:tcPr>
            <w:tcW w:w="846"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10天</w:t>
            </w:r>
          </w:p>
        </w:tc>
        <w:tc>
          <w:tcPr>
            <w:tcW w:w="105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2016年</w:t>
            </w:r>
          </w:p>
        </w:tc>
        <w:tc>
          <w:tcPr>
            <w:tcW w:w="110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2" w:type="dxa"/>
            <w:vMerge w:val="restart"/>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国内</w:t>
            </w:r>
          </w:p>
        </w:tc>
        <w:tc>
          <w:tcPr>
            <w:tcW w:w="768" w:type="dxa"/>
            <w:vAlign w:val="center"/>
          </w:tcPr>
          <w:p>
            <w:pPr>
              <w:pStyle w:val="46"/>
              <w:jc w:val="center"/>
              <w:rPr>
                <w:rFonts w:ascii="Times New Roman" w:hAnsi="宋体"/>
                <w:snapToGrid w:val="0"/>
                <w:kern w:val="0"/>
                <w:szCs w:val="21"/>
              </w:rPr>
            </w:pPr>
            <w:r>
              <w:rPr>
                <w:rFonts w:hint="eastAsia" w:ascii="Times New Roman" w:hAnsi="宋体"/>
                <w:snapToGrid w:val="0"/>
                <w:kern w:val="0"/>
                <w:szCs w:val="21"/>
              </w:rPr>
              <w:t>环境保护</w:t>
            </w:r>
          </w:p>
        </w:tc>
        <w:tc>
          <w:tcPr>
            <w:tcW w:w="1703" w:type="dxa"/>
            <w:vAlign w:val="center"/>
          </w:tcPr>
          <w:p>
            <w:pPr>
              <w:pStyle w:val="46"/>
              <w:jc w:val="center"/>
              <w:rPr>
                <w:rFonts w:ascii="Times New Roman" w:hAnsi="宋体"/>
                <w:snapToGrid w:val="0"/>
                <w:kern w:val="0"/>
                <w:szCs w:val="21"/>
              </w:rPr>
            </w:pPr>
            <w:r>
              <w:rPr>
                <w:rFonts w:ascii="Times New Roman" w:hAnsi="宋体"/>
                <w:snapToGrid w:val="0"/>
                <w:kern w:val="0"/>
                <w:szCs w:val="21"/>
              </w:rPr>
              <w:t>施工</w:t>
            </w:r>
            <w:r>
              <w:rPr>
                <w:rFonts w:hint="eastAsia" w:ascii="Times New Roman" w:hAnsi="宋体"/>
                <w:snapToGrid w:val="0"/>
                <w:kern w:val="0"/>
                <w:szCs w:val="21"/>
              </w:rPr>
              <w:t>单位</w:t>
            </w:r>
            <w:r>
              <w:rPr>
                <w:rFonts w:ascii="Times New Roman" w:hAnsi="宋体"/>
                <w:snapToGrid w:val="0"/>
                <w:kern w:val="0"/>
                <w:szCs w:val="21"/>
              </w:rPr>
              <w:t>环保</w:t>
            </w:r>
          </w:p>
          <w:p>
            <w:pPr>
              <w:pStyle w:val="46"/>
              <w:jc w:val="center"/>
              <w:rPr>
                <w:rFonts w:ascii="Times New Roman" w:hAnsi="Times New Roman"/>
                <w:snapToGrid w:val="0"/>
                <w:kern w:val="0"/>
                <w:szCs w:val="21"/>
              </w:rPr>
            </w:pPr>
            <w:r>
              <w:rPr>
                <w:rFonts w:ascii="Times New Roman" w:hAnsi="宋体"/>
                <w:snapToGrid w:val="0"/>
                <w:kern w:val="0"/>
                <w:szCs w:val="21"/>
              </w:rPr>
              <w:t>人员</w:t>
            </w:r>
          </w:p>
        </w:tc>
        <w:tc>
          <w:tcPr>
            <w:tcW w:w="1703" w:type="dxa"/>
            <w:vAlign w:val="center"/>
          </w:tcPr>
          <w:p>
            <w:pPr>
              <w:pStyle w:val="46"/>
              <w:jc w:val="center"/>
              <w:rPr>
                <w:rFonts w:ascii="Times New Roman" w:hAnsi="宋体"/>
                <w:snapToGrid w:val="0"/>
                <w:kern w:val="0"/>
                <w:szCs w:val="21"/>
              </w:rPr>
            </w:pPr>
            <w:r>
              <w:rPr>
                <w:rFonts w:ascii="Times New Roman" w:hAnsi="宋体"/>
                <w:snapToGrid w:val="0"/>
                <w:kern w:val="0"/>
                <w:szCs w:val="21"/>
              </w:rPr>
              <w:t>环境基础理论及监测方法、监测报告、岗位培训</w:t>
            </w:r>
          </w:p>
          <w:p>
            <w:pPr>
              <w:pStyle w:val="46"/>
              <w:jc w:val="center"/>
              <w:rPr>
                <w:rFonts w:ascii="Times New Roman" w:hAnsi="宋体"/>
                <w:snapToGrid w:val="0"/>
                <w:kern w:val="0"/>
                <w:szCs w:val="21"/>
              </w:rPr>
            </w:pPr>
            <w:r>
              <w:rPr>
                <w:rFonts w:hint="eastAsia" w:ascii="Times New Roman" w:hAnsi="宋体"/>
                <w:snapToGrid w:val="0"/>
                <w:kern w:val="0"/>
                <w:szCs w:val="21"/>
              </w:rPr>
              <w:t>每年一次：</w:t>
            </w:r>
          </w:p>
          <w:p>
            <w:pPr>
              <w:pStyle w:val="46"/>
              <w:jc w:val="center"/>
              <w:rPr>
                <w:rFonts w:ascii="Times New Roman" w:hAnsi="宋体"/>
                <w:snapToGrid w:val="0"/>
                <w:kern w:val="0"/>
                <w:szCs w:val="21"/>
              </w:rPr>
            </w:pPr>
            <w:r>
              <w:rPr>
                <w:rFonts w:hint="eastAsia" w:ascii="Times New Roman" w:hAnsi="宋体"/>
                <w:snapToGrid w:val="0"/>
                <w:kern w:val="0"/>
                <w:szCs w:val="21"/>
              </w:rPr>
              <w:t>环境管理计划</w:t>
            </w:r>
          </w:p>
          <w:p>
            <w:pPr>
              <w:pStyle w:val="46"/>
              <w:jc w:val="center"/>
              <w:rPr>
                <w:rFonts w:ascii="Times New Roman" w:hAnsi="宋体"/>
                <w:snapToGrid w:val="0"/>
                <w:kern w:val="0"/>
                <w:szCs w:val="21"/>
              </w:rPr>
            </w:pPr>
            <w:r>
              <w:rPr>
                <w:rFonts w:hint="eastAsia" w:ascii="Times New Roman" w:hAnsi="宋体"/>
                <w:snapToGrid w:val="0"/>
                <w:kern w:val="0"/>
                <w:szCs w:val="21"/>
              </w:rPr>
              <w:t>环境监测和报告</w:t>
            </w:r>
          </w:p>
          <w:p>
            <w:pPr>
              <w:pStyle w:val="46"/>
              <w:jc w:val="center"/>
              <w:rPr>
                <w:rFonts w:ascii="Times New Roman" w:hAnsi="Times New Roman"/>
                <w:snapToGrid w:val="0"/>
                <w:kern w:val="0"/>
                <w:szCs w:val="21"/>
              </w:rPr>
            </w:pPr>
            <w:r>
              <w:rPr>
                <w:rFonts w:hint="eastAsia" w:ascii="Times New Roman" w:hAnsi="宋体"/>
                <w:snapToGrid w:val="0"/>
                <w:kern w:val="0"/>
                <w:szCs w:val="21"/>
              </w:rPr>
              <w:t>应急计划</w:t>
            </w:r>
          </w:p>
        </w:tc>
        <w:tc>
          <w:tcPr>
            <w:tcW w:w="915" w:type="dxa"/>
            <w:vAlign w:val="center"/>
          </w:tcPr>
          <w:p>
            <w:pPr>
              <w:pStyle w:val="46"/>
              <w:jc w:val="center"/>
              <w:rPr>
                <w:rFonts w:ascii="Times New Roman" w:hAnsi="Times New Roman"/>
                <w:snapToGrid w:val="0"/>
                <w:kern w:val="0"/>
                <w:szCs w:val="21"/>
              </w:rPr>
            </w:pPr>
            <w:r>
              <w:rPr>
                <w:rFonts w:ascii="Times New Roman" w:hAnsi="Times New Roman"/>
                <w:snapToGrid w:val="0"/>
                <w:kern w:val="0"/>
                <w:szCs w:val="21"/>
              </w:rPr>
              <w:t>10</w:t>
            </w:r>
            <w:r>
              <w:rPr>
                <w:rFonts w:ascii="Times New Roman" w:hAnsi="宋体"/>
                <w:snapToGrid w:val="0"/>
                <w:kern w:val="0"/>
                <w:szCs w:val="21"/>
              </w:rPr>
              <w:t>～</w:t>
            </w:r>
            <w:r>
              <w:rPr>
                <w:rFonts w:ascii="Times New Roman" w:hAnsi="Times New Roman"/>
                <w:snapToGrid w:val="0"/>
                <w:kern w:val="0"/>
                <w:szCs w:val="21"/>
              </w:rPr>
              <w:t>20</w:t>
            </w:r>
            <w:r>
              <w:rPr>
                <w:rFonts w:ascii="Times New Roman" w:hAnsi="宋体"/>
                <w:snapToGrid w:val="0"/>
                <w:kern w:val="0"/>
                <w:szCs w:val="21"/>
              </w:rPr>
              <w:t>人</w:t>
            </w:r>
          </w:p>
        </w:tc>
        <w:tc>
          <w:tcPr>
            <w:tcW w:w="846"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3天/次</w:t>
            </w:r>
          </w:p>
        </w:tc>
        <w:tc>
          <w:tcPr>
            <w:tcW w:w="105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2016-2019年</w:t>
            </w:r>
          </w:p>
        </w:tc>
        <w:tc>
          <w:tcPr>
            <w:tcW w:w="110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2" w:type="dxa"/>
            <w:vMerge w:val="continue"/>
            <w:vAlign w:val="center"/>
          </w:tcPr>
          <w:p>
            <w:pPr>
              <w:pStyle w:val="46"/>
              <w:jc w:val="center"/>
              <w:rPr>
                <w:rFonts w:ascii="Times New Roman" w:hAnsi="Times New Roman"/>
                <w:snapToGrid w:val="0"/>
                <w:kern w:val="0"/>
                <w:szCs w:val="21"/>
              </w:rPr>
            </w:pPr>
          </w:p>
        </w:tc>
        <w:tc>
          <w:tcPr>
            <w:tcW w:w="768" w:type="dxa"/>
            <w:vAlign w:val="center"/>
          </w:tcPr>
          <w:p>
            <w:pPr>
              <w:pStyle w:val="46"/>
              <w:jc w:val="center"/>
              <w:rPr>
                <w:rFonts w:ascii="Times New Roman" w:hAnsi="宋体"/>
                <w:snapToGrid w:val="0"/>
                <w:kern w:val="0"/>
                <w:szCs w:val="21"/>
              </w:rPr>
            </w:pPr>
            <w:r>
              <w:rPr>
                <w:rFonts w:hint="eastAsia" w:ascii="Times New Roman" w:hAnsi="宋体"/>
                <w:snapToGrid w:val="0"/>
                <w:kern w:val="0"/>
                <w:szCs w:val="21"/>
              </w:rPr>
              <w:t>监理</w:t>
            </w:r>
          </w:p>
        </w:tc>
        <w:tc>
          <w:tcPr>
            <w:tcW w:w="1703" w:type="dxa"/>
            <w:vAlign w:val="center"/>
          </w:tcPr>
          <w:p>
            <w:pPr>
              <w:pStyle w:val="46"/>
              <w:jc w:val="center"/>
              <w:rPr>
                <w:rFonts w:ascii="Times New Roman" w:hAnsi="Times New Roman"/>
                <w:snapToGrid w:val="0"/>
                <w:kern w:val="0"/>
                <w:szCs w:val="21"/>
              </w:rPr>
            </w:pPr>
            <w:r>
              <w:rPr>
                <w:rFonts w:ascii="Times New Roman" w:hAnsi="宋体"/>
                <w:snapToGrid w:val="0"/>
                <w:kern w:val="0"/>
                <w:szCs w:val="21"/>
              </w:rPr>
              <w:t>环保监理工程师、建设方环境管理人员</w:t>
            </w:r>
          </w:p>
        </w:tc>
        <w:tc>
          <w:tcPr>
            <w:tcW w:w="1703" w:type="dxa"/>
            <w:vAlign w:val="center"/>
          </w:tcPr>
          <w:p>
            <w:pPr>
              <w:pStyle w:val="46"/>
              <w:jc w:val="center"/>
              <w:rPr>
                <w:rFonts w:ascii="Times New Roman" w:hAnsi="Times New Roman"/>
                <w:snapToGrid w:val="0"/>
                <w:kern w:val="0"/>
                <w:szCs w:val="21"/>
              </w:rPr>
            </w:pPr>
            <w:r>
              <w:rPr>
                <w:rFonts w:ascii="Times New Roman" w:hAnsi="宋体"/>
                <w:snapToGrid w:val="0"/>
                <w:kern w:val="0"/>
                <w:szCs w:val="21"/>
              </w:rPr>
              <w:t>环保法规、施工规划、环境监控准则及规划、环境空气监测及控制技术、噪声监测及控制技术</w:t>
            </w:r>
          </w:p>
        </w:tc>
        <w:tc>
          <w:tcPr>
            <w:tcW w:w="915" w:type="dxa"/>
            <w:vAlign w:val="center"/>
          </w:tcPr>
          <w:p>
            <w:pPr>
              <w:pStyle w:val="46"/>
              <w:jc w:val="center"/>
              <w:rPr>
                <w:rFonts w:ascii="Times New Roman" w:hAnsi="Times New Roman"/>
                <w:snapToGrid w:val="0"/>
                <w:kern w:val="0"/>
                <w:szCs w:val="21"/>
              </w:rPr>
            </w:pPr>
            <w:r>
              <w:rPr>
                <w:rFonts w:ascii="Times New Roman" w:hAnsi="Times New Roman"/>
                <w:snapToGrid w:val="0"/>
                <w:kern w:val="0"/>
                <w:szCs w:val="21"/>
              </w:rPr>
              <w:t>5</w:t>
            </w:r>
            <w:r>
              <w:rPr>
                <w:rFonts w:ascii="Times New Roman" w:hAnsi="宋体"/>
                <w:snapToGrid w:val="0"/>
                <w:kern w:val="0"/>
                <w:szCs w:val="21"/>
              </w:rPr>
              <w:t>～</w:t>
            </w:r>
            <w:r>
              <w:rPr>
                <w:rFonts w:ascii="Times New Roman" w:hAnsi="Times New Roman"/>
                <w:snapToGrid w:val="0"/>
                <w:kern w:val="0"/>
                <w:szCs w:val="21"/>
              </w:rPr>
              <w:t>10</w:t>
            </w:r>
            <w:r>
              <w:rPr>
                <w:rFonts w:ascii="Times New Roman" w:hAnsi="宋体"/>
                <w:snapToGrid w:val="0"/>
                <w:kern w:val="0"/>
                <w:szCs w:val="21"/>
              </w:rPr>
              <w:t>人</w:t>
            </w:r>
          </w:p>
        </w:tc>
        <w:tc>
          <w:tcPr>
            <w:tcW w:w="846" w:type="dxa"/>
            <w:vAlign w:val="center"/>
          </w:tcPr>
          <w:p>
            <w:pPr>
              <w:pStyle w:val="46"/>
              <w:jc w:val="center"/>
              <w:rPr>
                <w:rFonts w:ascii="Times New Roman" w:hAnsi="Times New Roman"/>
                <w:snapToGrid w:val="0"/>
                <w:kern w:val="0"/>
                <w:szCs w:val="21"/>
              </w:rPr>
            </w:pPr>
            <w:r>
              <w:rPr>
                <w:rFonts w:ascii="Times New Roman" w:hAnsi="Times New Roman"/>
                <w:snapToGrid w:val="0"/>
                <w:kern w:val="0"/>
                <w:szCs w:val="21"/>
              </w:rPr>
              <w:t>5</w:t>
            </w:r>
            <w:r>
              <w:rPr>
                <w:rFonts w:hint="eastAsia" w:ascii="Times New Roman" w:hAnsi="Times New Roman"/>
                <w:snapToGrid w:val="0"/>
                <w:kern w:val="0"/>
                <w:szCs w:val="21"/>
              </w:rPr>
              <w:t>天/次</w:t>
            </w:r>
          </w:p>
        </w:tc>
        <w:tc>
          <w:tcPr>
            <w:tcW w:w="105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2016 -2019年</w:t>
            </w:r>
          </w:p>
        </w:tc>
        <w:tc>
          <w:tcPr>
            <w:tcW w:w="1102" w:type="dxa"/>
            <w:vAlign w:val="center"/>
          </w:tcPr>
          <w:p>
            <w:pPr>
              <w:pStyle w:val="46"/>
              <w:jc w:val="center"/>
              <w:rPr>
                <w:rFonts w:ascii="Times New Roman" w:hAnsi="Times New Roman"/>
                <w:snapToGrid w:val="0"/>
                <w:kern w:val="0"/>
                <w:szCs w:val="21"/>
              </w:rPr>
            </w:pPr>
            <w:r>
              <w:rPr>
                <w:rFonts w:hint="eastAsia" w:ascii="Times New Roman" w:hAnsi="Times New Roman"/>
                <w:snapToGrid w:val="0"/>
                <w:kern w:val="0"/>
                <w:szCs w:val="21"/>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69" w:type="dxa"/>
            <w:gridSpan w:val="7"/>
            <w:vAlign w:val="center"/>
          </w:tcPr>
          <w:p>
            <w:pPr>
              <w:pStyle w:val="46"/>
              <w:jc w:val="center"/>
              <w:rPr>
                <w:rFonts w:ascii="Times New Roman" w:hAnsi="Times New Roman"/>
                <w:b/>
                <w:snapToGrid w:val="0"/>
                <w:kern w:val="0"/>
                <w:szCs w:val="21"/>
              </w:rPr>
            </w:pPr>
            <w:r>
              <w:rPr>
                <w:rFonts w:hint="eastAsia" w:ascii="Times New Roman" w:hAnsi="Times New Roman"/>
                <w:b/>
                <w:snapToGrid w:val="0"/>
                <w:kern w:val="0"/>
                <w:szCs w:val="21"/>
              </w:rPr>
              <w:t>合计</w:t>
            </w:r>
          </w:p>
        </w:tc>
        <w:tc>
          <w:tcPr>
            <w:tcW w:w="1102" w:type="dxa"/>
            <w:vAlign w:val="center"/>
          </w:tcPr>
          <w:p>
            <w:pPr>
              <w:pStyle w:val="46"/>
              <w:jc w:val="center"/>
              <w:rPr>
                <w:rFonts w:ascii="Times New Roman" w:hAnsi="Times New Roman"/>
                <w:b/>
                <w:snapToGrid w:val="0"/>
                <w:kern w:val="0"/>
                <w:szCs w:val="21"/>
              </w:rPr>
            </w:pPr>
            <w:r>
              <w:rPr>
                <w:rFonts w:ascii="Times New Roman" w:hAnsi="Times New Roman"/>
                <w:b/>
                <w:snapToGrid w:val="0"/>
                <w:kern w:val="0"/>
                <w:szCs w:val="21"/>
              </w:rPr>
              <w:fldChar w:fldCharType="begin"/>
            </w:r>
            <w:r>
              <w:rPr>
                <w:rFonts w:ascii="Times New Roman" w:hAnsi="Times New Roman"/>
                <w:b/>
                <w:snapToGrid w:val="0"/>
                <w:kern w:val="0"/>
                <w:szCs w:val="21"/>
              </w:rPr>
              <w:instrText xml:space="preserve"> =SUM(ABOVE) </w:instrText>
            </w:r>
            <w:r>
              <w:rPr>
                <w:rFonts w:ascii="Times New Roman" w:hAnsi="Times New Roman"/>
                <w:b/>
                <w:snapToGrid w:val="0"/>
                <w:kern w:val="0"/>
                <w:szCs w:val="21"/>
              </w:rPr>
              <w:fldChar w:fldCharType="separate"/>
            </w:r>
            <w:r>
              <w:rPr>
                <w:rFonts w:ascii="Times New Roman" w:hAnsi="Times New Roman"/>
                <w:b/>
                <w:snapToGrid w:val="0"/>
                <w:kern w:val="0"/>
                <w:szCs w:val="21"/>
              </w:rPr>
              <w:t>74</w:t>
            </w:r>
            <w:r>
              <w:rPr>
                <w:rFonts w:ascii="Times New Roman" w:hAnsi="Times New Roman"/>
                <w:b/>
                <w:snapToGrid w:val="0"/>
                <w:kern w:val="0"/>
                <w:szCs w:val="21"/>
              </w:rPr>
              <w:fldChar w:fldCharType="end"/>
            </w:r>
          </w:p>
        </w:tc>
      </w:tr>
    </w:tbl>
    <w:p>
      <w:pPr>
        <w:pStyle w:val="46"/>
        <w:ind w:firstLine="482"/>
        <w:jc w:val="center"/>
        <w:rPr>
          <w:rFonts w:hAnsi="宋体"/>
          <w:b/>
          <w:snapToGrid w:val="0"/>
          <w:kern w:val="0"/>
          <w:szCs w:val="21"/>
        </w:rPr>
      </w:pPr>
    </w:p>
    <w:p>
      <w:pPr>
        <w:autoSpaceDE w:val="0"/>
        <w:autoSpaceDN w:val="0"/>
        <w:adjustRightInd w:val="0"/>
        <w:spacing w:line="360" w:lineRule="auto"/>
        <w:ind w:firstLine="420" w:firstLineChars="200"/>
        <w:rPr>
          <w:rFonts w:hAnsi="宋体"/>
        </w:rPr>
        <w:sectPr>
          <w:headerReference r:id="rId18" w:type="default"/>
          <w:pgSz w:w="11907" w:h="16840"/>
          <w:pgMar w:top="1661" w:right="1503" w:bottom="1440" w:left="1599" w:header="1134" w:footer="992" w:gutter="0"/>
          <w:cols w:space="720" w:num="1"/>
          <w:docGrid w:linePitch="326" w:charSpace="0"/>
        </w:sectPr>
      </w:pPr>
    </w:p>
    <w:p>
      <w:pPr>
        <w:pStyle w:val="2"/>
        <w:tabs>
          <w:tab w:val="left" w:pos="2520"/>
          <w:tab w:val="clear" w:pos="6231"/>
        </w:tabs>
        <w:spacing w:before="240" w:beforeLines="0" w:after="240" w:afterLines="0"/>
        <w:ind w:left="2880" w:hanging="2340"/>
      </w:pPr>
      <w:bookmarkStart w:id="291" w:name="_Toc428864013"/>
      <w:bookmarkStart w:id="292" w:name="_Toc442195791"/>
      <w:r>
        <w:rPr>
          <w:rFonts w:hint="eastAsia"/>
        </w:rPr>
        <w:t>评价结论</w:t>
      </w:r>
      <w:bookmarkEnd w:id="291"/>
      <w:bookmarkEnd w:id="292"/>
    </w:p>
    <w:p>
      <w:pPr>
        <w:adjustRightInd w:val="0"/>
        <w:snapToGrid w:val="0"/>
        <w:spacing w:line="360" w:lineRule="auto"/>
        <w:ind w:firstLine="480" w:firstLineChars="200"/>
        <w:rPr>
          <w:rFonts w:eastAsiaTheme="minorEastAsia"/>
          <w:color w:val="000000" w:themeColor="text1"/>
          <w:kern w:val="0"/>
          <w:sz w:val="24"/>
          <w14:textFill>
            <w14:solidFill>
              <w14:schemeClr w14:val="tx1"/>
            </w14:solidFill>
          </w14:textFill>
        </w:rPr>
      </w:pPr>
      <w:r>
        <w:rPr>
          <w:rFonts w:hAnsiTheme="minorEastAsia" w:eastAsiaTheme="minorEastAsia"/>
          <w:color w:val="000000" w:themeColor="text1"/>
          <w:sz w:val="24"/>
          <w14:textFill>
            <w14:solidFill>
              <w14:schemeClr w14:val="tx1"/>
            </w14:solidFill>
          </w14:textFill>
        </w:rPr>
        <w:t>拟建项目位于</w:t>
      </w:r>
      <w:r>
        <w:rPr>
          <w:rFonts w:hint="eastAsia" w:hAnsiTheme="minorEastAsia" w:eastAsiaTheme="minorEastAsia"/>
          <w:color w:val="000000" w:themeColor="text1"/>
          <w:sz w:val="24"/>
          <w14:textFill>
            <w14:solidFill>
              <w14:schemeClr w14:val="tx1"/>
            </w14:solidFill>
          </w14:textFill>
        </w:rPr>
        <w:t>宜昌高新技术产业开发区白洋工业园区内</w:t>
      </w:r>
      <w:r>
        <w:rPr>
          <w:rFonts w:hAnsiTheme="minorEastAsia" w:eastAsiaTheme="minorEastAsia"/>
          <w:color w:val="000000" w:themeColor="text1"/>
          <w:sz w:val="24"/>
          <w14:textFill>
            <w14:solidFill>
              <w14:schemeClr w14:val="tx1"/>
            </w14:solidFill>
          </w14:textFill>
        </w:rPr>
        <w:t>，</w:t>
      </w:r>
      <w:r>
        <w:rPr>
          <w:rFonts w:hint="eastAsia" w:hAnsiTheme="minorEastAsia" w:eastAsiaTheme="minorEastAsia"/>
          <w:color w:val="000000" w:themeColor="text1"/>
          <w:sz w:val="24"/>
          <w14:textFill>
            <w14:solidFill>
              <w14:schemeClr w14:val="tx1"/>
            </w14:solidFill>
          </w14:textFill>
        </w:rPr>
        <w:t>选址长江北岸枝江市白洋镇</w:t>
      </w:r>
      <w:r>
        <w:rPr>
          <w:rFonts w:hAnsiTheme="minorEastAsia" w:eastAsiaTheme="minorEastAsia"/>
          <w:color w:val="000000" w:themeColor="text1"/>
          <w:sz w:val="24"/>
          <w14:textFill>
            <w14:solidFill>
              <w14:schemeClr w14:val="tx1"/>
            </w14:solidFill>
          </w14:textFill>
        </w:rPr>
        <w:t>，共分</w:t>
      </w:r>
      <w:r>
        <w:rPr>
          <w:rFonts w:hint="eastAsia" w:eastAsiaTheme="minorEastAsia"/>
          <w:color w:val="000000" w:themeColor="text1"/>
          <w:sz w:val="24"/>
          <w14:textFill>
            <w14:solidFill>
              <w14:schemeClr w14:val="tx1"/>
            </w14:solidFill>
          </w14:textFill>
        </w:rPr>
        <w:t>5个一级子项17个二级子项</w:t>
      </w:r>
      <w:r>
        <w:rPr>
          <w:rFonts w:hAnsiTheme="minorEastAsia" w:eastAsiaTheme="minorEastAsia"/>
          <w:color w:val="000000" w:themeColor="text1"/>
          <w:sz w:val="24"/>
          <w14:textFill>
            <w14:solidFill>
              <w14:schemeClr w14:val="tx1"/>
            </w14:solidFill>
          </w14:textFill>
        </w:rPr>
        <w:t>，分别为</w:t>
      </w:r>
      <w:r>
        <w:rPr>
          <w:rFonts w:hint="eastAsia" w:hAnsiTheme="minorEastAsia" w:eastAsiaTheme="minorEastAsia"/>
          <w:color w:val="000000" w:themeColor="text1"/>
          <w:sz w:val="24"/>
          <w14:textFill>
            <w14:solidFill>
              <w14:schemeClr w14:val="tx1"/>
            </w14:solidFill>
          </w14:textFill>
        </w:rPr>
        <w:t>白洋港口作业区</w:t>
      </w:r>
      <w:r>
        <w:rPr>
          <w:rFonts w:hAnsiTheme="minorEastAsia" w:eastAsiaTheme="minorEastAsia"/>
          <w:color w:val="000000" w:themeColor="text1"/>
          <w:sz w:val="24"/>
          <w14:textFill>
            <w14:solidFill>
              <w14:schemeClr w14:val="tx1"/>
            </w14:solidFill>
          </w14:textFill>
        </w:rPr>
        <w:t>、</w:t>
      </w:r>
      <w:r>
        <w:rPr>
          <w:rFonts w:hint="eastAsia" w:hAnsiTheme="minorEastAsia" w:eastAsiaTheme="minorEastAsia"/>
          <w:color w:val="000000" w:themeColor="text1"/>
          <w:sz w:val="24"/>
          <w14:textFill>
            <w14:solidFill>
              <w14:schemeClr w14:val="tx1"/>
            </w14:solidFill>
          </w14:textFill>
        </w:rPr>
        <w:t>白洋物流园区</w:t>
      </w:r>
      <w:r>
        <w:rPr>
          <w:rFonts w:hAnsiTheme="minorEastAsia" w:eastAsiaTheme="minorEastAsia"/>
          <w:color w:val="000000" w:themeColor="text1"/>
          <w:sz w:val="24"/>
          <w14:textFill>
            <w14:solidFill>
              <w14:schemeClr w14:val="tx1"/>
            </w14:solidFill>
          </w14:textFill>
        </w:rPr>
        <w:t>、</w:t>
      </w:r>
      <w:r>
        <w:rPr>
          <w:rFonts w:hint="eastAsia" w:hAnsiTheme="minorEastAsia" w:eastAsiaTheme="minorEastAsia"/>
          <w:color w:val="000000" w:themeColor="text1"/>
          <w:sz w:val="24"/>
          <w14:textFill>
            <w14:solidFill>
              <w14:schemeClr w14:val="tx1"/>
            </w14:solidFill>
          </w14:textFill>
        </w:rPr>
        <w:t>道路交通工程、信息中心、项目管理和机构能力</w:t>
      </w:r>
      <w:r>
        <w:rPr>
          <w:rFonts w:hAnsiTheme="minorEastAsia" w:eastAsiaTheme="minorEastAsia"/>
          <w:color w:val="000000" w:themeColor="text1"/>
          <w:sz w:val="24"/>
          <w14:textFill>
            <w14:solidFill>
              <w14:schemeClr w14:val="tx1"/>
            </w14:solidFill>
          </w14:textFill>
        </w:rPr>
        <w:t>。</w:t>
      </w:r>
      <w:r>
        <w:rPr>
          <w:rFonts w:hint="eastAsia" w:hAnsiTheme="minorEastAsia" w:eastAsiaTheme="minorEastAsia"/>
          <w:color w:val="000000" w:themeColor="text1"/>
          <w:sz w:val="24"/>
          <w14:textFill>
            <w14:solidFill>
              <w14:schemeClr w14:val="tx1"/>
            </w14:solidFill>
          </w14:textFill>
        </w:rPr>
        <w:t>白洋港口作业区位于中华鲟保护区实验区范围内，作业区设计吞吐量700万吨/年，其中件杂120万吨/年，散货500万吨/年，集装箱8万TEU（折合80万吨）/年。建设3000吨级钢铁重件泊位1个、散货泊位4个、多用途泊位2个，占用岸线长度1036m</w:t>
      </w:r>
      <w:r>
        <w:rPr>
          <w:rFonts w:hint="eastAsia" w:hAnsiTheme="minorEastAsia" w:eastAsiaTheme="minorEastAsia"/>
          <w:color w:val="000000" w:themeColor="text1"/>
          <w:kern w:val="0"/>
          <w:sz w:val="24"/>
          <w14:textFill>
            <w14:solidFill>
              <w14:schemeClr w14:val="tx1"/>
            </w14:solidFill>
          </w14:textFill>
        </w:rPr>
        <w:t>；白洋物流园区占地76.6hm</w:t>
      </w:r>
      <w:r>
        <w:rPr>
          <w:rFonts w:hint="eastAsia" w:hAnsiTheme="minorEastAsia" w:eastAsiaTheme="minorEastAsia"/>
          <w:color w:val="000000" w:themeColor="text1"/>
          <w:kern w:val="0"/>
          <w:sz w:val="24"/>
          <w:vertAlign w:val="superscript"/>
          <w14:textFill>
            <w14:solidFill>
              <w14:schemeClr w14:val="tx1"/>
            </w14:solidFill>
          </w14:textFill>
        </w:rPr>
        <w:t>2</w:t>
      </w:r>
      <w:r>
        <w:rPr>
          <w:rFonts w:hint="eastAsia" w:hAnsiTheme="minorEastAsia" w:eastAsiaTheme="minorEastAsia"/>
          <w:color w:val="000000" w:themeColor="text1"/>
          <w:kern w:val="0"/>
          <w:sz w:val="24"/>
          <w14:textFill>
            <w14:solidFill>
              <w14:schemeClr w14:val="tx1"/>
            </w14:solidFill>
          </w14:textFill>
        </w:rPr>
        <w:t>，包括综合物流区、商贸物流区A、商贸物流区B；道路交通工程包括沙湾路上跨桥工程（城市次干路，全长675m，架空结构，桥面宽17m，双向四车道，桥梁段长280m）、桂湖路（城市次干路、宽30m、车行道16m、双向4车道、全长1126m）、松岗二路（城市次干路、宽30m、车行道24m、双向6车道、全长900m）；信息中心新建业务办公、调度和信息服务大楼；项目管理和机构能力主要为管理机构、实施机构和监督机构在内的项目管理体系</w:t>
      </w:r>
      <w:r>
        <w:rPr>
          <w:rFonts w:hAnsiTheme="minorEastAsia" w:eastAsiaTheme="minorEastAsia"/>
          <w:color w:val="000000" w:themeColor="text1"/>
          <w:kern w:val="0"/>
          <w:sz w:val="24"/>
          <w14:textFill>
            <w14:solidFill>
              <w14:schemeClr w14:val="tx1"/>
            </w14:solidFill>
          </w14:textFill>
        </w:rPr>
        <w:t>。</w:t>
      </w:r>
    </w:p>
    <w:p>
      <w:pPr>
        <w:adjustRightInd w:val="0"/>
        <w:snapToGrid w:val="0"/>
        <w:spacing w:line="360" w:lineRule="auto"/>
        <w:ind w:firstLine="480" w:firstLineChars="200"/>
        <w:rPr>
          <w:kern w:val="0"/>
          <w:sz w:val="24"/>
        </w:rPr>
      </w:pPr>
      <w:r>
        <w:rPr>
          <w:sz w:val="24"/>
        </w:rPr>
        <w:t>本项目为世界银行贷款项目，</w:t>
      </w:r>
      <w:r>
        <w:rPr>
          <w:rFonts w:hint="eastAsia"/>
          <w:sz w:val="24"/>
        </w:rPr>
        <w:t>拟利用世行贷款2亿美元、资本金8.97亿元、国内银行贷款8.22亿元，总投资约29.9亿元，项目建设期4年，2016年6月至2020年6月。</w:t>
      </w:r>
    </w:p>
    <w:p>
      <w:pPr>
        <w:pStyle w:val="4"/>
        <w:spacing w:line="360" w:lineRule="auto"/>
        <w:ind w:firstLine="480"/>
        <w:rPr>
          <w:b/>
          <w:snapToGrid w:val="0"/>
          <w:sz w:val="24"/>
        </w:rPr>
      </w:pPr>
      <w:r>
        <w:rPr>
          <w:rFonts w:hint="eastAsia"/>
          <w:sz w:val="24"/>
        </w:rPr>
        <w:t>项目建设符合国家相关产业政策和其上位规划，</w:t>
      </w:r>
      <w:r>
        <w:rPr>
          <w:rFonts w:hint="eastAsia" w:hAnsi="宋体"/>
          <w:sz w:val="24"/>
        </w:rPr>
        <w:t>本项目的实施，可完善物流园基础设施落后的局面，</w:t>
      </w:r>
      <w:r>
        <w:rPr>
          <w:rFonts w:hint="eastAsia" w:hAnsi="宋体"/>
          <w:kern w:val="0"/>
          <w:sz w:val="24"/>
        </w:rPr>
        <w:t>改善物流园区投资环境，降低整体物流成本，提高物流服务水平，加强行业管理，建立有形、有序、竞争、开放的物流市场，完善综合运输体系，推动物流园区现代物流发展，进而能够推动宜昌市经济发展。</w:t>
      </w:r>
    </w:p>
    <w:p>
      <w:pPr>
        <w:pStyle w:val="4"/>
        <w:spacing w:line="360" w:lineRule="auto"/>
        <w:ind w:firstLine="480"/>
        <w:rPr>
          <w:sz w:val="24"/>
        </w:rPr>
      </w:pPr>
      <w:r>
        <w:rPr>
          <w:rFonts w:hint="eastAsia"/>
          <w:sz w:val="24"/>
        </w:rPr>
        <w:t>区域环境质量较好，但区域内发生规模化开发，会导致水土流失，生态破坏。</w:t>
      </w:r>
    </w:p>
    <w:p>
      <w:pPr>
        <w:widowControl/>
        <w:spacing w:line="360" w:lineRule="auto"/>
        <w:ind w:firstLine="480" w:firstLineChars="200"/>
        <w:rPr>
          <w:rFonts w:hAnsi="宋体"/>
          <w:kern w:val="0"/>
          <w:sz w:val="24"/>
        </w:rPr>
      </w:pPr>
      <w:r>
        <w:rPr>
          <w:rFonts w:hint="eastAsia" w:hAnsi="宋体"/>
          <w:kern w:val="0"/>
          <w:sz w:val="24"/>
        </w:rPr>
        <w:t>项目的建设将产生生活污水、噪声、固体废物、生态破坏和事故风险，将对周围环境带来一定程度的影响，尤其是对该段长江水质存在一定的事故风险，但在严格执行“三同时”制度、落实长江“联防联控”机制和本评价提出的污染防治措施后，可使工程建设对环境的不利影响得到很好的控制，可为该区域环境功能要求所接受。项目可能产生的累积影响较小，能够满足当地生态承载力和岸线资源规划。</w:t>
      </w:r>
    </w:p>
    <w:p>
      <w:pPr>
        <w:autoSpaceDE w:val="0"/>
        <w:autoSpaceDN w:val="0"/>
        <w:spacing w:line="360" w:lineRule="auto"/>
        <w:ind w:firstLine="480" w:firstLineChars="200"/>
        <w:rPr>
          <w:sz w:val="24"/>
        </w:rPr>
      </w:pPr>
      <w:r>
        <w:rPr>
          <w:rFonts w:hint="eastAsia" w:hAnsi="宋体"/>
          <w:kern w:val="0"/>
          <w:sz w:val="24"/>
        </w:rPr>
        <w:t>本工程在拟定地点、按照拟定的规模和建设内容实施，切实落实本报告规定的各项环境保护措施的条件下，工程建设具有环境可行性。</w:t>
      </w:r>
    </w:p>
    <w:sectPr>
      <w:headerReference r:id="rId19" w:type="default"/>
      <w:pgSz w:w="11906" w:h="16838"/>
      <w:pgMar w:top="1440" w:right="1274" w:bottom="1440" w:left="180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lixu" w:date="2016-01-29T16:01:00Z" w:initials="l">
    <w:p>
      <w:pPr>
        <w:pStyle w:val="14"/>
      </w:pP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02FF" w:usb1="4000ACFF" w:usb2="00000001" w:usb3="00000000" w:csb0="2000019F" w:csb1="00000000"/>
  </w:font>
  <w:font w:name="Arial">
    <w:panose1 w:val="020B0604020202020204"/>
    <w:charset w:val="01"/>
    <w:family w:val="decorative"/>
    <w:pitch w:val="default"/>
    <w:sig w:usb0="E0002AFF" w:usb1="C0007843" w:usb2="00000009" w:usb3="00000000" w:csb0="400001FF" w:csb1="FFFF0000"/>
  </w:font>
  <w:font w:name="Courier New">
    <w:panose1 w:val="02070309020205020404"/>
    <w:charset w:val="01"/>
    <w:family w:val="swiss"/>
    <w:pitch w:val="default"/>
    <w:sig w:usb0="E0002AFF" w:usb1="C0007843" w:usb2="00000009" w:usb3="00000000" w:csb0="400001FF" w:csb1="FFFF0000"/>
  </w:font>
  <w:font w:name="Symbol">
    <w:panose1 w:val="05050102010706020507"/>
    <w:charset w:val="02"/>
    <w:family w:val="modern"/>
    <w:pitch w:val="default"/>
    <w:sig w:usb0="00000000" w:usb1="00000000" w:usb2="00000000" w:usb3="00000000" w:csb0="80000000"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02FF" w:usb1="4000ACFF" w:usb2="00000001" w:usb3="00000000" w:csb0="2000019F" w:csb1="00000000"/>
  </w:font>
  <w:font w:name="隶书">
    <w:panose1 w:val="02010509060101010101"/>
    <w:charset w:val="86"/>
    <w:family w:val="decorative"/>
    <w:pitch w:val="default"/>
    <w:sig w:usb0="00000001" w:usb1="080E0000" w:usb2="00000000" w:usb3="00000000" w:csb0="00040000" w:csb1="00000000"/>
  </w:font>
  <w:font w:name="黑体">
    <w:panose1 w:val="02010609060101010101"/>
    <w:charset w:val="86"/>
    <w:family w:val="decorative"/>
    <w:pitch w:val="default"/>
    <w:sig w:usb0="800002BF" w:usb1="38CF7CFA" w:usb2="00000016" w:usb3="00000000" w:csb0="00040001" w:csb1="00000000"/>
  </w:font>
  <w:font w:name="Arial">
    <w:panose1 w:val="020B0604020202020204"/>
    <w:charset w:val="00"/>
    <w:family w:val="roman"/>
    <w:pitch w:val="default"/>
    <w:sig w:usb0="E0002AFF" w:usb1="C0007843" w:usb2="00000009" w:usb3="00000000" w:csb0="400001FF" w:csb1="FFFF0000"/>
  </w:font>
  <w:font w:name="Courier New">
    <w:panose1 w:val="02070309020205020404"/>
    <w:charset w:val="00"/>
    <w:family w:val="decorative"/>
    <w:pitch w:val="default"/>
    <w:sig w:usb0="E0002AFF" w:usb1="C0007843" w:usb2="00000009" w:usb3="00000000" w:csb0="400001FF" w:csb1="FFFF0000"/>
  </w:font>
  <w:font w:name="Tahoma">
    <w:panose1 w:val="020B0604030504040204"/>
    <w:charset w:val="00"/>
    <w:family w:val="roman"/>
    <w:pitch w:val="default"/>
    <w:sig w:usb0="E1002EFF" w:usb1="C000605B" w:usb2="00000029" w:usb3="00000000" w:csb0="200101FF" w:csb1="20280000"/>
  </w:font>
  <w:font w:name="楷体_GB2312">
    <w:altName w:val="楷体"/>
    <w:panose1 w:val="00000000000000000000"/>
    <w:charset w:val="86"/>
    <w:family w:val="decorative"/>
    <w:pitch w:val="default"/>
    <w:sig w:usb0="00000000" w:usb1="00000000" w:usb2="00000016" w:usb3="00000000" w:csb0="00040001" w:csb1="00000000"/>
  </w:font>
  <w:font w:name="新宋体">
    <w:panose1 w:val="02010609030101010101"/>
    <w:charset w:val="86"/>
    <w:family w:val="decorative"/>
    <w:pitch w:val="default"/>
    <w:sig w:usb0="00000003" w:usb1="288F0000" w:usb2="00000006" w:usb3="00000000" w:csb0="00040001" w:csb1="00000000"/>
  </w:font>
  <w:font w:name="仿宋_GB2312">
    <w:altName w:val="仿宋"/>
    <w:panose1 w:val="00000000000000000000"/>
    <w:charset w:val="86"/>
    <w:family w:val="decorative"/>
    <w:pitch w:val="default"/>
    <w:sig w:usb0="00000000" w:usb1="00000000" w:usb2="00000010" w:usb3="00000000" w:csb0="00040000" w:csb1="00000000"/>
  </w:font>
  <w:font w:name="Arial Unicode MS">
    <w:panose1 w:val="020B0604020202020204"/>
    <w:charset w:val="86"/>
    <w:family w:val="roman"/>
    <w:pitch w:val="default"/>
    <w:sig w:usb0="FFFFFFFF" w:usb1="E9FFFFFF" w:usb2="0000003F" w:usb3="00000000" w:csb0="603F01FF" w:csb1="FFFF0000"/>
  </w:font>
  <w:font w:name="Verdana">
    <w:panose1 w:val="020B0604030504040204"/>
    <w:charset w:val="00"/>
    <w:family w:val="roman"/>
    <w:pitch w:val="default"/>
    <w:sig w:usb0="A10006FF" w:usb1="4000205B" w:usb2="00000010" w:usb3="00000000" w:csb0="2000019F" w:csb1="00000000"/>
  </w:font>
  <w:font w:name="ˎ̥">
    <w:altName w:val="Times New Roman"/>
    <w:panose1 w:val="00000000000000000000"/>
    <w:charset w:val="00"/>
    <w:family w:val="swiss"/>
    <w:pitch w:val="default"/>
    <w:sig w:usb0="00000000" w:usb1="00000000" w:usb2="00000000" w:usb3="00000000" w:csb0="00000000" w:csb1="00000000"/>
  </w:font>
  <w:font w:name="方正仿宋简体">
    <w:altName w:val="宋体"/>
    <w:panose1 w:val="00000000000000000000"/>
    <w:charset w:val="01"/>
    <w:family w:val="auto"/>
    <w:pitch w:val="default"/>
    <w:sig w:usb0="00000000" w:usb1="00000000" w:usb2="00000010" w:usb3="00000000" w:csb0="00040000" w:csb1="00000000"/>
  </w:font>
  <w:font w:name="Times">
    <w:altName w:val="Times New Roman"/>
    <w:panose1 w:val="02020603050405020304"/>
    <w:charset w:val="00"/>
    <w:family w:val="swiss"/>
    <w:pitch w:val="default"/>
    <w:sig w:usb0="00000000" w:usb1="00000000" w:usb2="00000009" w:usb3="00000000" w:csb0="000001FF" w:csb1="00000000"/>
  </w:font>
  <w:font w:name="方正书宋简体">
    <w:altName w:val="黑体"/>
    <w:panose1 w:val="00000000000000000000"/>
    <w:charset w:val="86"/>
    <w:family w:val="script"/>
    <w:pitch w:val="default"/>
    <w:sig w:usb0="00000000" w:usb1="00000000" w:usb2="00000010" w:usb3="00000000" w:csb0="00040000" w:csb1="00000000"/>
  </w:font>
  <w:font w:name="Symusic">
    <w:panose1 w:val="00000400000000000000"/>
    <w:charset w:val="00"/>
    <w:family w:val="auto"/>
    <w:pitch w:val="default"/>
    <w:sig w:usb0="00000001" w:usb1="00000000" w:usb2="00000000" w:usb3="00000000" w:csb0="000001FF" w:csb1="00000000"/>
  </w:font>
  <w:font w:name="Garamond">
    <w:panose1 w:val="02020404030301010803"/>
    <w:charset w:val="00"/>
    <w:family w:val="swiss"/>
    <w:pitch w:val="default"/>
    <w:sig w:usb0="00000287" w:usb1="00000000" w:usb2="00000000" w:usb3="00000000" w:csb0="0000009F" w:csb1="DFD70000"/>
  </w:font>
  <w:font w:name="汉鼎简书宋">
    <w:altName w:val="宋体"/>
    <w:panose1 w:val="00000000000000000000"/>
    <w:charset w:val="86"/>
    <w:family w:val="decorative"/>
    <w:pitch w:val="default"/>
    <w:sig w:usb0="00000000" w:usb1="0000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decorative"/>
    <w:pitch w:val="default"/>
    <w:sig w:usb0="800002BF" w:usb1="38CF7CFA" w:usb2="00000016" w:usb3="00000000" w:csb0="00040001" w:csb1="00000000"/>
  </w:font>
  <w:font w:name="Century Gothic">
    <w:panose1 w:val="020B0502020202020204"/>
    <w:charset w:val="00"/>
    <w:family w:val="roman"/>
    <w:pitch w:val="default"/>
    <w:sig w:usb0="00000287" w:usb1="00000000" w:usb2="00000000" w:usb3="00000000" w:csb0="2000009F" w:csb1="DFD70000"/>
  </w:font>
  <w:font w:name="Plotter">
    <w:altName w:val="Times New Roman"/>
    <w:panose1 w:val="00000000000000000000"/>
    <w:charset w:val="00"/>
    <w:family w:val="swiss"/>
    <w:pitch w:val="default"/>
    <w:sig w:usb0="00000000" w:usb1="00000000" w:usb2="00000000" w:usb3="00000000" w:csb0="00000001" w:csb1="00000000"/>
  </w:font>
  <w:font w:name="华文行楷">
    <w:panose1 w:val="02010800040101010101"/>
    <w:charset w:val="86"/>
    <w:family w:val="auto"/>
    <w:pitch w:val="default"/>
    <w:sig w:usb0="00000001" w:usb1="080F0000" w:usb2="00000000" w:usb3="00000000" w:csb0="00040000" w:csb1="00000000"/>
  </w:font>
  <w:font w:name="Batang">
    <w:panose1 w:val="02030600000101010101"/>
    <w:charset w:val="81"/>
    <w:family w:val="swiss"/>
    <w:pitch w:val="default"/>
    <w:sig w:usb0="B00002AF" w:usb1="69D77CFB" w:usb2="00000030" w:usb3="00000000" w:csb0="4008009F" w:csb1="DFD70000"/>
  </w:font>
  <w:font w:name="MS Mincho">
    <w:panose1 w:val="02020609040205080304"/>
    <w:charset w:val="80"/>
    <w:family w:val="decorative"/>
    <w:pitch w:val="default"/>
    <w:sig w:usb0="E00002FF" w:usb1="6AC7FDFB" w:usb2="00000012" w:usb3="00000000" w:csb0="4002009F" w:csb1="DFD70000"/>
  </w:font>
  <w:font w:name="创艺简仿宋">
    <w:altName w:val="黑体"/>
    <w:panose1 w:val="00000000000000000000"/>
    <w:charset w:val="86"/>
    <w:family w:val="auto"/>
    <w:pitch w:val="default"/>
    <w:sig w:usb0="00000000" w:usb1="00000000" w:usb2="00000010" w:usb3="00000000" w:csb0="00040000" w:csb1="00000000"/>
  </w:font>
  <w:font w:name="幼圆">
    <w:panose1 w:val="02010509060101010101"/>
    <w:charset w:val="86"/>
    <w:family w:val="decorative"/>
    <w:pitch w:val="default"/>
    <w:sig w:usb0="00000001" w:usb1="080E0000" w:usb2="00000000" w:usb3="00000000" w:csb0="00040000" w:csb1="00000000"/>
  </w:font>
  <w:font w:name="Comic Sans MS">
    <w:panose1 w:val="030F0702030302020204"/>
    <w:charset w:val="00"/>
    <w:family w:val="script"/>
    <w:pitch w:val="default"/>
    <w:sig w:usb0="00000287" w:usb1="00000000" w:usb2="00000000" w:usb3="00000000" w:csb0="2000009F" w:csb1="00000000"/>
  </w:font>
  <w:font w:name="Tms Rmn">
    <w:altName w:val="Segoe Print"/>
    <w:panose1 w:val="02020603040505020304"/>
    <w:charset w:val="00"/>
    <w:family w:val="swiss"/>
    <w:pitch w:val="default"/>
    <w:sig w:usb0="00000000" w:usb1="00000000" w:usb2="00000000" w:usb3="00000000" w:csb0="00000001" w:csb1="00000000"/>
  </w:font>
  <w:font w:name="宋体-方正超大字符集">
    <w:altName w:val="Arial Unicode MS"/>
    <w:panose1 w:val="00000000000000000000"/>
    <w:charset w:val="86"/>
    <w:family w:val="script"/>
    <w:pitch w:val="default"/>
    <w:sig w:usb0="00000000" w:usb1="00000000" w:usb2="00000010" w:usb3="00000000" w:csb0="00040000" w:csb1="00000000"/>
  </w:font>
  <w:font w:name="微软雅黑">
    <w:panose1 w:val="020B0503020204020204"/>
    <w:charset w:val="86"/>
    <w:family w:val="roman"/>
    <w:pitch w:val="default"/>
    <w:sig w:usb0="80000287" w:usb1="280F3C52" w:usb2="00000016" w:usb3="00000000" w:csb0="0004001F" w:csb1="00000000"/>
  </w:font>
  <w:font w:name="..">
    <w:altName w:val="黑体"/>
    <w:panose1 w:val="00000000000000000000"/>
    <w:charset w:val="86"/>
    <w:family w:val="auto"/>
    <w:pitch w:val="default"/>
    <w:sig w:usb0="00000000" w:usb1="00000000" w:usb2="00000010" w:usb3="00000000" w:csb0="00040000" w:csb1="00000000"/>
  </w:font>
  <w:font w:name="楷体">
    <w:panose1 w:val="02010609060101010101"/>
    <w:charset w:val="86"/>
    <w:family w:val="decorative"/>
    <w:pitch w:val="default"/>
    <w:sig w:usb0="800002BF" w:usb1="38CF7CFA" w:usb2="00000016" w:usb3="00000000" w:csb0="00040001" w:csb1="00000000"/>
  </w:font>
  <w:font w:name="Roman PS">
    <w:altName w:val="Times New Roman"/>
    <w:panose1 w:val="00000000000000000000"/>
    <w:charset w:val="00"/>
    <w:family w:val="swiss"/>
    <w:pitch w:val="default"/>
    <w:sig w:usb0="00000000" w:usb1="00000000" w:usb2="00000000" w:usb3="00000000" w:csb0="00000001" w:csb1="00000000"/>
  </w:font>
  <w:font w:name="华文仿宋">
    <w:panose1 w:val="02010600040101010101"/>
    <w:charset w:val="86"/>
    <w:family w:val="auto"/>
    <w:pitch w:val="default"/>
    <w:sig w:usb0="00000287" w:usb1="080F0000" w:usb2="00000000" w:usb3="00000000" w:csb0="0004009F" w:csb1="DFD70000"/>
  </w:font>
  <w:font w:name="Wingdings 2">
    <w:panose1 w:val="05020102010507070707"/>
    <w:charset w:val="02"/>
    <w:family w:val="swiss"/>
    <w:pitch w:val="default"/>
    <w:sig w:usb0="00000000" w:usb1="00000000" w:usb2="00000000" w:usb3="00000000" w:csb0="80000000" w:csb1="00000000"/>
  </w:font>
  <w:font w:name="TimesNewRomanPSMT">
    <w:altName w:val="Times New Roman"/>
    <w:panose1 w:val="00000000000000000000"/>
    <w:charset w:val="00"/>
    <w:family w:val="swiss"/>
    <w:pitch w:val="default"/>
    <w:sig w:usb0="00000000" w:usb1="00000000" w:usb2="00000000" w:usb3="00000000" w:csb0="00000001" w:csb1="00000000"/>
  </w:font>
  <w:font w:name="Microsoft JhengHei">
    <w:panose1 w:val="020B0604030504040204"/>
    <w:charset w:val="88"/>
    <w:family w:val="roman"/>
    <w:pitch w:val="default"/>
    <w:sig w:usb0="00000087" w:usb1="28AF4000" w:usb2="00000016" w:usb3="00000000" w:csb0="00100009" w:csb1="00000000"/>
  </w:font>
  <w:font w:name="TimesNewRoman">
    <w:altName w:val="MS Mincho"/>
    <w:panose1 w:val="00000000000000000000"/>
    <w:charset w:val="80"/>
    <w:family w:val="auto"/>
    <w:pitch w:val="default"/>
    <w:sig w:usb0="00000000" w:usb1="00000000" w:usb2="00000010" w:usb3="00000000" w:csb0="00020000" w:csb1="00000000"/>
  </w:font>
  <w:font w:name="HiddenHorzOCR">
    <w:altName w:val="MS Mincho"/>
    <w:panose1 w:val="00000000000000000000"/>
    <w:charset w:val="80"/>
    <w:family w:val="auto"/>
    <w:pitch w:val="default"/>
    <w:sig w:usb0="00000000" w:usb1="00000000" w:usb2="00000010" w:usb3="00000000" w:csb0="00020000"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5"/>
      <w:framePr w:wrap="around" w:vAnchor="text" w:hAnchor="margin" w:xAlign="center" w:y="1"/>
      <w:rPr>
        <w:rStyle w:val="89"/>
      </w:rPr>
    </w:pPr>
    <w:r>
      <w:rPr>
        <w:rStyle w:val="89"/>
      </w:rPr>
      <w:fldChar w:fldCharType="begin"/>
    </w:r>
    <w:r>
      <w:rPr>
        <w:rStyle w:val="89"/>
      </w:rPr>
      <w:instrText xml:space="preserve">PAGE  </w:instrText>
    </w:r>
    <w:r>
      <w:rPr>
        <w:rStyle w:val="89"/>
      </w:rPr>
      <w:fldChar w:fldCharType="end"/>
    </w:r>
  </w:p>
  <w:p>
    <w:pPr>
      <w:pStyle w:val="5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5"/>
      <w:framePr w:wrap="around" w:vAnchor="text" w:hAnchor="margin" w:xAlign="center" w:y="1"/>
      <w:ind w:firstLine="420"/>
      <w:rPr>
        <w:rStyle w:val="89"/>
      </w:rPr>
    </w:pPr>
    <w:r>
      <w:rPr>
        <w:rStyle w:val="89"/>
        <w:rFonts w:hint="eastAsia"/>
      </w:rPr>
      <w:t>-</w:t>
    </w:r>
    <w:r>
      <w:fldChar w:fldCharType="begin"/>
    </w:r>
    <w:r>
      <w:rPr>
        <w:rStyle w:val="89"/>
      </w:rPr>
      <w:instrText xml:space="preserve">PAGE  </w:instrText>
    </w:r>
    <w:r>
      <w:fldChar w:fldCharType="separate"/>
    </w:r>
    <w:r>
      <w:rPr>
        <w:rStyle w:val="89"/>
      </w:rPr>
      <w:t>20</w:t>
    </w:r>
    <w:r>
      <w:fldChar w:fldCharType="end"/>
    </w:r>
    <w:r>
      <w:rPr>
        <w:rStyle w:val="89"/>
        <w:rFonts w:hint="eastAsia"/>
      </w:rPr>
      <w:t>-</w:t>
    </w:r>
  </w:p>
  <w:p>
    <w:pPr>
      <w:pStyle w:val="55"/>
      <w:pBdr>
        <w:top w:val="single" w:color="auto" w:sz="4" w:space="1"/>
      </w:pBdr>
    </w:pPr>
    <w:r>
      <w:rPr>
        <w:rFonts w:hint="eastAsia"/>
      </w:rPr>
      <w:t xml:space="preserve">湖北省安全环境技术科学研究院                                            </w:t>
    </w:r>
    <w:r>
      <w:rPr>
        <w:rFonts w:hint="eastAsia"/>
        <w:lang w:eastAsia="zh-CN"/>
      </w:rPr>
      <w:t xml:space="preserve">    </w:t>
    </w:r>
    <w:r>
      <w:rPr>
        <w:rFonts w:hint="eastAsia"/>
      </w:rPr>
      <w:t xml:space="preserve">      环境影响评价中心</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5"/>
      <w:framePr w:wrap="around" w:vAnchor="text" w:hAnchor="margin" w:xAlign="center" w:y="1"/>
      <w:ind w:firstLine="420"/>
      <w:rPr>
        <w:rStyle w:val="89"/>
      </w:rPr>
    </w:pPr>
    <w:r>
      <w:rPr>
        <w:rStyle w:val="89"/>
        <w:rFonts w:hint="eastAsia"/>
      </w:rPr>
      <w:t>-</w:t>
    </w:r>
    <w:r>
      <w:fldChar w:fldCharType="begin"/>
    </w:r>
    <w:r>
      <w:rPr>
        <w:rStyle w:val="89"/>
      </w:rPr>
      <w:instrText xml:space="preserve">PAGE  </w:instrText>
    </w:r>
    <w:r>
      <w:fldChar w:fldCharType="separate"/>
    </w:r>
    <w:r>
      <w:rPr>
        <w:rStyle w:val="89"/>
      </w:rPr>
      <w:t>161</w:t>
    </w:r>
    <w:r>
      <w:fldChar w:fldCharType="end"/>
    </w:r>
    <w:r>
      <w:rPr>
        <w:rStyle w:val="89"/>
        <w:rFonts w:hint="eastAsia"/>
      </w:rPr>
      <w:t>-</w:t>
    </w:r>
  </w:p>
  <w:p>
    <w:pPr>
      <w:pStyle w:val="55"/>
      <w:pBdr>
        <w:top w:val="single" w:color="auto" w:sz="4" w:space="1"/>
      </w:pBdr>
    </w:pPr>
    <w:r>
      <w:rPr>
        <w:rFonts w:hint="eastAsia"/>
      </w:rPr>
      <w:t xml:space="preserve">湖北省安全环境技术科学研究院                                      </w:t>
    </w:r>
    <w:r>
      <w:rPr>
        <w:rFonts w:hint="eastAsia"/>
        <w:lang w:eastAsia="zh-CN"/>
      </w:rPr>
      <w:t xml:space="preserve">  </w:t>
    </w:r>
    <w:r>
      <w:rPr>
        <w:rFonts w:hint="eastAsia"/>
      </w:rPr>
      <w:t xml:space="preserve">             环境影响评价中心</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pBdr>
        <w:bottom w:val="none" w:color="auto" w:sz="0" w:space="0"/>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lang w:eastAsia="zh-CN"/>
      </w:rPr>
      <w:t>世行宜昌三峡物流园</w:t>
    </w:r>
    <w:r>
      <w:rPr>
        <w:rFonts w:hint="eastAsia"/>
        <w:b/>
      </w:rPr>
      <w:t xml:space="preserve">基础设施建设项目环境与社会影响报告书                       </w:t>
    </w:r>
    <w:r>
      <w:rPr>
        <w:rFonts w:hint="eastAsia"/>
        <w:b/>
        <w:lang w:eastAsia="zh-CN"/>
      </w:rPr>
      <w:t>7</w:t>
    </w:r>
    <w:r>
      <w:rPr>
        <w:rFonts w:hint="eastAsia"/>
        <w:b/>
      </w:rPr>
      <w:t>信息公开与公众参与</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w:t>
    </w:r>
    <w:r>
      <w:rPr>
        <w:rFonts w:hint="eastAsia"/>
        <w:b/>
      </w:rPr>
      <w:t xml:space="preserve">     </w:t>
    </w:r>
    <w:r>
      <w:rPr>
        <w:rFonts w:hint="eastAsia"/>
        <w:b/>
        <w:lang w:eastAsia="zh-CN"/>
      </w:rPr>
      <w:t>8</w:t>
    </w:r>
    <w:r>
      <w:rPr>
        <w:b/>
      </w:rPr>
      <w:t>、</w:t>
    </w:r>
    <w:r>
      <w:rPr>
        <w:rFonts w:hint="eastAsia"/>
        <w:b/>
        <w:lang w:eastAsia="zh-CN"/>
      </w:rPr>
      <w:t>环境管理计划</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10</w:t>
    </w:r>
    <w:r>
      <w:rPr>
        <w:rFonts w:hint="eastAsia"/>
        <w:b/>
      </w:rPr>
      <w:t>环保投资估算与 环境经济损益分析</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9评价结论</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7125"/>
        <w:tab w:val="clear" w:pos="8306"/>
      </w:tabs>
      <w:jc w:val="both"/>
      <w:rPr>
        <w:b/>
      </w:rPr>
    </w:pPr>
    <w:r>
      <w:rPr>
        <w:rFonts w:hint="eastAsia"/>
        <w:b/>
      </w:rPr>
      <w:t xml:space="preserve">世行贷款湖北宜昌市三峡现代物流中心基础设施项目环境影响报告书 </w:t>
    </w:r>
    <w:r>
      <w:rPr>
        <w:rFonts w:hint="eastAsia"/>
        <w:b/>
        <w:lang w:eastAsia="zh-CN"/>
      </w:rPr>
      <w:t xml:space="preserve">     </w:t>
    </w:r>
    <w:r>
      <w:rPr>
        <w:rFonts w:hint="eastAsia"/>
        <w:b/>
      </w:rPr>
      <w:t xml:space="preserve">                        </w:t>
    </w:r>
    <w:r>
      <w:rPr>
        <w:rFonts w:hint="eastAsia"/>
        <w:b/>
        <w:lang w:eastAsia="zh-CN"/>
      </w:rPr>
      <w:t>1</w:t>
    </w:r>
    <w:r>
      <w:rPr>
        <w:rFonts w:hint="eastAsia"/>
        <w:b/>
      </w:rPr>
      <w:t xml:space="preserve"> </w:t>
    </w:r>
    <w:r>
      <w:rPr>
        <w:rFonts w:hint="eastAsia"/>
        <w:b/>
        <w:lang w:eastAsia="zh-CN"/>
      </w:rPr>
      <w:t>总论</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7125"/>
        <w:tab w:val="clear" w:pos="8306"/>
      </w:tabs>
      <w:jc w:val="both"/>
      <w:rPr>
        <w:b/>
      </w:rPr>
    </w:pPr>
    <w:r>
      <w:rPr>
        <w:rFonts w:hint="eastAsia"/>
        <w:b/>
      </w:rPr>
      <w:t xml:space="preserve">世行贷款湖北宜昌市三峡现代物流中心基础设施项目环境影响报告书                     </w:t>
    </w:r>
    <w:r>
      <w:rPr>
        <w:rFonts w:hint="eastAsia"/>
        <w:b/>
        <w:lang w:eastAsia="zh-CN"/>
      </w:rPr>
      <w:t>2工程概况</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世行贷款宜昌三峡现代物流中心基础设施项目环境影响报告书             </w:t>
    </w:r>
    <w:r>
      <w:rPr>
        <w:rFonts w:hint="eastAsia"/>
        <w:b/>
        <w:lang w:eastAsia="zh-CN"/>
      </w:rPr>
      <w:t xml:space="preserve">             3自然与社会现状</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w:t>
    </w:r>
    <w:r>
      <w:rPr>
        <w:rFonts w:hint="eastAsia"/>
        <w:b/>
      </w:rPr>
      <w:t xml:space="preserve">         3</w:t>
    </w:r>
    <w:r>
      <w:rPr>
        <w:b/>
      </w:rPr>
      <w:t>、</w:t>
    </w:r>
    <w:r>
      <w:rPr>
        <w:rFonts w:hint="eastAsia"/>
        <w:b/>
      </w:rPr>
      <w:t>方案比选</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w:t>
    </w:r>
    <w:r>
      <w:rPr>
        <w:rFonts w:hint="eastAsia"/>
        <w:b/>
      </w:rPr>
      <w:t xml:space="preserve">   </w:t>
    </w:r>
    <w:r>
      <w:rPr>
        <w:rFonts w:hint="eastAsia"/>
        <w:b/>
        <w:lang w:eastAsia="zh-CN"/>
      </w:rPr>
      <w:t>5、</w:t>
    </w:r>
    <w:r>
      <w:rPr>
        <w:rFonts w:hint="eastAsia"/>
        <w:b/>
      </w:rPr>
      <w:t>环境影响分析与评价</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w:t>
    </w:r>
    <w:r>
      <w:rPr>
        <w:rFonts w:hint="eastAsia"/>
        <w:b/>
      </w:rPr>
      <w:t xml:space="preserve">   </w:t>
    </w:r>
    <w:r>
      <w:rPr>
        <w:rFonts w:hint="eastAsia"/>
        <w:b/>
        <w:lang w:eastAsia="zh-CN"/>
      </w:rPr>
      <w:t>6、</w:t>
    </w:r>
    <w:r>
      <w:rPr>
        <w:rFonts w:hint="eastAsia"/>
        <w:b/>
      </w:rPr>
      <w:t>环境影响分析与评价</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tabs>
        <w:tab w:val="left" w:pos="6420"/>
        <w:tab w:val="clear" w:pos="8306"/>
      </w:tabs>
      <w:jc w:val="both"/>
    </w:pPr>
    <w:r>
      <w:rPr>
        <w:rFonts w:hint="eastAsia"/>
        <w:b/>
      </w:rPr>
      <w:t xml:space="preserve">世行贷款宜昌三峡现代物流中心基础设施项目环境与社会影响报告书      </w:t>
    </w:r>
    <w:r>
      <w:rPr>
        <w:rFonts w:hint="eastAsia"/>
        <w:b/>
        <w:lang w:eastAsia="zh-CN"/>
      </w:rPr>
      <w:t xml:space="preserve">     </w:t>
    </w:r>
    <w:r>
      <w:rPr>
        <w:rFonts w:hint="eastAsia"/>
        <w:b/>
      </w:rPr>
      <w:t xml:space="preserve">   </w:t>
    </w:r>
    <w:r>
      <w:rPr>
        <w:rFonts w:hint="eastAsia"/>
        <w:b/>
        <w:lang w:eastAsia="zh-CN"/>
      </w:rPr>
      <w:t>6、</w:t>
    </w:r>
    <w:r>
      <w:rPr>
        <w:rFonts w:hint="eastAsia"/>
        <w:b/>
      </w:rPr>
      <w:t>环境影响分析与评价</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58"/>
      <w:jc w:val="both"/>
      <w:rPr>
        <w:b/>
      </w:rPr>
    </w:pPr>
    <w:r>
      <w:rPr>
        <w:rFonts w:hint="eastAsia"/>
        <w:b/>
      </w:rPr>
      <w:t xml:space="preserve">世行贷款宜昌三峡现代物流中心基础设施项目环境与社会影响报告书 </w:t>
    </w:r>
    <w:r>
      <w:rPr>
        <w:rFonts w:hint="eastAsia" w:ascii="仿宋_GB2312" w:eastAsia="仿宋_GB2312"/>
      </w:rPr>
      <w:t xml:space="preserve">                    </w:t>
    </w:r>
    <w:r>
      <w:rPr>
        <w:rFonts w:hint="eastAsia"/>
        <w:b/>
      </w:rPr>
      <w:t xml:space="preserve"> </w:t>
    </w:r>
    <w:r>
      <w:rPr>
        <w:rFonts w:hint="eastAsia"/>
        <w:b/>
        <w:lang w:eastAsia="zh-CN"/>
      </w:rPr>
      <w:t>7</w:t>
    </w:r>
    <w:r>
      <w:rPr>
        <w:rFonts w:hint="eastAsia"/>
        <w:b/>
      </w:rPr>
      <w:t>事故风险分析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4294967171">
    <w:nsid w:val="FFFFFF83"/>
    <w:multiLevelType w:val="singleLevel"/>
    <w:tmpl w:val="FFFFFF83"/>
    <w:lvl w:ilvl="0" w:tentative="1">
      <w:start w:val="1"/>
      <w:numFmt w:val="bullet"/>
      <w:pStyle w:val="41"/>
      <w:lvlText w:val=""/>
      <w:lvlJc w:val="left"/>
      <w:pPr>
        <w:tabs>
          <w:tab w:val="left" w:pos="780"/>
        </w:tabs>
        <w:ind w:left="780" w:leftChars="200" w:hanging="360" w:hangingChars="200"/>
      </w:pPr>
      <w:rPr>
        <w:rFonts w:hint="default" w:ascii="Wingdings" w:hAnsi="Wingdings"/>
      </w:rPr>
    </w:lvl>
  </w:abstractNum>
  <w:abstractNum w:abstractNumId="1947886004">
    <w:nsid w:val="741A61B4"/>
    <w:multiLevelType w:val="multilevel"/>
    <w:tmpl w:val="741A61B4"/>
    <w:lvl w:ilvl="0" w:tentative="1">
      <w:start w:val="1"/>
      <w:numFmt w:val="decimal"/>
      <w:lvlText w:val="(%1)"/>
      <w:lvlJc w:val="left"/>
      <w:pPr>
        <w:tabs>
          <w:tab w:val="left" w:pos="1162"/>
        </w:tabs>
        <w:ind w:left="0" w:firstLine="57"/>
      </w:pPr>
      <w:rPr>
        <w:rFonts w:hint="eastAsia"/>
      </w:rPr>
    </w:lvl>
    <w:lvl w:ilvl="1" w:tentative="1">
      <w:start w:val="1"/>
      <w:numFmt w:val="decimal"/>
      <w:lvlText w:val="（%2）"/>
      <w:lvlJc w:val="left"/>
      <w:pPr>
        <w:tabs>
          <w:tab w:val="left" w:pos="1557"/>
        </w:tabs>
        <w:ind w:left="1557" w:hanging="1080"/>
      </w:pPr>
      <w:rPr>
        <w:rFonts w:hint="default"/>
      </w:rPr>
    </w:lvl>
    <w:lvl w:ilvl="2" w:tentative="1">
      <w:start w:val="1"/>
      <w:numFmt w:val="decimalEnclosedCircle"/>
      <w:lvlText w:val="%3"/>
      <w:lvlJc w:val="left"/>
      <w:pPr>
        <w:tabs>
          <w:tab w:val="left" w:pos="1737"/>
        </w:tabs>
        <w:ind w:left="1737" w:hanging="840"/>
      </w:pPr>
      <w:rPr>
        <w:rFonts w:hint="default"/>
      </w:rPr>
    </w:lvl>
    <w:lvl w:ilvl="3" w:tentative="1">
      <w:start w:val="1"/>
      <w:numFmt w:val="decimal"/>
      <w:lvlText w:val="%4."/>
      <w:lvlJc w:val="left"/>
      <w:pPr>
        <w:tabs>
          <w:tab w:val="left" w:pos="1737"/>
        </w:tabs>
        <w:ind w:left="1737" w:hanging="420"/>
      </w:pPr>
    </w:lvl>
    <w:lvl w:ilvl="4" w:tentative="1">
      <w:start w:val="1"/>
      <w:numFmt w:val="lowerLetter"/>
      <w:lvlText w:val="%5)"/>
      <w:lvlJc w:val="left"/>
      <w:pPr>
        <w:tabs>
          <w:tab w:val="left" w:pos="2157"/>
        </w:tabs>
        <w:ind w:left="2157" w:hanging="420"/>
      </w:pPr>
    </w:lvl>
    <w:lvl w:ilvl="5" w:tentative="1">
      <w:start w:val="1"/>
      <w:numFmt w:val="lowerRoman"/>
      <w:lvlText w:val="%6."/>
      <w:lvlJc w:val="right"/>
      <w:pPr>
        <w:tabs>
          <w:tab w:val="left" w:pos="2577"/>
        </w:tabs>
        <w:ind w:left="2577" w:hanging="420"/>
      </w:pPr>
    </w:lvl>
    <w:lvl w:ilvl="6" w:tentative="1">
      <w:start w:val="1"/>
      <w:numFmt w:val="decimal"/>
      <w:lvlText w:val="%7."/>
      <w:lvlJc w:val="left"/>
      <w:pPr>
        <w:tabs>
          <w:tab w:val="left" w:pos="2997"/>
        </w:tabs>
        <w:ind w:left="2997" w:hanging="420"/>
      </w:pPr>
    </w:lvl>
    <w:lvl w:ilvl="7" w:tentative="1">
      <w:start w:val="1"/>
      <w:numFmt w:val="lowerLetter"/>
      <w:lvlText w:val="%8)"/>
      <w:lvlJc w:val="left"/>
      <w:pPr>
        <w:tabs>
          <w:tab w:val="left" w:pos="3417"/>
        </w:tabs>
        <w:ind w:left="3417" w:hanging="420"/>
      </w:pPr>
    </w:lvl>
    <w:lvl w:ilvl="8" w:tentative="1">
      <w:start w:val="1"/>
      <w:numFmt w:val="lowerRoman"/>
      <w:lvlText w:val="%9."/>
      <w:lvlJc w:val="right"/>
      <w:pPr>
        <w:tabs>
          <w:tab w:val="left" w:pos="3837"/>
        </w:tabs>
        <w:ind w:left="3837" w:hanging="420"/>
      </w:pPr>
    </w:lvl>
  </w:abstractNum>
  <w:abstractNum w:abstractNumId="768236936">
    <w:nsid w:val="2DCA5D88"/>
    <w:multiLevelType w:val="multilevel"/>
    <w:tmpl w:val="2DCA5D88"/>
    <w:lvl w:ilvl="0" w:tentative="1">
      <w:start w:val="1"/>
      <w:numFmt w:val="chineseCountingThousand"/>
      <w:lvlText w:val="%1、"/>
      <w:lvlJc w:val="left"/>
      <w:pPr>
        <w:ind w:left="420" w:hanging="420"/>
      </w:pPr>
    </w:lvl>
    <w:lvl w:ilvl="1" w:tentative="1">
      <w:start w:val="2"/>
      <w:numFmt w:val="decimal"/>
      <w:lvlText w:val="（%2）"/>
      <w:lvlJc w:val="left"/>
      <w:pPr>
        <w:ind w:left="1140" w:hanging="72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89963920">
    <w:nsid w:val="173E6090"/>
    <w:multiLevelType w:val="multilevel"/>
    <w:tmpl w:val="173E6090"/>
    <w:lvl w:ilvl="0" w:tentative="1">
      <w:start w:val="1"/>
      <w:numFmt w:val="chineseCountingThousand"/>
      <w:lvlText w:val="(%1)"/>
      <w:lvlJc w:val="left"/>
      <w:pPr>
        <w:ind w:left="420" w:hanging="420"/>
      </w:pPr>
    </w:lvl>
    <w:lvl w:ilvl="1" w:tentative="1">
      <w:start w:val="1"/>
      <w:numFmt w:val="decimalEnclosedParen"/>
      <w:lvlText w:val="%2"/>
      <w:lvlJc w:val="left"/>
      <w:pPr>
        <w:ind w:left="780" w:hanging="360"/>
      </w:pPr>
      <w:rPr>
        <w:rFonts w:hint="default" w:ascii="宋体" w:hAnsi="宋体" w:eastAsia="宋体" w:cs="宋体"/>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0">
    <w:nsid w:val="00000014"/>
    <w:multiLevelType w:val="multilevel"/>
    <w:tmpl w:val="00000014"/>
    <w:lvl w:ilvl="0" w:tentative="1">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1">
    <w:nsid w:val="00000015"/>
    <w:multiLevelType w:val="multilevel"/>
    <w:tmpl w:val="00000015"/>
    <w:lvl w:ilvl="0" w:tentative="1">
      <w:start w:val="1"/>
      <w:numFmt w:val="decimal"/>
      <w:lvlText w:val="%1."/>
      <w:lvlJc w:val="left"/>
      <w:pPr>
        <w:ind w:left="420" w:hanging="420"/>
      </w:pPr>
      <w:rPr>
        <w:i w:val="0"/>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4294967166">
    <w:nsid w:val="FFFFFF7E"/>
    <w:multiLevelType w:val="singleLevel"/>
    <w:tmpl w:val="FFFFFF7E"/>
    <w:lvl w:ilvl="0" w:tentative="1">
      <w:start w:val="1"/>
      <w:numFmt w:val="decimal"/>
      <w:pStyle w:val="37"/>
      <w:lvlText w:val="%1."/>
      <w:lvlJc w:val="left"/>
      <w:pPr>
        <w:tabs>
          <w:tab w:val="left" w:pos="1200"/>
        </w:tabs>
        <w:ind w:left="1200" w:leftChars="400" w:hanging="360" w:hangingChars="200"/>
      </w:pPr>
    </w:lvl>
  </w:abstractNum>
  <w:abstractNum w:abstractNumId="4294967170">
    <w:nsid w:val="FFFFFF82"/>
    <w:multiLevelType w:val="singleLevel"/>
    <w:tmpl w:val="FFFFFF82"/>
    <w:lvl w:ilvl="0" w:tentative="1">
      <w:start w:val="1"/>
      <w:numFmt w:val="bullet"/>
      <w:pStyle w:val="35"/>
      <w:lvlText w:val=""/>
      <w:lvlJc w:val="left"/>
      <w:pPr>
        <w:tabs>
          <w:tab w:val="left" w:pos="1200"/>
        </w:tabs>
        <w:ind w:left="1200" w:leftChars="400" w:hanging="360" w:hangingChars="200"/>
      </w:pPr>
      <w:rPr>
        <w:rFonts w:hint="default" w:ascii="Wingdings" w:hAnsi="Wingdings"/>
      </w:rPr>
    </w:lvl>
  </w:abstractNum>
  <w:abstractNum w:abstractNumId="10">
    <w:nsid w:val="0000000A"/>
    <w:multiLevelType w:val="multilevel"/>
    <w:tmpl w:val="0000000A"/>
    <w:lvl w:ilvl="0" w:tentative="1">
      <w:start w:val="1"/>
      <w:numFmt w:val="decimal"/>
      <w:pStyle w:val="2"/>
      <w:lvlText w:val="%1"/>
      <w:lvlJc w:val="left"/>
      <w:pPr>
        <w:tabs>
          <w:tab w:val="left" w:pos="6231"/>
        </w:tabs>
        <w:ind w:left="6231" w:hanging="1191"/>
      </w:pPr>
      <w:rPr>
        <w:rFonts w:hint="default" w:ascii="Times New Roman" w:hAnsi="Times New Roman" w:eastAsia="宋体" w:cs="Times New Roman"/>
        <w:b/>
        <w:i w:val="0"/>
        <w:sz w:val="36"/>
        <w:szCs w:val="36"/>
      </w:rPr>
    </w:lvl>
    <w:lvl w:ilvl="1" w:tentative="1">
      <w:start w:val="1"/>
      <w:numFmt w:val="decimal"/>
      <w:pStyle w:val="3"/>
      <w:isLgl/>
      <w:lvlText w:val="%1.%2"/>
      <w:lvlJc w:val="left"/>
      <w:pPr>
        <w:tabs>
          <w:tab w:val="left" w:pos="3695"/>
        </w:tabs>
        <w:ind w:left="3695" w:hanging="576"/>
      </w:pPr>
      <w:rPr>
        <w:rFonts w:hint="default" w:ascii="Times New Roman" w:hAnsi="Times New Roman"/>
        <w:b/>
        <w:i w:val="0"/>
        <w:sz w:val="28"/>
        <w:szCs w:val="28"/>
      </w:rPr>
    </w:lvl>
    <w:lvl w:ilvl="2" w:tentative="1">
      <w:start w:val="1"/>
      <w:numFmt w:val="decimal"/>
      <w:pStyle w:val="5"/>
      <w:isLgl/>
      <w:lvlText w:val="%1.%2.%3"/>
      <w:lvlJc w:val="left"/>
      <w:pPr>
        <w:tabs>
          <w:tab w:val="left" w:pos="2138"/>
        </w:tabs>
        <w:ind w:left="2138" w:hanging="720"/>
      </w:pPr>
      <w:rPr>
        <w:rFonts w:hint="default" w:ascii="Times New Roman" w:hAnsi="Times New Roman"/>
        <w:b/>
        <w:sz w:val="24"/>
      </w:rPr>
    </w:lvl>
    <w:lvl w:ilvl="3" w:tentative="1">
      <w:start w:val="1"/>
      <w:numFmt w:val="decimal"/>
      <w:pStyle w:val="6"/>
      <w:isLgl/>
      <w:lvlText w:val="%1.%2.%3.%4"/>
      <w:lvlJc w:val="left"/>
      <w:pPr>
        <w:tabs>
          <w:tab w:val="left" w:pos="1290"/>
        </w:tabs>
        <w:ind w:left="1290"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4" w:tentative="1">
      <w:start w:val="1"/>
      <w:numFmt w:val="decimal"/>
      <w:pStyle w:val="7"/>
      <w:lvlText w:val="%1.%2.%3.%4.%5"/>
      <w:lvlJc w:val="left"/>
      <w:pPr>
        <w:tabs>
          <w:tab w:val="left" w:pos="1008"/>
        </w:tabs>
        <w:ind w:left="1008" w:hanging="1008"/>
      </w:pPr>
      <w:rPr>
        <w:rFonts w:hint="eastAsia"/>
      </w:rPr>
    </w:lvl>
    <w:lvl w:ilvl="5" w:tentative="1">
      <w:start w:val="1"/>
      <w:numFmt w:val="decimal"/>
      <w:lvlText w:val="%1.%2.%3.%4.%5.%6"/>
      <w:lvlJc w:val="left"/>
      <w:pPr>
        <w:tabs>
          <w:tab w:val="left" w:pos="1152"/>
        </w:tabs>
        <w:ind w:left="1152" w:hanging="1152"/>
      </w:pPr>
      <w:rPr>
        <w:rFonts w:hint="eastAsia"/>
      </w:rPr>
    </w:lvl>
    <w:lvl w:ilvl="6" w:tentative="1">
      <w:start w:val="1"/>
      <w:numFmt w:val="decimal"/>
      <w:lvlText w:val="%1.%2.%3.%4.%5.%6.%7"/>
      <w:lvlJc w:val="left"/>
      <w:pPr>
        <w:tabs>
          <w:tab w:val="left" w:pos="1296"/>
        </w:tabs>
        <w:ind w:left="1296" w:hanging="1296"/>
      </w:pPr>
      <w:rPr>
        <w:rFonts w:hint="eastAsia"/>
      </w:rPr>
    </w:lvl>
    <w:lvl w:ilvl="7" w:tentative="1">
      <w:start w:val="1"/>
      <w:numFmt w:val="decimal"/>
      <w:lvlText w:val="%1.%2.%3.%4.%5.%6.%7.%8"/>
      <w:lvlJc w:val="left"/>
      <w:pPr>
        <w:tabs>
          <w:tab w:val="left" w:pos="1440"/>
        </w:tabs>
        <w:ind w:left="1440" w:hanging="1440"/>
      </w:pPr>
      <w:rPr>
        <w:rFonts w:hint="eastAsia"/>
      </w:rPr>
    </w:lvl>
    <w:lvl w:ilvl="8" w:tentative="1">
      <w:start w:val="1"/>
      <w:numFmt w:val="decimal"/>
      <w:lvlText w:val="%1.%2.%3.%4.%5.%6.%7.%8.%9"/>
      <w:lvlJc w:val="left"/>
      <w:pPr>
        <w:tabs>
          <w:tab w:val="left" w:pos="1584"/>
        </w:tabs>
        <w:ind w:left="1584" w:hanging="1584"/>
      </w:pPr>
      <w:rPr>
        <w:rFonts w:hint="eastAsia"/>
      </w:rPr>
    </w:lvl>
  </w:abstractNum>
  <w:abstractNum w:abstractNumId="4294967169">
    <w:nsid w:val="FFFFFF81"/>
    <w:multiLevelType w:val="singleLevel"/>
    <w:tmpl w:val="FFFFFF81"/>
    <w:lvl w:ilvl="0" w:tentative="1">
      <w:start w:val="1"/>
      <w:numFmt w:val="bullet"/>
      <w:pStyle w:val="21"/>
      <w:lvlText w:val=""/>
      <w:lvlJc w:val="left"/>
      <w:pPr>
        <w:tabs>
          <w:tab w:val="left" w:pos="1620"/>
        </w:tabs>
        <w:ind w:left="1620" w:leftChars="600" w:hanging="360" w:hangingChars="200"/>
      </w:pPr>
      <w:rPr>
        <w:rFonts w:hint="default" w:ascii="Wingdings" w:hAnsi="Wingdings"/>
      </w:rPr>
    </w:lvl>
  </w:abstractNum>
  <w:abstractNum w:abstractNumId="1916626876">
    <w:nsid w:val="723D67BC"/>
    <w:multiLevelType w:val="multilevel"/>
    <w:tmpl w:val="723D67BC"/>
    <w:lvl w:ilvl="0" w:tentative="1">
      <w:start w:val="1"/>
      <w:numFmt w:val="bullet"/>
      <w:lvlText w:val=""/>
      <w:lvlJc w:val="left"/>
      <w:pPr>
        <w:ind w:left="420" w:hanging="420"/>
      </w:pPr>
      <w:rPr>
        <w:rFonts w:hint="default" w:ascii="Wingdings" w:hAnsi="Wingdings"/>
      </w:rPr>
    </w:lvl>
    <w:lvl w:ilvl="1" w:tentative="1">
      <w:start w:val="1"/>
      <w:numFmt w:val="bullet"/>
      <w:lvlText w:val=""/>
      <w:lvlJc w:val="left"/>
      <w:pPr>
        <w:ind w:left="948" w:hanging="420"/>
      </w:pPr>
      <w:rPr>
        <w:rFonts w:hint="default" w:ascii="Wingdings" w:hAnsi="Wingdings"/>
      </w:rPr>
    </w:lvl>
    <w:lvl w:ilvl="2" w:tentative="1">
      <w:start w:val="1"/>
      <w:numFmt w:val="bullet"/>
      <w:lvlText w:val=""/>
      <w:lvlJc w:val="left"/>
      <w:pPr>
        <w:ind w:left="1368" w:hanging="420"/>
      </w:pPr>
      <w:rPr>
        <w:rFonts w:hint="default" w:ascii="Wingdings" w:hAnsi="Wingdings"/>
      </w:rPr>
    </w:lvl>
    <w:lvl w:ilvl="3" w:tentative="1">
      <w:start w:val="1"/>
      <w:numFmt w:val="bullet"/>
      <w:lvlText w:val=""/>
      <w:lvlJc w:val="left"/>
      <w:pPr>
        <w:ind w:left="1788" w:hanging="420"/>
      </w:pPr>
      <w:rPr>
        <w:rFonts w:hint="default" w:ascii="Wingdings" w:hAnsi="Wingdings"/>
      </w:rPr>
    </w:lvl>
    <w:lvl w:ilvl="4" w:tentative="1">
      <w:start w:val="1"/>
      <w:numFmt w:val="bullet"/>
      <w:lvlText w:val=""/>
      <w:lvlJc w:val="left"/>
      <w:pPr>
        <w:ind w:left="2208" w:hanging="420"/>
      </w:pPr>
      <w:rPr>
        <w:rFonts w:hint="default" w:ascii="Wingdings" w:hAnsi="Wingdings"/>
      </w:rPr>
    </w:lvl>
    <w:lvl w:ilvl="5" w:tentative="1">
      <w:start w:val="1"/>
      <w:numFmt w:val="bullet"/>
      <w:lvlText w:val=""/>
      <w:lvlJc w:val="left"/>
      <w:pPr>
        <w:ind w:left="2628" w:hanging="420"/>
      </w:pPr>
      <w:rPr>
        <w:rFonts w:hint="default" w:ascii="Wingdings" w:hAnsi="Wingdings"/>
      </w:rPr>
    </w:lvl>
    <w:lvl w:ilvl="6" w:tentative="1">
      <w:start w:val="1"/>
      <w:numFmt w:val="bullet"/>
      <w:lvlText w:val=""/>
      <w:lvlJc w:val="left"/>
      <w:pPr>
        <w:ind w:left="3048" w:hanging="420"/>
      </w:pPr>
      <w:rPr>
        <w:rFonts w:hint="default" w:ascii="Wingdings" w:hAnsi="Wingdings"/>
      </w:rPr>
    </w:lvl>
    <w:lvl w:ilvl="7" w:tentative="1">
      <w:start w:val="1"/>
      <w:numFmt w:val="bullet"/>
      <w:lvlText w:val=""/>
      <w:lvlJc w:val="left"/>
      <w:pPr>
        <w:ind w:left="3468" w:hanging="420"/>
      </w:pPr>
      <w:rPr>
        <w:rFonts w:hint="default" w:ascii="Wingdings" w:hAnsi="Wingdings"/>
      </w:rPr>
    </w:lvl>
    <w:lvl w:ilvl="8" w:tentative="1">
      <w:start w:val="1"/>
      <w:numFmt w:val="bullet"/>
      <w:lvlText w:val=""/>
      <w:lvlJc w:val="left"/>
      <w:pPr>
        <w:ind w:left="3888" w:hanging="420"/>
      </w:pPr>
      <w:rPr>
        <w:rFonts w:hint="default" w:ascii="Wingdings" w:hAnsi="Wingdings"/>
      </w:rPr>
    </w:lvl>
  </w:abstractNum>
  <w:abstractNum w:abstractNumId="4294967168">
    <w:nsid w:val="FFFFFF80"/>
    <w:multiLevelType w:val="singleLevel"/>
    <w:tmpl w:val="FFFFFF80"/>
    <w:lvl w:ilvl="0" w:tentative="1">
      <w:start w:val="1"/>
      <w:numFmt w:val="bullet"/>
      <w:pStyle w:val="47"/>
      <w:lvlText w:val=""/>
      <w:lvlJc w:val="left"/>
      <w:pPr>
        <w:tabs>
          <w:tab w:val="left" w:pos="2040"/>
        </w:tabs>
        <w:ind w:left="2040" w:leftChars="800" w:hanging="360" w:hangingChars="200"/>
      </w:pPr>
      <w:rPr>
        <w:rFonts w:hint="default" w:ascii="Wingdings" w:hAnsi="Wingdings"/>
      </w:rPr>
    </w:lvl>
  </w:abstractNum>
  <w:abstractNum w:abstractNumId="4294967165">
    <w:nsid w:val="FFFFFF7D"/>
    <w:multiLevelType w:val="singleLevel"/>
    <w:tmpl w:val="FFFFFF7D"/>
    <w:lvl w:ilvl="0" w:tentative="1">
      <w:start w:val="1"/>
      <w:numFmt w:val="decimal"/>
      <w:pStyle w:val="48"/>
      <w:lvlText w:val="%1."/>
      <w:lvlJc w:val="left"/>
      <w:pPr>
        <w:tabs>
          <w:tab w:val="left" w:pos="1620"/>
        </w:tabs>
        <w:ind w:left="1620" w:leftChars="600" w:hanging="360" w:hangingChars="200"/>
      </w:pPr>
    </w:lvl>
  </w:abstractNum>
  <w:abstractNum w:abstractNumId="4294967164">
    <w:nsid w:val="FFFFFF7C"/>
    <w:multiLevelType w:val="singleLevel"/>
    <w:tmpl w:val="FFFFFF7C"/>
    <w:lvl w:ilvl="0" w:tentative="1">
      <w:start w:val="1"/>
      <w:numFmt w:val="decimal"/>
      <w:pStyle w:val="66"/>
      <w:lvlText w:val="%1."/>
      <w:lvlJc w:val="left"/>
      <w:pPr>
        <w:tabs>
          <w:tab w:val="left" w:pos="2040"/>
        </w:tabs>
        <w:ind w:left="2040" w:leftChars="800" w:hanging="360" w:hangingChars="200"/>
      </w:pPr>
    </w:lvl>
  </w:abstractNum>
  <w:abstractNum w:abstractNumId="1262491150">
    <w:nsid w:val="4B40160E"/>
    <w:multiLevelType w:val="multilevel"/>
    <w:tmpl w:val="4B40160E"/>
    <w:lvl w:ilvl="0" w:tentative="1">
      <w:start w:val="1"/>
      <w:numFmt w:val="decimal"/>
      <w:pStyle w:val="171"/>
      <w:lvlText w:val="（%1）"/>
      <w:lvlJc w:val="left"/>
      <w:pPr>
        <w:tabs>
          <w:tab w:val="left" w:pos="1140"/>
        </w:tabs>
        <w:ind w:left="1140" w:hanging="720"/>
      </w:pPr>
      <w:rPr>
        <w:rFonts w:hint="default"/>
      </w:rPr>
    </w:lvl>
    <w:lvl w:ilvl="1" w:tentative="1">
      <w:start w:val="1"/>
      <w:numFmt w:val="lowerLetter"/>
      <w:lvlText w:val="%2)"/>
      <w:lvlJc w:val="left"/>
      <w:pPr>
        <w:tabs>
          <w:tab w:val="left" w:pos="1260"/>
        </w:tabs>
        <w:ind w:left="1260" w:hanging="420"/>
      </w:pPr>
    </w:lvl>
    <w:lvl w:ilvl="2" w:tentative="1">
      <w:start w:val="1"/>
      <w:numFmt w:val="lowerRoman"/>
      <w:lvlText w:val="%3."/>
      <w:lvlJc w:val="right"/>
      <w:pPr>
        <w:tabs>
          <w:tab w:val="left" w:pos="1680"/>
        </w:tabs>
        <w:ind w:left="1680" w:hanging="420"/>
      </w:pPr>
    </w:lvl>
    <w:lvl w:ilvl="3" w:tentative="1">
      <w:start w:val="1"/>
      <w:numFmt w:val="decimal"/>
      <w:lvlText w:val="%4."/>
      <w:lvlJc w:val="left"/>
      <w:pPr>
        <w:tabs>
          <w:tab w:val="left" w:pos="2100"/>
        </w:tabs>
        <w:ind w:left="2100" w:hanging="420"/>
      </w:pPr>
    </w:lvl>
    <w:lvl w:ilvl="4" w:tentative="1">
      <w:start w:val="1"/>
      <w:numFmt w:val="lowerLetter"/>
      <w:lvlText w:val="%5)"/>
      <w:lvlJc w:val="left"/>
      <w:pPr>
        <w:tabs>
          <w:tab w:val="left" w:pos="2520"/>
        </w:tabs>
        <w:ind w:left="2520" w:hanging="420"/>
      </w:pPr>
    </w:lvl>
    <w:lvl w:ilvl="5" w:tentative="1">
      <w:start w:val="1"/>
      <w:numFmt w:val="lowerRoman"/>
      <w:lvlText w:val="%6."/>
      <w:lvlJc w:val="right"/>
      <w:pPr>
        <w:tabs>
          <w:tab w:val="left" w:pos="2940"/>
        </w:tabs>
        <w:ind w:left="2940" w:hanging="420"/>
      </w:pPr>
    </w:lvl>
    <w:lvl w:ilvl="6" w:tentative="1">
      <w:start w:val="1"/>
      <w:numFmt w:val="decimal"/>
      <w:lvlText w:val="%7."/>
      <w:lvlJc w:val="left"/>
      <w:pPr>
        <w:tabs>
          <w:tab w:val="left" w:pos="3360"/>
        </w:tabs>
        <w:ind w:left="3360" w:hanging="420"/>
      </w:pPr>
    </w:lvl>
    <w:lvl w:ilvl="7" w:tentative="1">
      <w:start w:val="1"/>
      <w:numFmt w:val="lowerLetter"/>
      <w:lvlText w:val="%8)"/>
      <w:lvlJc w:val="left"/>
      <w:pPr>
        <w:tabs>
          <w:tab w:val="left" w:pos="3780"/>
        </w:tabs>
        <w:ind w:left="3780" w:hanging="420"/>
      </w:pPr>
    </w:lvl>
    <w:lvl w:ilvl="8" w:tentative="1">
      <w:start w:val="1"/>
      <w:numFmt w:val="lowerRoman"/>
      <w:lvlText w:val="%9."/>
      <w:lvlJc w:val="right"/>
      <w:pPr>
        <w:tabs>
          <w:tab w:val="left" w:pos="4200"/>
        </w:tabs>
        <w:ind w:left="4200" w:hanging="420"/>
      </w:pPr>
    </w:lvl>
  </w:abstractNum>
  <w:abstractNum w:abstractNumId="1288850859">
    <w:nsid w:val="4CD24DAB"/>
    <w:multiLevelType w:val="multilevel"/>
    <w:tmpl w:val="4CD24DAB"/>
    <w:lvl w:ilvl="0" w:tentative="1">
      <w:start w:val="1"/>
      <w:numFmt w:val="decimal"/>
      <w:pStyle w:val="451"/>
      <w:lvlText w:val="附件%1"/>
      <w:lvlJc w:val="left"/>
      <w:pPr>
        <w:tabs>
          <w:tab w:val="left" w:pos="840"/>
        </w:tabs>
        <w:ind w:left="840" w:hanging="840"/>
      </w:pPr>
      <w:rPr>
        <w:rFonts w:hint="eastAsia"/>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353996607">
    <w:nsid w:val="50B4593F"/>
    <w:multiLevelType w:val="multilevel"/>
    <w:tmpl w:val="50B4593F"/>
    <w:lvl w:ilvl="0" w:tentative="1">
      <w:start w:val="1"/>
      <w:numFmt w:val="decimal"/>
      <w:pStyle w:val="455"/>
      <w:lvlText w:val="附图%1    "/>
      <w:lvlJc w:val="left"/>
      <w:pPr>
        <w:ind w:left="620"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300" w:hanging="420"/>
      </w:pPr>
    </w:lvl>
    <w:lvl w:ilvl="5" w:tentative="1">
      <w:start w:val="1"/>
      <w:numFmt w:val="lowerRoman"/>
      <w:lvlText w:val="%6."/>
      <w:lvlJc w:val="right"/>
      <w:pPr>
        <w:ind w:left="2720" w:hanging="420"/>
      </w:pPr>
    </w:lvl>
    <w:lvl w:ilvl="6" w:tentative="1">
      <w:start w:val="1"/>
      <w:numFmt w:val="decimal"/>
      <w:lvlText w:val="%7."/>
      <w:lvlJc w:val="left"/>
      <w:pPr>
        <w:ind w:left="3140" w:hanging="420"/>
      </w:pPr>
    </w:lvl>
    <w:lvl w:ilvl="7" w:tentative="1">
      <w:start w:val="1"/>
      <w:numFmt w:val="lowerLetter"/>
      <w:lvlText w:val="%8)"/>
      <w:lvlJc w:val="left"/>
      <w:pPr>
        <w:ind w:left="3560" w:hanging="420"/>
      </w:pPr>
    </w:lvl>
    <w:lvl w:ilvl="8" w:tentative="1">
      <w:start w:val="1"/>
      <w:numFmt w:val="lowerRoman"/>
      <w:lvlText w:val="%9."/>
      <w:lvlJc w:val="right"/>
      <w:pPr>
        <w:ind w:left="3980" w:hanging="420"/>
      </w:pPr>
    </w:lvl>
  </w:abstractNum>
  <w:abstractNum w:abstractNumId="1336305761">
    <w:nsid w:val="4FA66861"/>
    <w:multiLevelType w:val="multilevel"/>
    <w:tmpl w:val="4FA66861"/>
    <w:lvl w:ilvl="0" w:tentative="1">
      <w:start w:val="1"/>
      <w:numFmt w:val="decimal"/>
      <w:lvlText w:val="%1"/>
      <w:lvlJc w:val="left"/>
      <w:pPr>
        <w:tabs>
          <w:tab w:val="left" w:pos="425"/>
        </w:tabs>
        <w:ind w:left="425" w:hanging="425"/>
      </w:pPr>
      <w:rPr>
        <w:rFonts w:hint="default" w:ascii="Times New Roman" w:hAnsi="Times New Roman" w:cs="Times New Roman"/>
      </w:rPr>
    </w:lvl>
    <w:lvl w:ilvl="1" w:tentative="1">
      <w:start w:val="1"/>
      <w:numFmt w:val="decimal"/>
      <w:pStyle w:val="969"/>
      <w:lvlText w:val="%1.%2"/>
      <w:lvlJc w:val="left"/>
      <w:pPr>
        <w:tabs>
          <w:tab w:val="left" w:pos="567"/>
        </w:tabs>
        <w:ind w:left="567" w:hanging="567"/>
      </w:pPr>
      <w:rPr>
        <w:rFonts w:hint="default" w:ascii="Times New Roman" w:hAnsi="Times New Roman" w:cs="Times New Roman"/>
      </w:rPr>
    </w:lvl>
    <w:lvl w:ilvl="2" w:tentative="1">
      <w:start w:val="1"/>
      <w:numFmt w:val="decimal"/>
      <w:lvlText w:val="%1.%2.%3"/>
      <w:lvlJc w:val="left"/>
      <w:pPr>
        <w:tabs>
          <w:tab w:val="left" w:pos="709"/>
        </w:tabs>
        <w:ind w:left="567" w:hanging="567"/>
      </w:pPr>
      <w:rPr>
        <w:rFonts w:hint="default" w:ascii="Times New Roman" w:hAnsi="Times New Roman" w:cs="Times New Roman"/>
      </w:rPr>
    </w:lvl>
    <w:lvl w:ilvl="3" w:tentative="1">
      <w:start w:val="1"/>
      <w:numFmt w:val="decimal"/>
      <w:lvlText w:val="%1.%2.%3.%4"/>
      <w:lvlJc w:val="left"/>
      <w:pPr>
        <w:tabs>
          <w:tab w:val="left" w:pos="851"/>
        </w:tabs>
        <w:ind w:left="851" w:hanging="851"/>
      </w:pPr>
      <w:rPr>
        <w:rFonts w:hint="eastAsia"/>
      </w:rPr>
    </w:lvl>
    <w:lvl w:ilvl="4" w:tentative="1">
      <w:start w:val="1"/>
      <w:numFmt w:val="decimal"/>
      <w:lvlText w:val="%1.%2.%3.%4.%5."/>
      <w:lvlJc w:val="left"/>
      <w:pPr>
        <w:tabs>
          <w:tab w:val="left" w:pos="992"/>
        </w:tabs>
        <w:ind w:left="992" w:hanging="992"/>
      </w:pPr>
      <w:rPr>
        <w:rFonts w:hint="eastAsia"/>
      </w:rPr>
    </w:lvl>
    <w:lvl w:ilvl="5" w:tentative="1">
      <w:start w:val="1"/>
      <w:numFmt w:val="decimal"/>
      <w:lvlText w:val="%1.%2.%3.%4.%5.%6."/>
      <w:lvlJc w:val="left"/>
      <w:pPr>
        <w:tabs>
          <w:tab w:val="left" w:pos="1134"/>
        </w:tabs>
        <w:ind w:left="1134" w:hanging="1134"/>
      </w:pPr>
      <w:rPr>
        <w:rFonts w:hint="eastAsia"/>
      </w:rPr>
    </w:lvl>
    <w:lvl w:ilvl="6" w:tentative="1">
      <w:start w:val="1"/>
      <w:numFmt w:val="decimal"/>
      <w:lvlText w:val="%1.%2.%3.%4.%5.%6.%7."/>
      <w:lvlJc w:val="left"/>
      <w:pPr>
        <w:tabs>
          <w:tab w:val="left" w:pos="1276"/>
        </w:tabs>
        <w:ind w:left="1276" w:hanging="1276"/>
      </w:pPr>
      <w:rPr>
        <w:rFonts w:hint="eastAsia"/>
      </w:rPr>
    </w:lvl>
    <w:lvl w:ilvl="7" w:tentative="1">
      <w:start w:val="1"/>
      <w:numFmt w:val="decimal"/>
      <w:lvlText w:val="%1.%2.%3.%4.%5.%6.%7.%8."/>
      <w:lvlJc w:val="left"/>
      <w:pPr>
        <w:tabs>
          <w:tab w:val="left" w:pos="1418"/>
        </w:tabs>
        <w:ind w:left="1418" w:hanging="1418"/>
      </w:pPr>
      <w:rPr>
        <w:rFonts w:hint="eastAsia"/>
      </w:rPr>
    </w:lvl>
    <w:lvl w:ilvl="8" w:tentative="1">
      <w:start w:val="1"/>
      <w:numFmt w:val="decimal"/>
      <w:lvlText w:val="%1.%2.%3.%4.%5.%6.%7.%8.%9."/>
      <w:lvlJc w:val="left"/>
      <w:pPr>
        <w:tabs>
          <w:tab w:val="left" w:pos="1559"/>
        </w:tabs>
        <w:ind w:left="1559" w:hanging="1559"/>
      </w:pPr>
      <w:rPr>
        <w:rFonts w:hint="eastAsia"/>
      </w:rPr>
    </w:lvl>
  </w:abstractNum>
  <w:abstractNum w:abstractNumId="769155313">
    <w:nsid w:val="2DD860F1"/>
    <w:multiLevelType w:val="multilevel"/>
    <w:tmpl w:val="2DD860F1"/>
    <w:lvl w:ilvl="0" w:tentative="1">
      <w:start w:val="1"/>
      <w:numFmt w:val="bullet"/>
      <w:pStyle w:val="1071"/>
      <w:lvlText w:val=""/>
      <w:lvlJc w:val="left"/>
      <w:pPr>
        <w:ind w:left="900" w:hanging="420"/>
      </w:pPr>
      <w:rPr>
        <w:rFonts w:hint="default" w:ascii="Wingdings" w:hAnsi="Wingdings"/>
      </w:rPr>
    </w:lvl>
    <w:lvl w:ilvl="1" w:tentative="1">
      <w:start w:val="1"/>
      <w:numFmt w:val="bullet"/>
      <w:lvlText w:val=""/>
      <w:lvlJc w:val="left"/>
      <w:pPr>
        <w:ind w:left="1320" w:hanging="420"/>
      </w:pPr>
      <w:rPr>
        <w:rFonts w:hint="default" w:ascii="Wingdings" w:hAnsi="Wingdings"/>
      </w:rPr>
    </w:lvl>
    <w:lvl w:ilvl="2" w:tentative="1">
      <w:start w:val="1"/>
      <w:numFmt w:val="bullet"/>
      <w:lvlText w:val=""/>
      <w:lvlJc w:val="left"/>
      <w:pPr>
        <w:ind w:left="1740" w:hanging="420"/>
      </w:pPr>
      <w:rPr>
        <w:rFonts w:hint="default" w:ascii="Wingdings" w:hAnsi="Wingdings"/>
      </w:rPr>
    </w:lvl>
    <w:lvl w:ilvl="3" w:tentative="1">
      <w:start w:val="1"/>
      <w:numFmt w:val="bullet"/>
      <w:lvlText w:val=""/>
      <w:lvlJc w:val="left"/>
      <w:pPr>
        <w:ind w:left="2160" w:hanging="420"/>
      </w:pPr>
      <w:rPr>
        <w:rFonts w:hint="default" w:ascii="Wingdings" w:hAnsi="Wingdings"/>
      </w:rPr>
    </w:lvl>
    <w:lvl w:ilvl="4" w:tentative="1">
      <w:start w:val="1"/>
      <w:numFmt w:val="bullet"/>
      <w:lvlText w:val=""/>
      <w:lvlJc w:val="left"/>
      <w:pPr>
        <w:ind w:left="2580" w:hanging="420"/>
      </w:pPr>
      <w:rPr>
        <w:rFonts w:hint="default" w:ascii="Wingdings" w:hAnsi="Wingdings"/>
      </w:rPr>
    </w:lvl>
    <w:lvl w:ilvl="5" w:tentative="1">
      <w:start w:val="1"/>
      <w:numFmt w:val="bullet"/>
      <w:lvlText w:val=""/>
      <w:lvlJc w:val="left"/>
      <w:pPr>
        <w:ind w:left="3000" w:hanging="420"/>
      </w:pPr>
      <w:rPr>
        <w:rFonts w:hint="default" w:ascii="Wingdings" w:hAnsi="Wingdings"/>
      </w:rPr>
    </w:lvl>
    <w:lvl w:ilvl="6" w:tentative="1">
      <w:start w:val="1"/>
      <w:numFmt w:val="bullet"/>
      <w:lvlText w:val=""/>
      <w:lvlJc w:val="left"/>
      <w:pPr>
        <w:ind w:left="3420" w:hanging="420"/>
      </w:pPr>
      <w:rPr>
        <w:rFonts w:hint="default" w:ascii="Wingdings" w:hAnsi="Wingdings"/>
      </w:rPr>
    </w:lvl>
    <w:lvl w:ilvl="7" w:tentative="1">
      <w:start w:val="1"/>
      <w:numFmt w:val="bullet"/>
      <w:lvlText w:val=""/>
      <w:lvlJc w:val="left"/>
      <w:pPr>
        <w:ind w:left="3840" w:hanging="420"/>
      </w:pPr>
      <w:rPr>
        <w:rFonts w:hint="default" w:ascii="Wingdings" w:hAnsi="Wingdings"/>
      </w:rPr>
    </w:lvl>
    <w:lvl w:ilvl="8" w:tentative="1">
      <w:start w:val="1"/>
      <w:numFmt w:val="bullet"/>
      <w:lvlText w:val=""/>
      <w:lvlJc w:val="left"/>
      <w:pPr>
        <w:ind w:left="4260" w:hanging="420"/>
      </w:pPr>
      <w:rPr>
        <w:rFonts w:hint="default" w:ascii="Wingdings" w:hAnsi="Wingdings"/>
      </w:rPr>
    </w:lvl>
  </w:abstractNum>
  <w:abstractNum w:abstractNumId="2068995712">
    <w:nsid w:val="7B525E80"/>
    <w:multiLevelType w:val="multilevel"/>
    <w:tmpl w:val="7B525E80"/>
    <w:lvl w:ilvl="0" w:tentative="1">
      <w:start w:val="1"/>
      <w:numFmt w:val="decimal"/>
      <w:pStyle w:val="1200"/>
      <w:lvlText w:val="第%1条"/>
      <w:lvlJc w:val="left"/>
      <w:pPr>
        <w:tabs>
          <w:tab w:val="left" w:pos="1796"/>
        </w:tabs>
        <w:ind w:left="945"/>
      </w:pPr>
      <w:rPr>
        <w:rFonts w:hint="eastAsia"/>
      </w:rPr>
    </w:lvl>
    <w:lvl w:ilvl="1" w:tentative="1">
      <w:start w:val="1"/>
      <w:numFmt w:val="decimal"/>
      <w:lvlText w:val="%1.%2"/>
      <w:lvlJc w:val="left"/>
      <w:pPr>
        <w:tabs>
          <w:tab w:val="left" w:pos="992"/>
        </w:tabs>
        <w:ind w:left="992" w:hanging="567"/>
      </w:pPr>
      <w:rPr>
        <w:rFonts w:hint="eastAsia"/>
      </w:rPr>
    </w:lvl>
    <w:lvl w:ilvl="2" w:tentative="1">
      <w:start w:val="1"/>
      <w:numFmt w:val="decimal"/>
      <w:lvlText w:val="%1.%2.%3"/>
      <w:lvlJc w:val="left"/>
      <w:pPr>
        <w:tabs>
          <w:tab w:val="left" w:pos="1418"/>
        </w:tabs>
        <w:ind w:left="1418" w:hanging="567"/>
      </w:pPr>
      <w:rPr>
        <w:rFonts w:hint="eastAsia"/>
      </w:rPr>
    </w:lvl>
    <w:lvl w:ilvl="3" w:tentative="1">
      <w:start w:val="1"/>
      <w:numFmt w:val="decimal"/>
      <w:lvlText w:val="%1.%2.%3.%4"/>
      <w:lvlJc w:val="left"/>
      <w:pPr>
        <w:tabs>
          <w:tab w:val="left" w:pos="1984"/>
        </w:tabs>
        <w:ind w:left="1984" w:hanging="708"/>
      </w:pPr>
      <w:rPr>
        <w:rFonts w:hint="eastAsia"/>
      </w:rPr>
    </w:lvl>
    <w:lvl w:ilvl="4" w:tentative="1">
      <w:start w:val="1"/>
      <w:numFmt w:val="decimal"/>
      <w:lvlText w:val="%1.%2.%3.%4.%5"/>
      <w:lvlJc w:val="left"/>
      <w:pPr>
        <w:tabs>
          <w:tab w:val="left" w:pos="2551"/>
        </w:tabs>
        <w:ind w:left="2551" w:hanging="850"/>
      </w:pPr>
      <w:rPr>
        <w:rFonts w:hint="eastAsia"/>
      </w:rPr>
    </w:lvl>
    <w:lvl w:ilvl="5" w:tentative="1">
      <w:start w:val="1"/>
      <w:numFmt w:val="decimal"/>
      <w:lvlText w:val="%1.%2.%3.%4.%5.%6"/>
      <w:lvlJc w:val="left"/>
      <w:pPr>
        <w:tabs>
          <w:tab w:val="left" w:pos="3260"/>
        </w:tabs>
        <w:ind w:left="3260" w:hanging="1134"/>
      </w:pPr>
      <w:rPr>
        <w:rFonts w:hint="eastAsia"/>
      </w:rPr>
    </w:lvl>
    <w:lvl w:ilvl="6" w:tentative="1">
      <w:start w:val="1"/>
      <w:numFmt w:val="decimal"/>
      <w:lvlText w:val="%1.%2.%3.%4.%5.%6.%7"/>
      <w:lvlJc w:val="left"/>
      <w:pPr>
        <w:tabs>
          <w:tab w:val="left" w:pos="3827"/>
        </w:tabs>
        <w:ind w:left="3827" w:hanging="1276"/>
      </w:pPr>
      <w:rPr>
        <w:rFonts w:hint="eastAsia"/>
      </w:rPr>
    </w:lvl>
    <w:lvl w:ilvl="7" w:tentative="1">
      <w:start w:val="1"/>
      <w:numFmt w:val="decimal"/>
      <w:lvlText w:val="%1.%2.%3.%4.%5.%6.%7.%8"/>
      <w:lvlJc w:val="left"/>
      <w:pPr>
        <w:tabs>
          <w:tab w:val="left" w:pos="4394"/>
        </w:tabs>
        <w:ind w:left="4394" w:hanging="1418"/>
      </w:pPr>
      <w:rPr>
        <w:rFonts w:hint="eastAsia"/>
      </w:rPr>
    </w:lvl>
    <w:lvl w:ilvl="8" w:tentative="1">
      <w:start w:val="1"/>
      <w:numFmt w:val="decimal"/>
      <w:lvlText w:val="%1.%2.%3.%4.%5.%6.%7.%8.%9"/>
      <w:lvlJc w:val="left"/>
      <w:pPr>
        <w:tabs>
          <w:tab w:val="left" w:pos="5102"/>
        </w:tabs>
        <w:ind w:left="5102" w:hanging="1700"/>
      </w:pPr>
      <w:rPr>
        <w:rFonts w:hint="eastAsia"/>
      </w:rPr>
    </w:lvl>
  </w:abstractNum>
  <w:abstractNum w:abstractNumId="1145271273">
    <w:nsid w:val="444373E9"/>
    <w:multiLevelType w:val="multilevel"/>
    <w:tmpl w:val="444373E9"/>
    <w:lvl w:ilvl="0" w:tentative="1">
      <w:start w:val="1"/>
      <w:numFmt w:val="decimal"/>
      <w:lvlText w:val="(%1)"/>
      <w:lvlJc w:val="left"/>
      <w:pPr>
        <w:tabs>
          <w:tab w:val="left" w:pos="284"/>
        </w:tabs>
        <w:ind w:left="0" w:firstLine="284"/>
      </w:pPr>
      <w:rPr>
        <w:rFonts w:hint="eastAsia"/>
        <w:sz w:val="24"/>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957415535">
    <w:nsid w:val="3911006F"/>
    <w:multiLevelType w:val="multilevel"/>
    <w:tmpl w:val="3911006F"/>
    <w:lvl w:ilvl="0" w:tentative="1">
      <w:start w:val="1"/>
      <w:numFmt w:val="decimal"/>
      <w:lvlText w:val="(%1)"/>
      <w:lvlJc w:val="left"/>
      <w:pPr>
        <w:tabs>
          <w:tab w:val="left" w:pos="284"/>
        </w:tabs>
        <w:ind w:left="0" w:firstLine="284"/>
      </w:pPr>
      <w:rPr>
        <w:rFonts w:hint="eastAsia"/>
        <w:sz w:val="24"/>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878471758">
    <w:nsid w:val="6FF7344E"/>
    <w:multiLevelType w:val="multilevel"/>
    <w:tmpl w:val="6FF7344E"/>
    <w:lvl w:ilvl="0" w:tentative="1">
      <w:start w:val="1"/>
      <w:numFmt w:val="decimal"/>
      <w:lvlText w:val="(%1)"/>
      <w:lvlJc w:val="left"/>
      <w:pPr>
        <w:tabs>
          <w:tab w:val="left" w:pos="284"/>
        </w:tabs>
        <w:ind w:left="0" w:firstLine="284"/>
      </w:pPr>
      <w:rPr>
        <w:rFonts w:hint="eastAsia"/>
        <w:b w:val="0"/>
        <w:sz w:val="24"/>
      </w:rPr>
    </w:lvl>
    <w:lvl w:ilvl="1" w:tentative="1">
      <w:start w:val="1"/>
      <w:numFmt w:val="decimal"/>
      <w:lvlText w:val="(%2)"/>
      <w:lvlJc w:val="left"/>
      <w:pPr>
        <w:tabs>
          <w:tab w:val="left" w:pos="284"/>
        </w:tabs>
        <w:ind w:left="0" w:firstLine="284"/>
      </w:pPr>
      <w:rPr>
        <w:rFonts w:hint="eastAsia"/>
        <w:sz w:val="24"/>
      </w:r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359045653">
    <w:nsid w:val="51016415"/>
    <w:multiLevelType w:val="multilevel"/>
    <w:tmpl w:val="51016415"/>
    <w:lvl w:ilvl="0" w:tentative="1">
      <w:start w:val="1"/>
      <w:numFmt w:val="decimal"/>
      <w:lvlText w:val="(%1)"/>
      <w:lvlJc w:val="left"/>
      <w:pPr>
        <w:tabs>
          <w:tab w:val="left" w:pos="284"/>
        </w:tabs>
        <w:ind w:left="0" w:firstLine="284"/>
      </w:pPr>
      <w:rPr>
        <w:rFonts w:hint="eastAsia"/>
        <w:b w:val="0"/>
        <w:sz w:val="24"/>
      </w:rPr>
    </w:lvl>
    <w:lvl w:ilvl="1" w:tentative="1">
      <w:start w:val="1"/>
      <w:numFmt w:val="decimal"/>
      <w:lvlText w:val="(%2)"/>
      <w:lvlJc w:val="left"/>
      <w:pPr>
        <w:tabs>
          <w:tab w:val="left" w:pos="284"/>
        </w:tabs>
        <w:ind w:left="0" w:firstLine="284"/>
      </w:pPr>
      <w:rPr>
        <w:rFonts w:hint="eastAsia"/>
        <w:sz w:val="24"/>
      </w:r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347879157">
    <w:nsid w:val="14BC36F5"/>
    <w:multiLevelType w:val="multilevel"/>
    <w:tmpl w:val="14BC36F5"/>
    <w:lvl w:ilvl="0" w:tentative="1">
      <w:start w:val="1"/>
      <w:numFmt w:val="decimal"/>
      <w:lvlText w:val="(%1)"/>
      <w:lvlJc w:val="left"/>
      <w:pPr>
        <w:tabs>
          <w:tab w:val="left" w:pos="284"/>
        </w:tabs>
        <w:ind w:left="0" w:firstLine="284"/>
      </w:pPr>
      <w:rPr>
        <w:rFonts w:hint="eastAsia"/>
        <w:sz w:val="24"/>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47917881">
    <w:nsid w:val="02DB2B39"/>
    <w:multiLevelType w:val="multilevel"/>
    <w:tmpl w:val="02DB2B39"/>
    <w:lvl w:ilvl="0" w:tentative="1">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21004641">
    <w:nsid w:val="3CDB4B61"/>
    <w:multiLevelType w:val="multilevel"/>
    <w:tmpl w:val="3CDB4B61"/>
    <w:lvl w:ilvl="0" w:tentative="1">
      <w:start w:val="1"/>
      <w:numFmt w:val="decimalEnclosedCircle"/>
      <w:lvlText w:val="%1"/>
      <w:lvlJc w:val="left"/>
      <w:pPr>
        <w:ind w:left="842" w:hanging="360"/>
      </w:pPr>
      <w:rPr>
        <w:rFonts w:hint="default"/>
        <w:b w:val="0"/>
      </w:rPr>
    </w:lvl>
    <w:lvl w:ilvl="1" w:tentative="1">
      <w:start w:val="1"/>
      <w:numFmt w:val="lowerLetter"/>
      <w:lvlText w:val="%2)"/>
      <w:lvlJc w:val="left"/>
      <w:pPr>
        <w:ind w:left="1322" w:hanging="420"/>
      </w:pPr>
    </w:lvl>
    <w:lvl w:ilvl="2" w:tentative="1">
      <w:start w:val="1"/>
      <w:numFmt w:val="lowerRoman"/>
      <w:lvlText w:val="%3."/>
      <w:lvlJc w:val="right"/>
      <w:pPr>
        <w:ind w:left="1742" w:hanging="420"/>
      </w:pPr>
    </w:lvl>
    <w:lvl w:ilvl="3" w:tentative="1">
      <w:start w:val="1"/>
      <w:numFmt w:val="decimal"/>
      <w:lvlText w:val="%4."/>
      <w:lvlJc w:val="left"/>
      <w:pPr>
        <w:ind w:left="2162" w:hanging="420"/>
      </w:pPr>
    </w:lvl>
    <w:lvl w:ilvl="4" w:tentative="1">
      <w:start w:val="1"/>
      <w:numFmt w:val="lowerLetter"/>
      <w:lvlText w:val="%5)"/>
      <w:lvlJc w:val="left"/>
      <w:pPr>
        <w:ind w:left="2582" w:hanging="420"/>
      </w:pPr>
    </w:lvl>
    <w:lvl w:ilvl="5" w:tentative="1">
      <w:start w:val="1"/>
      <w:numFmt w:val="lowerRoman"/>
      <w:lvlText w:val="%6."/>
      <w:lvlJc w:val="right"/>
      <w:pPr>
        <w:ind w:left="3002" w:hanging="420"/>
      </w:pPr>
    </w:lvl>
    <w:lvl w:ilvl="6" w:tentative="1">
      <w:start w:val="1"/>
      <w:numFmt w:val="decimal"/>
      <w:lvlText w:val="%7."/>
      <w:lvlJc w:val="left"/>
      <w:pPr>
        <w:ind w:left="3422" w:hanging="420"/>
      </w:pPr>
    </w:lvl>
    <w:lvl w:ilvl="7" w:tentative="1">
      <w:start w:val="1"/>
      <w:numFmt w:val="lowerLetter"/>
      <w:lvlText w:val="%8)"/>
      <w:lvlJc w:val="left"/>
      <w:pPr>
        <w:ind w:left="3842" w:hanging="420"/>
      </w:pPr>
    </w:lvl>
    <w:lvl w:ilvl="8" w:tentative="1">
      <w:start w:val="1"/>
      <w:numFmt w:val="lowerRoman"/>
      <w:lvlText w:val="%9."/>
      <w:lvlJc w:val="right"/>
      <w:pPr>
        <w:ind w:left="4262" w:hanging="420"/>
      </w:pPr>
    </w:lvl>
  </w:abstractNum>
  <w:abstractNum w:abstractNumId="2127114423">
    <w:nsid w:val="7EC930B7"/>
    <w:multiLevelType w:val="multilevel"/>
    <w:tmpl w:val="7EC930B7"/>
    <w:lvl w:ilvl="0" w:tentative="1">
      <w:start w:val="1"/>
      <w:numFmt w:val="decimal"/>
      <w:lvlText w:val="%1."/>
      <w:lvlJc w:val="center"/>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31833018">
    <w:nsid w:val="25A901BA"/>
    <w:multiLevelType w:val="multilevel"/>
    <w:tmpl w:val="25A901BA"/>
    <w:lvl w:ilvl="0" w:tentative="1">
      <w:start w:val="1"/>
      <w:numFmt w:val="japaneseCounting"/>
      <w:lvlText w:val="%1、"/>
      <w:lvlJc w:val="left"/>
      <w:pPr>
        <w:tabs>
          <w:tab w:val="left" w:pos="960"/>
        </w:tabs>
        <w:ind w:left="960" w:hanging="480"/>
      </w:pPr>
      <w:rPr>
        <w:rFonts w:hint="default"/>
      </w:rPr>
    </w:lvl>
    <w:lvl w:ilvl="1" w:tentative="1">
      <w:start w:val="1"/>
      <w:numFmt w:val="lowerLetter"/>
      <w:lvlText w:val="%2)"/>
      <w:lvlJc w:val="left"/>
      <w:pPr>
        <w:tabs>
          <w:tab w:val="left" w:pos="1320"/>
        </w:tabs>
        <w:ind w:left="1320" w:hanging="420"/>
      </w:pPr>
    </w:lvl>
    <w:lvl w:ilvl="2" w:tentative="1">
      <w:start w:val="1"/>
      <w:numFmt w:val="lowerRoman"/>
      <w:lvlText w:val="%3."/>
      <w:lvlJc w:val="right"/>
      <w:pPr>
        <w:tabs>
          <w:tab w:val="left" w:pos="1740"/>
        </w:tabs>
        <w:ind w:left="1740" w:hanging="420"/>
      </w:pPr>
    </w:lvl>
    <w:lvl w:ilvl="3" w:tentative="1">
      <w:start w:val="1"/>
      <w:numFmt w:val="decimal"/>
      <w:lvlText w:val="%4."/>
      <w:lvlJc w:val="left"/>
      <w:pPr>
        <w:tabs>
          <w:tab w:val="left" w:pos="2160"/>
        </w:tabs>
        <w:ind w:left="2160" w:hanging="420"/>
      </w:pPr>
    </w:lvl>
    <w:lvl w:ilvl="4" w:tentative="1">
      <w:start w:val="1"/>
      <w:numFmt w:val="lowerLetter"/>
      <w:lvlText w:val="%5)"/>
      <w:lvlJc w:val="left"/>
      <w:pPr>
        <w:tabs>
          <w:tab w:val="left" w:pos="2580"/>
        </w:tabs>
        <w:ind w:left="2580" w:hanging="420"/>
      </w:pPr>
    </w:lvl>
    <w:lvl w:ilvl="5" w:tentative="1">
      <w:start w:val="1"/>
      <w:numFmt w:val="lowerRoman"/>
      <w:lvlText w:val="%6."/>
      <w:lvlJc w:val="right"/>
      <w:pPr>
        <w:tabs>
          <w:tab w:val="left" w:pos="3000"/>
        </w:tabs>
        <w:ind w:left="3000" w:hanging="420"/>
      </w:pPr>
    </w:lvl>
    <w:lvl w:ilvl="6" w:tentative="1">
      <w:start w:val="1"/>
      <w:numFmt w:val="decimal"/>
      <w:lvlText w:val="%7."/>
      <w:lvlJc w:val="left"/>
      <w:pPr>
        <w:tabs>
          <w:tab w:val="left" w:pos="3420"/>
        </w:tabs>
        <w:ind w:left="3420" w:hanging="420"/>
      </w:pPr>
    </w:lvl>
    <w:lvl w:ilvl="7" w:tentative="1">
      <w:start w:val="1"/>
      <w:numFmt w:val="lowerLetter"/>
      <w:lvlText w:val="%8)"/>
      <w:lvlJc w:val="left"/>
      <w:pPr>
        <w:tabs>
          <w:tab w:val="left" w:pos="3840"/>
        </w:tabs>
        <w:ind w:left="3840" w:hanging="420"/>
      </w:pPr>
    </w:lvl>
    <w:lvl w:ilvl="8" w:tentative="1">
      <w:start w:val="1"/>
      <w:numFmt w:val="lowerRoman"/>
      <w:lvlText w:val="%9."/>
      <w:lvlJc w:val="right"/>
      <w:pPr>
        <w:tabs>
          <w:tab w:val="left" w:pos="4260"/>
        </w:tabs>
        <w:ind w:left="4260" w:hanging="420"/>
      </w:pPr>
    </w:lvl>
  </w:abstractNum>
  <w:num w:numId="1">
    <w:abstractNumId w:val="10"/>
  </w:num>
  <w:num w:numId="2">
    <w:abstractNumId w:val="4294967169"/>
  </w:num>
  <w:num w:numId="3">
    <w:abstractNumId w:val="4294967170"/>
  </w:num>
  <w:num w:numId="4">
    <w:abstractNumId w:val="4294967166"/>
  </w:num>
  <w:num w:numId="5">
    <w:abstractNumId w:val="4294967171"/>
  </w:num>
  <w:num w:numId="6">
    <w:abstractNumId w:val="4294967168"/>
  </w:num>
  <w:num w:numId="7">
    <w:abstractNumId w:val="4294967165"/>
  </w:num>
  <w:num w:numId="8">
    <w:abstractNumId w:val="4294967164"/>
  </w:num>
  <w:num w:numId="9">
    <w:abstractNumId w:val="1262491150"/>
  </w:num>
  <w:num w:numId="10">
    <w:abstractNumId w:val="1288850859"/>
  </w:num>
  <w:num w:numId="11">
    <w:abstractNumId w:val="1353996607"/>
  </w:num>
  <w:num w:numId="12">
    <w:abstractNumId w:val="1336305761"/>
  </w:num>
  <w:num w:numId="13">
    <w:abstractNumId w:val="769155313"/>
  </w:num>
  <w:num w:numId="14">
    <w:abstractNumId w:val="2068995712"/>
  </w:num>
  <w:num w:numId="15">
    <w:abstractNumId w:val="1145271273"/>
  </w:num>
  <w:num w:numId="16">
    <w:abstractNumId w:val="957415535"/>
  </w:num>
  <w:num w:numId="17">
    <w:abstractNumId w:val="1878471758"/>
  </w:num>
  <w:num w:numId="18">
    <w:abstractNumId w:val="1359045653"/>
  </w:num>
  <w:num w:numId="19">
    <w:abstractNumId w:val="347879157"/>
  </w:num>
  <w:num w:numId="20">
    <w:abstractNumId w:val="47917881"/>
  </w:num>
  <w:num w:numId="21">
    <w:abstractNumId w:val="1021004641"/>
  </w:num>
  <w:num w:numId="22">
    <w:abstractNumId w:val="2127114423"/>
  </w:num>
  <w:num w:numId="23">
    <w:abstractNumId w:val="1947886004"/>
  </w:num>
  <w:num w:numId="24">
    <w:abstractNumId w:val="768236936"/>
  </w:num>
  <w:num w:numId="25">
    <w:abstractNumId w:val="389963920"/>
  </w:num>
  <w:num w:numId="26">
    <w:abstractNumId w:val="20"/>
  </w:num>
  <w:num w:numId="27">
    <w:abstractNumId w:val="21"/>
  </w:num>
  <w:num w:numId="28">
    <w:abstractNumId w:val="1916626876"/>
  </w:num>
  <w:num w:numId="29">
    <w:abstractNumId w:val="6318330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val="1"/>
  <w:bordersDoNotSurroundHeader w:val="1"/>
  <w:bordersDoNotSurroundFooter w:val="1"/>
  <w:hideSpellingErrors/>
  <w:documentProtection w:edit="readOnly" w:enforcement="1" w:cryptProviderType="rsaFull" w:cryptAlgorithmClass="hash" w:cryptAlgorithmType="typeAny" w:cryptAlgorithmSid="4" w:cryptSpinCount="0" w:hash="DN1PL+cfG3dpORVYDIvRCN+XuoQ=" w:salt="uzuskBSkzY3vns7LGUZU3A=="/>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36D1"/>
    <w:rsid w:val="000006D5"/>
    <w:rsid w:val="00004945"/>
    <w:rsid w:val="0000692D"/>
    <w:rsid w:val="00007EB0"/>
    <w:rsid w:val="00011DBA"/>
    <w:rsid w:val="000142F5"/>
    <w:rsid w:val="000157DC"/>
    <w:rsid w:val="00015EF1"/>
    <w:rsid w:val="0001689A"/>
    <w:rsid w:val="00022390"/>
    <w:rsid w:val="00023140"/>
    <w:rsid w:val="0002398C"/>
    <w:rsid w:val="00026677"/>
    <w:rsid w:val="000314C2"/>
    <w:rsid w:val="00035954"/>
    <w:rsid w:val="00035F47"/>
    <w:rsid w:val="00036868"/>
    <w:rsid w:val="000374E0"/>
    <w:rsid w:val="000462FE"/>
    <w:rsid w:val="00046A30"/>
    <w:rsid w:val="0005269A"/>
    <w:rsid w:val="0005436F"/>
    <w:rsid w:val="00054BAF"/>
    <w:rsid w:val="00055528"/>
    <w:rsid w:val="00055968"/>
    <w:rsid w:val="000569E6"/>
    <w:rsid w:val="000576A7"/>
    <w:rsid w:val="000602C8"/>
    <w:rsid w:val="00061396"/>
    <w:rsid w:val="00062648"/>
    <w:rsid w:val="00064F3A"/>
    <w:rsid w:val="000661DF"/>
    <w:rsid w:val="000709E2"/>
    <w:rsid w:val="0007284E"/>
    <w:rsid w:val="00072997"/>
    <w:rsid w:val="00075B97"/>
    <w:rsid w:val="000808F3"/>
    <w:rsid w:val="00081289"/>
    <w:rsid w:val="00086968"/>
    <w:rsid w:val="000878DA"/>
    <w:rsid w:val="00087C17"/>
    <w:rsid w:val="00087DB1"/>
    <w:rsid w:val="000914FD"/>
    <w:rsid w:val="00091B07"/>
    <w:rsid w:val="00092E74"/>
    <w:rsid w:val="000941E8"/>
    <w:rsid w:val="000A05A7"/>
    <w:rsid w:val="000A118A"/>
    <w:rsid w:val="000A2312"/>
    <w:rsid w:val="000A52C3"/>
    <w:rsid w:val="000A5996"/>
    <w:rsid w:val="000A6072"/>
    <w:rsid w:val="000A6156"/>
    <w:rsid w:val="000A62E9"/>
    <w:rsid w:val="000A79BA"/>
    <w:rsid w:val="000B0008"/>
    <w:rsid w:val="000B1C18"/>
    <w:rsid w:val="000C37C3"/>
    <w:rsid w:val="000C77A8"/>
    <w:rsid w:val="000C7CC9"/>
    <w:rsid w:val="000D4A41"/>
    <w:rsid w:val="000D4FDA"/>
    <w:rsid w:val="000D7216"/>
    <w:rsid w:val="000E0389"/>
    <w:rsid w:val="000E06CF"/>
    <w:rsid w:val="000E3C9A"/>
    <w:rsid w:val="000F1779"/>
    <w:rsid w:val="000F1F9F"/>
    <w:rsid w:val="000F3083"/>
    <w:rsid w:val="000F40BF"/>
    <w:rsid w:val="00100829"/>
    <w:rsid w:val="00100D0C"/>
    <w:rsid w:val="00102DF6"/>
    <w:rsid w:val="00103D9A"/>
    <w:rsid w:val="00104006"/>
    <w:rsid w:val="0010487D"/>
    <w:rsid w:val="001079C3"/>
    <w:rsid w:val="00110D0C"/>
    <w:rsid w:val="00113661"/>
    <w:rsid w:val="00113A9B"/>
    <w:rsid w:val="0011431C"/>
    <w:rsid w:val="001143F0"/>
    <w:rsid w:val="0011484A"/>
    <w:rsid w:val="00117599"/>
    <w:rsid w:val="00117C88"/>
    <w:rsid w:val="00117D2B"/>
    <w:rsid w:val="00122AD2"/>
    <w:rsid w:val="00126E1D"/>
    <w:rsid w:val="001314B4"/>
    <w:rsid w:val="00132855"/>
    <w:rsid w:val="00133AF4"/>
    <w:rsid w:val="00134D33"/>
    <w:rsid w:val="00136B47"/>
    <w:rsid w:val="00136E5D"/>
    <w:rsid w:val="00137488"/>
    <w:rsid w:val="00142948"/>
    <w:rsid w:val="00142F3C"/>
    <w:rsid w:val="001455B2"/>
    <w:rsid w:val="00145A6C"/>
    <w:rsid w:val="00150C33"/>
    <w:rsid w:val="001567A8"/>
    <w:rsid w:val="00161527"/>
    <w:rsid w:val="00161AD3"/>
    <w:rsid w:val="00162526"/>
    <w:rsid w:val="0016269E"/>
    <w:rsid w:val="001638BF"/>
    <w:rsid w:val="0016591E"/>
    <w:rsid w:val="00165F8D"/>
    <w:rsid w:val="00170206"/>
    <w:rsid w:val="00171D52"/>
    <w:rsid w:val="00172E4B"/>
    <w:rsid w:val="00175CB7"/>
    <w:rsid w:val="001810A3"/>
    <w:rsid w:val="00181822"/>
    <w:rsid w:val="00181D1B"/>
    <w:rsid w:val="00182B6F"/>
    <w:rsid w:val="00185BE3"/>
    <w:rsid w:val="00186DA8"/>
    <w:rsid w:val="001902BB"/>
    <w:rsid w:val="00192A7E"/>
    <w:rsid w:val="001942EC"/>
    <w:rsid w:val="001959F8"/>
    <w:rsid w:val="00195B4D"/>
    <w:rsid w:val="00195E60"/>
    <w:rsid w:val="001963D3"/>
    <w:rsid w:val="001A10BC"/>
    <w:rsid w:val="001A2B4A"/>
    <w:rsid w:val="001A4E9D"/>
    <w:rsid w:val="001A7B12"/>
    <w:rsid w:val="001B0921"/>
    <w:rsid w:val="001B1C88"/>
    <w:rsid w:val="001B20F3"/>
    <w:rsid w:val="001B2C64"/>
    <w:rsid w:val="001B4C92"/>
    <w:rsid w:val="001B69B2"/>
    <w:rsid w:val="001C216F"/>
    <w:rsid w:val="001C3680"/>
    <w:rsid w:val="001D0192"/>
    <w:rsid w:val="001D3F05"/>
    <w:rsid w:val="001D4DBB"/>
    <w:rsid w:val="001D4E8D"/>
    <w:rsid w:val="001D7525"/>
    <w:rsid w:val="001D7BA4"/>
    <w:rsid w:val="001D7E26"/>
    <w:rsid w:val="001E1244"/>
    <w:rsid w:val="001E1447"/>
    <w:rsid w:val="001E3112"/>
    <w:rsid w:val="001E35AD"/>
    <w:rsid w:val="001E6424"/>
    <w:rsid w:val="001E6E4C"/>
    <w:rsid w:val="001F07C7"/>
    <w:rsid w:val="001F3A5E"/>
    <w:rsid w:val="001F456B"/>
    <w:rsid w:val="001F4812"/>
    <w:rsid w:val="001F5FE0"/>
    <w:rsid w:val="001F702C"/>
    <w:rsid w:val="001F72E9"/>
    <w:rsid w:val="00200CC2"/>
    <w:rsid w:val="00202C37"/>
    <w:rsid w:val="00205516"/>
    <w:rsid w:val="00205EA0"/>
    <w:rsid w:val="0021261F"/>
    <w:rsid w:val="002145AA"/>
    <w:rsid w:val="002147F0"/>
    <w:rsid w:val="00215C96"/>
    <w:rsid w:val="00216DD4"/>
    <w:rsid w:val="0021702E"/>
    <w:rsid w:val="00222D59"/>
    <w:rsid w:val="0022315C"/>
    <w:rsid w:val="002265F2"/>
    <w:rsid w:val="00227BD8"/>
    <w:rsid w:val="002302A7"/>
    <w:rsid w:val="00232AEB"/>
    <w:rsid w:val="002336E3"/>
    <w:rsid w:val="00235137"/>
    <w:rsid w:val="002355A9"/>
    <w:rsid w:val="00235817"/>
    <w:rsid w:val="00240684"/>
    <w:rsid w:val="0024630C"/>
    <w:rsid w:val="00247FBA"/>
    <w:rsid w:val="00250C95"/>
    <w:rsid w:val="00251A48"/>
    <w:rsid w:val="00251F28"/>
    <w:rsid w:val="00252866"/>
    <w:rsid w:val="002660DB"/>
    <w:rsid w:val="00270E1C"/>
    <w:rsid w:val="00271802"/>
    <w:rsid w:val="002721A1"/>
    <w:rsid w:val="002757F0"/>
    <w:rsid w:val="00275B1B"/>
    <w:rsid w:val="00276AD6"/>
    <w:rsid w:val="0028096C"/>
    <w:rsid w:val="00280D2E"/>
    <w:rsid w:val="00281777"/>
    <w:rsid w:val="0028314C"/>
    <w:rsid w:val="00286274"/>
    <w:rsid w:val="00286EFD"/>
    <w:rsid w:val="00293D2E"/>
    <w:rsid w:val="00295D48"/>
    <w:rsid w:val="00295FF3"/>
    <w:rsid w:val="00297487"/>
    <w:rsid w:val="002A608A"/>
    <w:rsid w:val="002B1F47"/>
    <w:rsid w:val="002B4349"/>
    <w:rsid w:val="002B6278"/>
    <w:rsid w:val="002B7367"/>
    <w:rsid w:val="002C245C"/>
    <w:rsid w:val="002C365B"/>
    <w:rsid w:val="002C417F"/>
    <w:rsid w:val="002C45A5"/>
    <w:rsid w:val="002C6666"/>
    <w:rsid w:val="002D14AE"/>
    <w:rsid w:val="002D5FC8"/>
    <w:rsid w:val="002D7E9B"/>
    <w:rsid w:val="002E1B48"/>
    <w:rsid w:val="002E1B7E"/>
    <w:rsid w:val="002E2FE0"/>
    <w:rsid w:val="002F1E1A"/>
    <w:rsid w:val="002F291E"/>
    <w:rsid w:val="002F3721"/>
    <w:rsid w:val="002F49C8"/>
    <w:rsid w:val="002F4A5E"/>
    <w:rsid w:val="002F52FE"/>
    <w:rsid w:val="002F5645"/>
    <w:rsid w:val="002F567A"/>
    <w:rsid w:val="00300B0F"/>
    <w:rsid w:val="00302F48"/>
    <w:rsid w:val="00310DEB"/>
    <w:rsid w:val="00313261"/>
    <w:rsid w:val="003145B4"/>
    <w:rsid w:val="0031546D"/>
    <w:rsid w:val="003154D9"/>
    <w:rsid w:val="00324249"/>
    <w:rsid w:val="00325718"/>
    <w:rsid w:val="0033095D"/>
    <w:rsid w:val="00330C3F"/>
    <w:rsid w:val="003342C4"/>
    <w:rsid w:val="0033613F"/>
    <w:rsid w:val="003455D5"/>
    <w:rsid w:val="00346D68"/>
    <w:rsid w:val="0035003A"/>
    <w:rsid w:val="0035497A"/>
    <w:rsid w:val="003551EA"/>
    <w:rsid w:val="00357808"/>
    <w:rsid w:val="00357D6C"/>
    <w:rsid w:val="00361C24"/>
    <w:rsid w:val="00363F7C"/>
    <w:rsid w:val="00364318"/>
    <w:rsid w:val="003644E5"/>
    <w:rsid w:val="00364A05"/>
    <w:rsid w:val="003656FD"/>
    <w:rsid w:val="00365C14"/>
    <w:rsid w:val="003700C2"/>
    <w:rsid w:val="0037088E"/>
    <w:rsid w:val="0037213E"/>
    <w:rsid w:val="00373D07"/>
    <w:rsid w:val="00374A46"/>
    <w:rsid w:val="0037641B"/>
    <w:rsid w:val="0037645A"/>
    <w:rsid w:val="00377393"/>
    <w:rsid w:val="003828B6"/>
    <w:rsid w:val="003834D2"/>
    <w:rsid w:val="003850AC"/>
    <w:rsid w:val="00387C7E"/>
    <w:rsid w:val="00390E04"/>
    <w:rsid w:val="00392676"/>
    <w:rsid w:val="00393BC2"/>
    <w:rsid w:val="00397F71"/>
    <w:rsid w:val="003A14EA"/>
    <w:rsid w:val="003A1BCB"/>
    <w:rsid w:val="003A3F4F"/>
    <w:rsid w:val="003A7040"/>
    <w:rsid w:val="003B3664"/>
    <w:rsid w:val="003B5DFD"/>
    <w:rsid w:val="003B6161"/>
    <w:rsid w:val="003C0534"/>
    <w:rsid w:val="003C3829"/>
    <w:rsid w:val="003C6687"/>
    <w:rsid w:val="003C74E6"/>
    <w:rsid w:val="003C7B47"/>
    <w:rsid w:val="003C7EA8"/>
    <w:rsid w:val="003D0772"/>
    <w:rsid w:val="003D21A9"/>
    <w:rsid w:val="003D2E74"/>
    <w:rsid w:val="003D3D83"/>
    <w:rsid w:val="003D4375"/>
    <w:rsid w:val="003D5514"/>
    <w:rsid w:val="003D5C17"/>
    <w:rsid w:val="003D646B"/>
    <w:rsid w:val="003D7AD6"/>
    <w:rsid w:val="003E3478"/>
    <w:rsid w:val="003E40B5"/>
    <w:rsid w:val="003E41EF"/>
    <w:rsid w:val="003E4BFA"/>
    <w:rsid w:val="003E5FFD"/>
    <w:rsid w:val="003E707D"/>
    <w:rsid w:val="003F11A3"/>
    <w:rsid w:val="003F20F7"/>
    <w:rsid w:val="003F262C"/>
    <w:rsid w:val="003F38D5"/>
    <w:rsid w:val="003F6FD8"/>
    <w:rsid w:val="0040085E"/>
    <w:rsid w:val="00401B40"/>
    <w:rsid w:val="00403236"/>
    <w:rsid w:val="004063C9"/>
    <w:rsid w:val="004077F5"/>
    <w:rsid w:val="004125BA"/>
    <w:rsid w:val="00417053"/>
    <w:rsid w:val="004213D5"/>
    <w:rsid w:val="004222C4"/>
    <w:rsid w:val="0042409F"/>
    <w:rsid w:val="0042496A"/>
    <w:rsid w:val="00431F5E"/>
    <w:rsid w:val="00433892"/>
    <w:rsid w:val="00436964"/>
    <w:rsid w:val="0043797B"/>
    <w:rsid w:val="00441732"/>
    <w:rsid w:val="0044377A"/>
    <w:rsid w:val="00447FA6"/>
    <w:rsid w:val="00460C63"/>
    <w:rsid w:val="00461EB2"/>
    <w:rsid w:val="00462F85"/>
    <w:rsid w:val="00463C83"/>
    <w:rsid w:val="0046572D"/>
    <w:rsid w:val="00465ADE"/>
    <w:rsid w:val="00473621"/>
    <w:rsid w:val="00473932"/>
    <w:rsid w:val="00474691"/>
    <w:rsid w:val="00475A7B"/>
    <w:rsid w:val="00480201"/>
    <w:rsid w:val="00481F23"/>
    <w:rsid w:val="0048699D"/>
    <w:rsid w:val="00491DE3"/>
    <w:rsid w:val="004936DA"/>
    <w:rsid w:val="00497107"/>
    <w:rsid w:val="004A0002"/>
    <w:rsid w:val="004A3B88"/>
    <w:rsid w:val="004A466D"/>
    <w:rsid w:val="004A5145"/>
    <w:rsid w:val="004A7DA0"/>
    <w:rsid w:val="004B170B"/>
    <w:rsid w:val="004B3DA2"/>
    <w:rsid w:val="004B4EEC"/>
    <w:rsid w:val="004B5208"/>
    <w:rsid w:val="004B557B"/>
    <w:rsid w:val="004C1DB2"/>
    <w:rsid w:val="004C2821"/>
    <w:rsid w:val="004C31D5"/>
    <w:rsid w:val="004C4369"/>
    <w:rsid w:val="004D21E8"/>
    <w:rsid w:val="004D2EC3"/>
    <w:rsid w:val="004D430E"/>
    <w:rsid w:val="004D5504"/>
    <w:rsid w:val="004D71C3"/>
    <w:rsid w:val="004D750C"/>
    <w:rsid w:val="004E3B5B"/>
    <w:rsid w:val="004E4FF0"/>
    <w:rsid w:val="004F190A"/>
    <w:rsid w:val="004F4EE1"/>
    <w:rsid w:val="004F5624"/>
    <w:rsid w:val="005057E5"/>
    <w:rsid w:val="00507137"/>
    <w:rsid w:val="00512C9E"/>
    <w:rsid w:val="00520E6E"/>
    <w:rsid w:val="0052296D"/>
    <w:rsid w:val="00523EA9"/>
    <w:rsid w:val="00527DB9"/>
    <w:rsid w:val="0053157A"/>
    <w:rsid w:val="00534D3F"/>
    <w:rsid w:val="00544F99"/>
    <w:rsid w:val="005461CE"/>
    <w:rsid w:val="00550149"/>
    <w:rsid w:val="00550F94"/>
    <w:rsid w:val="00552089"/>
    <w:rsid w:val="00554039"/>
    <w:rsid w:val="00555DC6"/>
    <w:rsid w:val="00557223"/>
    <w:rsid w:val="00557D20"/>
    <w:rsid w:val="005600AA"/>
    <w:rsid w:val="00560756"/>
    <w:rsid w:val="0056114C"/>
    <w:rsid w:val="005645FD"/>
    <w:rsid w:val="005654A4"/>
    <w:rsid w:val="0057225B"/>
    <w:rsid w:val="0057232D"/>
    <w:rsid w:val="00572408"/>
    <w:rsid w:val="00573CBD"/>
    <w:rsid w:val="00580DB0"/>
    <w:rsid w:val="00580E10"/>
    <w:rsid w:val="00581D08"/>
    <w:rsid w:val="00584706"/>
    <w:rsid w:val="00584A17"/>
    <w:rsid w:val="00584ADA"/>
    <w:rsid w:val="0058587A"/>
    <w:rsid w:val="005875F6"/>
    <w:rsid w:val="005919F8"/>
    <w:rsid w:val="0059205B"/>
    <w:rsid w:val="005921A8"/>
    <w:rsid w:val="0059363D"/>
    <w:rsid w:val="00594361"/>
    <w:rsid w:val="00594470"/>
    <w:rsid w:val="005945A3"/>
    <w:rsid w:val="00594BF8"/>
    <w:rsid w:val="005978F0"/>
    <w:rsid w:val="005A0EBC"/>
    <w:rsid w:val="005A1832"/>
    <w:rsid w:val="005A21AB"/>
    <w:rsid w:val="005A2BEA"/>
    <w:rsid w:val="005A6C40"/>
    <w:rsid w:val="005B3A1B"/>
    <w:rsid w:val="005B46B1"/>
    <w:rsid w:val="005B605B"/>
    <w:rsid w:val="005B7693"/>
    <w:rsid w:val="005B76C3"/>
    <w:rsid w:val="005B78E6"/>
    <w:rsid w:val="005C0DB5"/>
    <w:rsid w:val="005C123B"/>
    <w:rsid w:val="005C1D2D"/>
    <w:rsid w:val="005C3BBF"/>
    <w:rsid w:val="005C425F"/>
    <w:rsid w:val="005D1112"/>
    <w:rsid w:val="005D4623"/>
    <w:rsid w:val="005D46A8"/>
    <w:rsid w:val="005D71C2"/>
    <w:rsid w:val="005D7437"/>
    <w:rsid w:val="005E01E5"/>
    <w:rsid w:val="005E2775"/>
    <w:rsid w:val="005E2DD4"/>
    <w:rsid w:val="005E2F9E"/>
    <w:rsid w:val="005E4096"/>
    <w:rsid w:val="005F3D19"/>
    <w:rsid w:val="005F4D12"/>
    <w:rsid w:val="0060329C"/>
    <w:rsid w:val="0060717B"/>
    <w:rsid w:val="00610C01"/>
    <w:rsid w:val="00612429"/>
    <w:rsid w:val="0061399B"/>
    <w:rsid w:val="00617286"/>
    <w:rsid w:val="00620FA0"/>
    <w:rsid w:val="0062551E"/>
    <w:rsid w:val="00625804"/>
    <w:rsid w:val="006337F3"/>
    <w:rsid w:val="00633C01"/>
    <w:rsid w:val="00635003"/>
    <w:rsid w:val="00635FEE"/>
    <w:rsid w:val="00636395"/>
    <w:rsid w:val="00641D6C"/>
    <w:rsid w:val="00642740"/>
    <w:rsid w:val="006434B2"/>
    <w:rsid w:val="006453DE"/>
    <w:rsid w:val="0064715C"/>
    <w:rsid w:val="006560A1"/>
    <w:rsid w:val="006560D9"/>
    <w:rsid w:val="00657273"/>
    <w:rsid w:val="006603C8"/>
    <w:rsid w:val="0066376A"/>
    <w:rsid w:val="00663809"/>
    <w:rsid w:val="00666810"/>
    <w:rsid w:val="00666C9C"/>
    <w:rsid w:val="00670302"/>
    <w:rsid w:val="00671DAD"/>
    <w:rsid w:val="006749CB"/>
    <w:rsid w:val="0067500A"/>
    <w:rsid w:val="00677651"/>
    <w:rsid w:val="00677EF9"/>
    <w:rsid w:val="006846F3"/>
    <w:rsid w:val="00685AF4"/>
    <w:rsid w:val="006862BF"/>
    <w:rsid w:val="00686489"/>
    <w:rsid w:val="00691B56"/>
    <w:rsid w:val="00692DDC"/>
    <w:rsid w:val="0069342D"/>
    <w:rsid w:val="00696FF0"/>
    <w:rsid w:val="006A38C8"/>
    <w:rsid w:val="006A56EF"/>
    <w:rsid w:val="006B532E"/>
    <w:rsid w:val="006B6048"/>
    <w:rsid w:val="006C0473"/>
    <w:rsid w:val="006C1261"/>
    <w:rsid w:val="006C1389"/>
    <w:rsid w:val="006C38FC"/>
    <w:rsid w:val="006C61C3"/>
    <w:rsid w:val="006C64F9"/>
    <w:rsid w:val="006D12EC"/>
    <w:rsid w:val="006E0EDA"/>
    <w:rsid w:val="006E1320"/>
    <w:rsid w:val="006E1356"/>
    <w:rsid w:val="006E4C39"/>
    <w:rsid w:val="006F3031"/>
    <w:rsid w:val="006F3B4F"/>
    <w:rsid w:val="006F49C6"/>
    <w:rsid w:val="006F55A8"/>
    <w:rsid w:val="006F71A2"/>
    <w:rsid w:val="00701AFF"/>
    <w:rsid w:val="00703FBF"/>
    <w:rsid w:val="0070560B"/>
    <w:rsid w:val="0070563E"/>
    <w:rsid w:val="00707241"/>
    <w:rsid w:val="00714B5E"/>
    <w:rsid w:val="00720628"/>
    <w:rsid w:val="00721AF3"/>
    <w:rsid w:val="00722EB3"/>
    <w:rsid w:val="007244FB"/>
    <w:rsid w:val="00725FC5"/>
    <w:rsid w:val="007274DE"/>
    <w:rsid w:val="00730003"/>
    <w:rsid w:val="0073190D"/>
    <w:rsid w:val="00733A9E"/>
    <w:rsid w:val="007360E7"/>
    <w:rsid w:val="007432CE"/>
    <w:rsid w:val="00744BA9"/>
    <w:rsid w:val="00744CC3"/>
    <w:rsid w:val="00745922"/>
    <w:rsid w:val="00745F82"/>
    <w:rsid w:val="007463EE"/>
    <w:rsid w:val="007511B5"/>
    <w:rsid w:val="00754024"/>
    <w:rsid w:val="007551B1"/>
    <w:rsid w:val="007576EB"/>
    <w:rsid w:val="00760D40"/>
    <w:rsid w:val="00766924"/>
    <w:rsid w:val="00770208"/>
    <w:rsid w:val="00771974"/>
    <w:rsid w:val="00771B1F"/>
    <w:rsid w:val="00771E2C"/>
    <w:rsid w:val="007721EF"/>
    <w:rsid w:val="00774A4B"/>
    <w:rsid w:val="007755FC"/>
    <w:rsid w:val="007816B5"/>
    <w:rsid w:val="007860E7"/>
    <w:rsid w:val="00786C6A"/>
    <w:rsid w:val="0079007B"/>
    <w:rsid w:val="00792365"/>
    <w:rsid w:val="00797B90"/>
    <w:rsid w:val="007A17E9"/>
    <w:rsid w:val="007A2001"/>
    <w:rsid w:val="007A34CC"/>
    <w:rsid w:val="007A7D80"/>
    <w:rsid w:val="007B22BF"/>
    <w:rsid w:val="007C22BC"/>
    <w:rsid w:val="007C2EE8"/>
    <w:rsid w:val="007C45D3"/>
    <w:rsid w:val="007C4B6C"/>
    <w:rsid w:val="007C65E7"/>
    <w:rsid w:val="007C7900"/>
    <w:rsid w:val="007D0579"/>
    <w:rsid w:val="007D1117"/>
    <w:rsid w:val="007D4874"/>
    <w:rsid w:val="007D4F44"/>
    <w:rsid w:val="007E2F60"/>
    <w:rsid w:val="007E3B38"/>
    <w:rsid w:val="007E495F"/>
    <w:rsid w:val="007F1482"/>
    <w:rsid w:val="007F2B74"/>
    <w:rsid w:val="007F31CB"/>
    <w:rsid w:val="007F3611"/>
    <w:rsid w:val="007F3750"/>
    <w:rsid w:val="007F3CE4"/>
    <w:rsid w:val="007F3D9B"/>
    <w:rsid w:val="007F764D"/>
    <w:rsid w:val="00800F1C"/>
    <w:rsid w:val="008028D8"/>
    <w:rsid w:val="00802A32"/>
    <w:rsid w:val="00802B11"/>
    <w:rsid w:val="00804BF0"/>
    <w:rsid w:val="00805342"/>
    <w:rsid w:val="00805693"/>
    <w:rsid w:val="00806E54"/>
    <w:rsid w:val="008070B4"/>
    <w:rsid w:val="00810739"/>
    <w:rsid w:val="00810D7F"/>
    <w:rsid w:val="00813064"/>
    <w:rsid w:val="008138A3"/>
    <w:rsid w:val="0081666B"/>
    <w:rsid w:val="008175E8"/>
    <w:rsid w:val="008211FE"/>
    <w:rsid w:val="00830778"/>
    <w:rsid w:val="00831DAB"/>
    <w:rsid w:val="00832A3F"/>
    <w:rsid w:val="008355F1"/>
    <w:rsid w:val="00835B1D"/>
    <w:rsid w:val="00835C73"/>
    <w:rsid w:val="008364D0"/>
    <w:rsid w:val="0084395D"/>
    <w:rsid w:val="008443D9"/>
    <w:rsid w:val="0084581D"/>
    <w:rsid w:val="008464EF"/>
    <w:rsid w:val="00846A64"/>
    <w:rsid w:val="00852135"/>
    <w:rsid w:val="00853DE9"/>
    <w:rsid w:val="0085428C"/>
    <w:rsid w:val="00854527"/>
    <w:rsid w:val="0086194A"/>
    <w:rsid w:val="00863FDB"/>
    <w:rsid w:val="00865FA3"/>
    <w:rsid w:val="008667D8"/>
    <w:rsid w:val="00867549"/>
    <w:rsid w:val="00867AC0"/>
    <w:rsid w:val="00870ED0"/>
    <w:rsid w:val="00872C82"/>
    <w:rsid w:val="008730C3"/>
    <w:rsid w:val="00875195"/>
    <w:rsid w:val="0087640D"/>
    <w:rsid w:val="0088194F"/>
    <w:rsid w:val="00883187"/>
    <w:rsid w:val="00891D03"/>
    <w:rsid w:val="0089204C"/>
    <w:rsid w:val="0089500A"/>
    <w:rsid w:val="008A173B"/>
    <w:rsid w:val="008A1A40"/>
    <w:rsid w:val="008A1B11"/>
    <w:rsid w:val="008A2202"/>
    <w:rsid w:val="008A39A4"/>
    <w:rsid w:val="008A579D"/>
    <w:rsid w:val="008A75B1"/>
    <w:rsid w:val="008B2515"/>
    <w:rsid w:val="008B2E44"/>
    <w:rsid w:val="008B2E50"/>
    <w:rsid w:val="008B3D60"/>
    <w:rsid w:val="008B439E"/>
    <w:rsid w:val="008C04C1"/>
    <w:rsid w:val="008C0D4D"/>
    <w:rsid w:val="008C5795"/>
    <w:rsid w:val="008C61F3"/>
    <w:rsid w:val="008C787B"/>
    <w:rsid w:val="008D0887"/>
    <w:rsid w:val="008D641E"/>
    <w:rsid w:val="008D66A5"/>
    <w:rsid w:val="008D7003"/>
    <w:rsid w:val="008E1A56"/>
    <w:rsid w:val="008E50CD"/>
    <w:rsid w:val="008E57D1"/>
    <w:rsid w:val="008E5C8D"/>
    <w:rsid w:val="008E6828"/>
    <w:rsid w:val="008F0C7B"/>
    <w:rsid w:val="008F5AD8"/>
    <w:rsid w:val="00900CC3"/>
    <w:rsid w:val="00902EF5"/>
    <w:rsid w:val="0090326B"/>
    <w:rsid w:val="009033B9"/>
    <w:rsid w:val="0090658E"/>
    <w:rsid w:val="00906F28"/>
    <w:rsid w:val="0091066B"/>
    <w:rsid w:val="00910754"/>
    <w:rsid w:val="00910AA2"/>
    <w:rsid w:val="00912908"/>
    <w:rsid w:val="009131C6"/>
    <w:rsid w:val="009136D1"/>
    <w:rsid w:val="00913C07"/>
    <w:rsid w:val="0091540B"/>
    <w:rsid w:val="00916D83"/>
    <w:rsid w:val="00924B1C"/>
    <w:rsid w:val="009268D6"/>
    <w:rsid w:val="00926DD9"/>
    <w:rsid w:val="0092710D"/>
    <w:rsid w:val="00927F35"/>
    <w:rsid w:val="009309CE"/>
    <w:rsid w:val="00930DCD"/>
    <w:rsid w:val="0093206C"/>
    <w:rsid w:val="00933008"/>
    <w:rsid w:val="00936390"/>
    <w:rsid w:val="009363CA"/>
    <w:rsid w:val="00945A34"/>
    <w:rsid w:val="009477C7"/>
    <w:rsid w:val="00950194"/>
    <w:rsid w:val="00951F7D"/>
    <w:rsid w:val="0095407E"/>
    <w:rsid w:val="00957492"/>
    <w:rsid w:val="00961645"/>
    <w:rsid w:val="0097042E"/>
    <w:rsid w:val="00972016"/>
    <w:rsid w:val="00972CA7"/>
    <w:rsid w:val="00974A9E"/>
    <w:rsid w:val="00976F57"/>
    <w:rsid w:val="00983932"/>
    <w:rsid w:val="00983FA9"/>
    <w:rsid w:val="009877AC"/>
    <w:rsid w:val="00990BF7"/>
    <w:rsid w:val="009922FB"/>
    <w:rsid w:val="00997CFB"/>
    <w:rsid w:val="009A140D"/>
    <w:rsid w:val="009A1664"/>
    <w:rsid w:val="009A2708"/>
    <w:rsid w:val="009A3AAD"/>
    <w:rsid w:val="009A4EAE"/>
    <w:rsid w:val="009A6CE2"/>
    <w:rsid w:val="009B0167"/>
    <w:rsid w:val="009B256E"/>
    <w:rsid w:val="009B332A"/>
    <w:rsid w:val="009B3C36"/>
    <w:rsid w:val="009B6B40"/>
    <w:rsid w:val="009C082B"/>
    <w:rsid w:val="009C4576"/>
    <w:rsid w:val="009C5045"/>
    <w:rsid w:val="009C6400"/>
    <w:rsid w:val="009D0AA4"/>
    <w:rsid w:val="009D0B66"/>
    <w:rsid w:val="009D1AB2"/>
    <w:rsid w:val="009D3EC8"/>
    <w:rsid w:val="009D69BD"/>
    <w:rsid w:val="009D70DB"/>
    <w:rsid w:val="009D7190"/>
    <w:rsid w:val="009D7C07"/>
    <w:rsid w:val="009E3000"/>
    <w:rsid w:val="009E4C33"/>
    <w:rsid w:val="009E56D3"/>
    <w:rsid w:val="009F1588"/>
    <w:rsid w:val="009F1615"/>
    <w:rsid w:val="009F1913"/>
    <w:rsid w:val="009F6408"/>
    <w:rsid w:val="009F6CFD"/>
    <w:rsid w:val="00A0223C"/>
    <w:rsid w:val="00A03AB0"/>
    <w:rsid w:val="00A06D35"/>
    <w:rsid w:val="00A07312"/>
    <w:rsid w:val="00A10BF6"/>
    <w:rsid w:val="00A14C30"/>
    <w:rsid w:val="00A17BFE"/>
    <w:rsid w:val="00A201D9"/>
    <w:rsid w:val="00A22BB2"/>
    <w:rsid w:val="00A238B2"/>
    <w:rsid w:val="00A2421B"/>
    <w:rsid w:val="00A323AB"/>
    <w:rsid w:val="00A32CEA"/>
    <w:rsid w:val="00A32D2A"/>
    <w:rsid w:val="00A34B55"/>
    <w:rsid w:val="00A34B84"/>
    <w:rsid w:val="00A40F76"/>
    <w:rsid w:val="00A4150D"/>
    <w:rsid w:val="00A42E93"/>
    <w:rsid w:val="00A47A2A"/>
    <w:rsid w:val="00A527CE"/>
    <w:rsid w:val="00A57050"/>
    <w:rsid w:val="00A573B2"/>
    <w:rsid w:val="00A57803"/>
    <w:rsid w:val="00A63367"/>
    <w:rsid w:val="00A63456"/>
    <w:rsid w:val="00A63F65"/>
    <w:rsid w:val="00A65189"/>
    <w:rsid w:val="00A65CB1"/>
    <w:rsid w:val="00A65F5B"/>
    <w:rsid w:val="00A66138"/>
    <w:rsid w:val="00A663B0"/>
    <w:rsid w:val="00A6696E"/>
    <w:rsid w:val="00A73A58"/>
    <w:rsid w:val="00A764F2"/>
    <w:rsid w:val="00A7752E"/>
    <w:rsid w:val="00A77EF1"/>
    <w:rsid w:val="00A80464"/>
    <w:rsid w:val="00A82AA5"/>
    <w:rsid w:val="00A83440"/>
    <w:rsid w:val="00A8380D"/>
    <w:rsid w:val="00A84453"/>
    <w:rsid w:val="00A84FB2"/>
    <w:rsid w:val="00A92DFE"/>
    <w:rsid w:val="00A94941"/>
    <w:rsid w:val="00A94D2B"/>
    <w:rsid w:val="00AA00EE"/>
    <w:rsid w:val="00AA1CE4"/>
    <w:rsid w:val="00AA24BE"/>
    <w:rsid w:val="00AA6571"/>
    <w:rsid w:val="00AB1AE5"/>
    <w:rsid w:val="00AB2FDD"/>
    <w:rsid w:val="00AB3991"/>
    <w:rsid w:val="00AB7FEB"/>
    <w:rsid w:val="00AC078B"/>
    <w:rsid w:val="00AC0C0D"/>
    <w:rsid w:val="00AC1003"/>
    <w:rsid w:val="00AC183B"/>
    <w:rsid w:val="00AC33C2"/>
    <w:rsid w:val="00AC3B34"/>
    <w:rsid w:val="00AC41FF"/>
    <w:rsid w:val="00AC5221"/>
    <w:rsid w:val="00AC6518"/>
    <w:rsid w:val="00AC6A5A"/>
    <w:rsid w:val="00AD1A82"/>
    <w:rsid w:val="00AD2395"/>
    <w:rsid w:val="00AD2CE2"/>
    <w:rsid w:val="00AD4710"/>
    <w:rsid w:val="00AE2012"/>
    <w:rsid w:val="00AE2AD7"/>
    <w:rsid w:val="00AE32D6"/>
    <w:rsid w:val="00AE3A5A"/>
    <w:rsid w:val="00AE41BC"/>
    <w:rsid w:val="00AE6B6A"/>
    <w:rsid w:val="00AE6D62"/>
    <w:rsid w:val="00AF0E07"/>
    <w:rsid w:val="00AF1B26"/>
    <w:rsid w:val="00AF5789"/>
    <w:rsid w:val="00AF5C8E"/>
    <w:rsid w:val="00AF6213"/>
    <w:rsid w:val="00AF6C08"/>
    <w:rsid w:val="00B036FA"/>
    <w:rsid w:val="00B065DA"/>
    <w:rsid w:val="00B07427"/>
    <w:rsid w:val="00B0765B"/>
    <w:rsid w:val="00B07E0F"/>
    <w:rsid w:val="00B1214E"/>
    <w:rsid w:val="00B12443"/>
    <w:rsid w:val="00B14855"/>
    <w:rsid w:val="00B14A34"/>
    <w:rsid w:val="00B16AD4"/>
    <w:rsid w:val="00B16D47"/>
    <w:rsid w:val="00B1740B"/>
    <w:rsid w:val="00B20137"/>
    <w:rsid w:val="00B26CF3"/>
    <w:rsid w:val="00B2722C"/>
    <w:rsid w:val="00B3138E"/>
    <w:rsid w:val="00B41AF3"/>
    <w:rsid w:val="00B42597"/>
    <w:rsid w:val="00B4330E"/>
    <w:rsid w:val="00B448A0"/>
    <w:rsid w:val="00B45793"/>
    <w:rsid w:val="00B47530"/>
    <w:rsid w:val="00B51449"/>
    <w:rsid w:val="00B51DDD"/>
    <w:rsid w:val="00B5425A"/>
    <w:rsid w:val="00B56285"/>
    <w:rsid w:val="00B61F70"/>
    <w:rsid w:val="00B63DF9"/>
    <w:rsid w:val="00B67006"/>
    <w:rsid w:val="00B72E11"/>
    <w:rsid w:val="00B73E59"/>
    <w:rsid w:val="00B74CEE"/>
    <w:rsid w:val="00B76138"/>
    <w:rsid w:val="00B76401"/>
    <w:rsid w:val="00B7723F"/>
    <w:rsid w:val="00B80313"/>
    <w:rsid w:val="00B80A12"/>
    <w:rsid w:val="00B81949"/>
    <w:rsid w:val="00B8243D"/>
    <w:rsid w:val="00B83B47"/>
    <w:rsid w:val="00B85082"/>
    <w:rsid w:val="00B859A0"/>
    <w:rsid w:val="00B8799D"/>
    <w:rsid w:val="00B91395"/>
    <w:rsid w:val="00B94D5A"/>
    <w:rsid w:val="00B94ED5"/>
    <w:rsid w:val="00B974D6"/>
    <w:rsid w:val="00B97D0F"/>
    <w:rsid w:val="00BA0F3F"/>
    <w:rsid w:val="00BA11D8"/>
    <w:rsid w:val="00BA4811"/>
    <w:rsid w:val="00BA6D8F"/>
    <w:rsid w:val="00BB0062"/>
    <w:rsid w:val="00BB00EF"/>
    <w:rsid w:val="00BB4B30"/>
    <w:rsid w:val="00BB6AEC"/>
    <w:rsid w:val="00BC4DD5"/>
    <w:rsid w:val="00BC54A1"/>
    <w:rsid w:val="00BD0335"/>
    <w:rsid w:val="00BD09CE"/>
    <w:rsid w:val="00BD2A98"/>
    <w:rsid w:val="00BE2B7A"/>
    <w:rsid w:val="00BE4452"/>
    <w:rsid w:val="00BE577B"/>
    <w:rsid w:val="00BE7540"/>
    <w:rsid w:val="00BE7B7A"/>
    <w:rsid w:val="00BF1711"/>
    <w:rsid w:val="00C002CE"/>
    <w:rsid w:val="00C00702"/>
    <w:rsid w:val="00C010F3"/>
    <w:rsid w:val="00C02D2B"/>
    <w:rsid w:val="00C04AAB"/>
    <w:rsid w:val="00C06056"/>
    <w:rsid w:val="00C1289A"/>
    <w:rsid w:val="00C13FC1"/>
    <w:rsid w:val="00C15B63"/>
    <w:rsid w:val="00C16281"/>
    <w:rsid w:val="00C2247F"/>
    <w:rsid w:val="00C2392A"/>
    <w:rsid w:val="00C24C5C"/>
    <w:rsid w:val="00C2556B"/>
    <w:rsid w:val="00C270FF"/>
    <w:rsid w:val="00C301CA"/>
    <w:rsid w:val="00C33AFB"/>
    <w:rsid w:val="00C35696"/>
    <w:rsid w:val="00C35F34"/>
    <w:rsid w:val="00C36890"/>
    <w:rsid w:val="00C40A3A"/>
    <w:rsid w:val="00C421D5"/>
    <w:rsid w:val="00C4575D"/>
    <w:rsid w:val="00C50CE9"/>
    <w:rsid w:val="00C517D3"/>
    <w:rsid w:val="00C51E01"/>
    <w:rsid w:val="00C53898"/>
    <w:rsid w:val="00C5671E"/>
    <w:rsid w:val="00C57CED"/>
    <w:rsid w:val="00C60D8A"/>
    <w:rsid w:val="00C6281C"/>
    <w:rsid w:val="00C628A7"/>
    <w:rsid w:val="00C62F69"/>
    <w:rsid w:val="00C647D7"/>
    <w:rsid w:val="00C706BD"/>
    <w:rsid w:val="00C70AB3"/>
    <w:rsid w:val="00C725D0"/>
    <w:rsid w:val="00C73E92"/>
    <w:rsid w:val="00C73F48"/>
    <w:rsid w:val="00C7596C"/>
    <w:rsid w:val="00C76383"/>
    <w:rsid w:val="00C76E8E"/>
    <w:rsid w:val="00C81E42"/>
    <w:rsid w:val="00C834DC"/>
    <w:rsid w:val="00C838F1"/>
    <w:rsid w:val="00C84063"/>
    <w:rsid w:val="00C84BF9"/>
    <w:rsid w:val="00C8677D"/>
    <w:rsid w:val="00C87766"/>
    <w:rsid w:val="00C90305"/>
    <w:rsid w:val="00C9057E"/>
    <w:rsid w:val="00C90BB6"/>
    <w:rsid w:val="00C91022"/>
    <w:rsid w:val="00C92CD5"/>
    <w:rsid w:val="00C93DB5"/>
    <w:rsid w:val="00C978C8"/>
    <w:rsid w:val="00CA12EC"/>
    <w:rsid w:val="00CA1913"/>
    <w:rsid w:val="00CA2E73"/>
    <w:rsid w:val="00CA3AB4"/>
    <w:rsid w:val="00CA5D21"/>
    <w:rsid w:val="00CA7E29"/>
    <w:rsid w:val="00CB0658"/>
    <w:rsid w:val="00CB0C9C"/>
    <w:rsid w:val="00CB570F"/>
    <w:rsid w:val="00CB67AD"/>
    <w:rsid w:val="00CC0E45"/>
    <w:rsid w:val="00CC1715"/>
    <w:rsid w:val="00CC1739"/>
    <w:rsid w:val="00CC28D3"/>
    <w:rsid w:val="00CC3288"/>
    <w:rsid w:val="00CD1147"/>
    <w:rsid w:val="00CD27DE"/>
    <w:rsid w:val="00CD56B4"/>
    <w:rsid w:val="00CE12C3"/>
    <w:rsid w:val="00CE1EFD"/>
    <w:rsid w:val="00CE29A2"/>
    <w:rsid w:val="00CE39D6"/>
    <w:rsid w:val="00CE5A35"/>
    <w:rsid w:val="00CE78B1"/>
    <w:rsid w:val="00CE7EA1"/>
    <w:rsid w:val="00D00750"/>
    <w:rsid w:val="00D01D4A"/>
    <w:rsid w:val="00D07898"/>
    <w:rsid w:val="00D137DC"/>
    <w:rsid w:val="00D17609"/>
    <w:rsid w:val="00D20744"/>
    <w:rsid w:val="00D21D09"/>
    <w:rsid w:val="00D22DC8"/>
    <w:rsid w:val="00D254B6"/>
    <w:rsid w:val="00D25BA9"/>
    <w:rsid w:val="00D262BD"/>
    <w:rsid w:val="00D276B5"/>
    <w:rsid w:val="00D3086F"/>
    <w:rsid w:val="00D35509"/>
    <w:rsid w:val="00D3674D"/>
    <w:rsid w:val="00D4048F"/>
    <w:rsid w:val="00D404A3"/>
    <w:rsid w:val="00D43510"/>
    <w:rsid w:val="00D51478"/>
    <w:rsid w:val="00D5466E"/>
    <w:rsid w:val="00D60F3B"/>
    <w:rsid w:val="00D6676F"/>
    <w:rsid w:val="00D66D4A"/>
    <w:rsid w:val="00D70E20"/>
    <w:rsid w:val="00D74BE9"/>
    <w:rsid w:val="00D758C3"/>
    <w:rsid w:val="00D80C5F"/>
    <w:rsid w:val="00D81BD5"/>
    <w:rsid w:val="00D83716"/>
    <w:rsid w:val="00D859BA"/>
    <w:rsid w:val="00D942E0"/>
    <w:rsid w:val="00D94527"/>
    <w:rsid w:val="00D94B01"/>
    <w:rsid w:val="00D95278"/>
    <w:rsid w:val="00D955A6"/>
    <w:rsid w:val="00D958D2"/>
    <w:rsid w:val="00D96075"/>
    <w:rsid w:val="00D964C5"/>
    <w:rsid w:val="00D9752E"/>
    <w:rsid w:val="00D979F3"/>
    <w:rsid w:val="00D97ABE"/>
    <w:rsid w:val="00DA029E"/>
    <w:rsid w:val="00DA48DB"/>
    <w:rsid w:val="00DA5DC3"/>
    <w:rsid w:val="00DA7F0F"/>
    <w:rsid w:val="00DB1F1A"/>
    <w:rsid w:val="00DB5C38"/>
    <w:rsid w:val="00DB6015"/>
    <w:rsid w:val="00DC185E"/>
    <w:rsid w:val="00DC18B1"/>
    <w:rsid w:val="00DC2416"/>
    <w:rsid w:val="00DC2F16"/>
    <w:rsid w:val="00DC4589"/>
    <w:rsid w:val="00DD13C3"/>
    <w:rsid w:val="00DD2D85"/>
    <w:rsid w:val="00DD3397"/>
    <w:rsid w:val="00DE4813"/>
    <w:rsid w:val="00DE5326"/>
    <w:rsid w:val="00DE6E09"/>
    <w:rsid w:val="00DE77F3"/>
    <w:rsid w:val="00DF2CFD"/>
    <w:rsid w:val="00DF36D5"/>
    <w:rsid w:val="00E01A27"/>
    <w:rsid w:val="00E03BB2"/>
    <w:rsid w:val="00E139D6"/>
    <w:rsid w:val="00E161A3"/>
    <w:rsid w:val="00E178C2"/>
    <w:rsid w:val="00E2174D"/>
    <w:rsid w:val="00E256E0"/>
    <w:rsid w:val="00E2769D"/>
    <w:rsid w:val="00E30C3F"/>
    <w:rsid w:val="00E312E5"/>
    <w:rsid w:val="00E32A74"/>
    <w:rsid w:val="00E36EF2"/>
    <w:rsid w:val="00E403AC"/>
    <w:rsid w:val="00E42DD5"/>
    <w:rsid w:val="00E459C1"/>
    <w:rsid w:val="00E51FB3"/>
    <w:rsid w:val="00E52B45"/>
    <w:rsid w:val="00E53C2B"/>
    <w:rsid w:val="00E557D6"/>
    <w:rsid w:val="00E56A11"/>
    <w:rsid w:val="00E60A37"/>
    <w:rsid w:val="00E624DE"/>
    <w:rsid w:val="00E63494"/>
    <w:rsid w:val="00E64241"/>
    <w:rsid w:val="00E65A47"/>
    <w:rsid w:val="00E65F62"/>
    <w:rsid w:val="00E660CB"/>
    <w:rsid w:val="00E717BA"/>
    <w:rsid w:val="00E73806"/>
    <w:rsid w:val="00E749E3"/>
    <w:rsid w:val="00E75DEF"/>
    <w:rsid w:val="00E80373"/>
    <w:rsid w:val="00E82B1D"/>
    <w:rsid w:val="00E83E17"/>
    <w:rsid w:val="00E91686"/>
    <w:rsid w:val="00E94671"/>
    <w:rsid w:val="00E94A56"/>
    <w:rsid w:val="00E973A7"/>
    <w:rsid w:val="00EA0948"/>
    <w:rsid w:val="00EA1073"/>
    <w:rsid w:val="00EA1A4F"/>
    <w:rsid w:val="00EA30E9"/>
    <w:rsid w:val="00EA4239"/>
    <w:rsid w:val="00EA6916"/>
    <w:rsid w:val="00EA7FEB"/>
    <w:rsid w:val="00EB218B"/>
    <w:rsid w:val="00EB2C25"/>
    <w:rsid w:val="00EB63B4"/>
    <w:rsid w:val="00EB6A15"/>
    <w:rsid w:val="00EC4ECF"/>
    <w:rsid w:val="00ED2D83"/>
    <w:rsid w:val="00ED5562"/>
    <w:rsid w:val="00ED67D6"/>
    <w:rsid w:val="00EE0881"/>
    <w:rsid w:val="00EE0F26"/>
    <w:rsid w:val="00EE2D13"/>
    <w:rsid w:val="00EE63B5"/>
    <w:rsid w:val="00EF028C"/>
    <w:rsid w:val="00EF1048"/>
    <w:rsid w:val="00EF219B"/>
    <w:rsid w:val="00EF2A6E"/>
    <w:rsid w:val="00EF39E5"/>
    <w:rsid w:val="00EF3EA6"/>
    <w:rsid w:val="00EF5BE6"/>
    <w:rsid w:val="00EF7F63"/>
    <w:rsid w:val="00F00174"/>
    <w:rsid w:val="00F01096"/>
    <w:rsid w:val="00F03417"/>
    <w:rsid w:val="00F03802"/>
    <w:rsid w:val="00F10033"/>
    <w:rsid w:val="00F10D45"/>
    <w:rsid w:val="00F12536"/>
    <w:rsid w:val="00F1295C"/>
    <w:rsid w:val="00F167FC"/>
    <w:rsid w:val="00F1738B"/>
    <w:rsid w:val="00F210BB"/>
    <w:rsid w:val="00F233FD"/>
    <w:rsid w:val="00F24DE9"/>
    <w:rsid w:val="00F27C5D"/>
    <w:rsid w:val="00F30627"/>
    <w:rsid w:val="00F33740"/>
    <w:rsid w:val="00F3446C"/>
    <w:rsid w:val="00F34D2B"/>
    <w:rsid w:val="00F37460"/>
    <w:rsid w:val="00F41DC4"/>
    <w:rsid w:val="00F43B29"/>
    <w:rsid w:val="00F43FE7"/>
    <w:rsid w:val="00F465C7"/>
    <w:rsid w:val="00F47E22"/>
    <w:rsid w:val="00F51246"/>
    <w:rsid w:val="00F52D83"/>
    <w:rsid w:val="00F55BA8"/>
    <w:rsid w:val="00F60429"/>
    <w:rsid w:val="00F60B4A"/>
    <w:rsid w:val="00F61A70"/>
    <w:rsid w:val="00F623D1"/>
    <w:rsid w:val="00F65BAD"/>
    <w:rsid w:val="00F65D49"/>
    <w:rsid w:val="00F66812"/>
    <w:rsid w:val="00F66F51"/>
    <w:rsid w:val="00F674A2"/>
    <w:rsid w:val="00F700E3"/>
    <w:rsid w:val="00F7027D"/>
    <w:rsid w:val="00F732AD"/>
    <w:rsid w:val="00F74792"/>
    <w:rsid w:val="00F77054"/>
    <w:rsid w:val="00F80BA4"/>
    <w:rsid w:val="00F835FC"/>
    <w:rsid w:val="00F836CC"/>
    <w:rsid w:val="00F8544D"/>
    <w:rsid w:val="00F85A37"/>
    <w:rsid w:val="00F860FF"/>
    <w:rsid w:val="00F90DA8"/>
    <w:rsid w:val="00F929FC"/>
    <w:rsid w:val="00F936F2"/>
    <w:rsid w:val="00F94907"/>
    <w:rsid w:val="00F94A53"/>
    <w:rsid w:val="00F97F07"/>
    <w:rsid w:val="00FA1315"/>
    <w:rsid w:val="00FB21D1"/>
    <w:rsid w:val="00FB21E1"/>
    <w:rsid w:val="00FB2CD8"/>
    <w:rsid w:val="00FB4755"/>
    <w:rsid w:val="00FB4C2C"/>
    <w:rsid w:val="00FB4C79"/>
    <w:rsid w:val="00FC0960"/>
    <w:rsid w:val="00FC234E"/>
    <w:rsid w:val="00FC5D37"/>
    <w:rsid w:val="00FD11C7"/>
    <w:rsid w:val="00FD4AB9"/>
    <w:rsid w:val="00FD50C5"/>
    <w:rsid w:val="00FD6345"/>
    <w:rsid w:val="00FE24F7"/>
    <w:rsid w:val="00FF0894"/>
    <w:rsid w:val="00FF1664"/>
    <w:rsid w:val="00FF5DDF"/>
    <w:rsid w:val="00FF73EA"/>
    <w:rsid w:val="01AC3506"/>
    <w:rsid w:val="27C17045"/>
    <w:rsid w:val="4C513476"/>
  </w:rsid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iPriority="39" w:semiHidden="0" w:name="toc 1"/>
    <w:lsdException w:qFormat="1" w:uiPriority="39" w:semiHidden="0" w:name="toc 2"/>
    <w:lsdException w:qFormat="1"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uiPriority="99"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semiHidden="0" w:name="Default Paragraph Font"/>
    <w:lsdException w:qFormat="1"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qFormat="1" w:unhideWhenUsed="0" w:uiPriority="0" w:semiHidden="0" w:name="annotation subject"/>
    <w:lsdException w:unhideWhenUsed="0" w:uiPriority="0" w:semiHidden="0" w:name="Table Simple 1"/>
    <w:lsdException w:qFormat="1" w:unhideWhenUsed="0" w:uiPriority="0" w:semiHidden="0" w:name="Table Simple 2"/>
    <w:lsdException w:unhideWhenUsed="0" w:uiPriority="0" w:semiHidden="0" w:name="Table Simple 3"/>
    <w:lsdException w:unhideWhenUsed="0" w:uiPriority="0" w:semiHidden="0" w:name="Table Classic 1"/>
    <w:lsdException w:qFormat="1"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qFormat="1"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qFormat="1" w:unhideWhenUsed="0" w:uiPriority="0" w:semiHidden="0" w:name="Table Grid 5"/>
    <w:lsdException w:unhideWhenUsed="0" w:uiPriority="0" w:semiHidden="0" w:name="Table Grid 6"/>
    <w:lsdException w:qFormat="1"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qFormat="1" w:unhideWhenUsed="0" w:uiPriority="0" w:semiHidden="0" w:name="Table 3D effects 1"/>
    <w:lsdException w:qFormat="1"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99" w:semiHidden="0" w:name="Balloon Text"/>
    <w:lsdException w:qFormat="1" w:unhideWhenUsed="0" w:uiPriority="59"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2"/>
    <w:qFormat/>
    <w:uiPriority w:val="0"/>
    <w:pPr>
      <w:keepNext/>
      <w:keepLines/>
      <w:numPr>
        <w:ilvl w:val="0"/>
        <w:numId w:val="1"/>
      </w:numPr>
      <w:tabs>
        <w:tab w:val="left" w:pos="294"/>
        <w:tab w:val="left" w:pos="720"/>
        <w:tab w:val="left" w:pos="1080"/>
        <w:tab w:val="left" w:pos="1440"/>
        <w:tab w:val="left" w:pos="6231"/>
      </w:tabs>
      <w:adjustRightInd w:val="0"/>
      <w:snapToGrid w:val="0"/>
      <w:spacing w:before="312" w:beforeLines="100" w:after="312" w:afterLines="100"/>
      <w:jc w:val="center"/>
      <w:outlineLvl w:val="0"/>
    </w:pPr>
    <w:rPr>
      <w:rFonts w:ascii="宋体" w:hAnsi="宋体"/>
      <w:b/>
      <w:kern w:val="44"/>
      <w:sz w:val="36"/>
      <w:szCs w:val="36"/>
    </w:rPr>
  </w:style>
  <w:style w:type="paragraph" w:styleId="3">
    <w:name w:val="heading 2"/>
    <w:basedOn w:val="1"/>
    <w:next w:val="4"/>
    <w:link w:val="153"/>
    <w:qFormat/>
    <w:uiPriority w:val="0"/>
    <w:pPr>
      <w:keepNext/>
      <w:keepLines/>
      <w:numPr>
        <w:ilvl w:val="1"/>
        <w:numId w:val="1"/>
      </w:numPr>
      <w:tabs>
        <w:tab w:val="left" w:pos="3695"/>
      </w:tabs>
      <w:adjustRightInd w:val="0"/>
      <w:spacing w:before="156" w:beforeLines="50" w:after="156" w:afterLines="50" w:line="360" w:lineRule="auto"/>
      <w:outlineLvl w:val="1"/>
    </w:pPr>
    <w:rPr>
      <w:rFonts w:ascii="宋体" w:hAnsi="宋体"/>
      <w:b/>
      <w:sz w:val="28"/>
      <w:szCs w:val="28"/>
    </w:rPr>
  </w:style>
  <w:style w:type="paragraph" w:styleId="5">
    <w:name w:val="heading 3"/>
    <w:basedOn w:val="1"/>
    <w:next w:val="4"/>
    <w:link w:val="154"/>
    <w:qFormat/>
    <w:uiPriority w:val="0"/>
    <w:pPr>
      <w:keepNext/>
      <w:keepLines/>
      <w:numPr>
        <w:ilvl w:val="2"/>
        <w:numId w:val="1"/>
      </w:numPr>
      <w:tabs>
        <w:tab w:val="left" w:pos="2138"/>
      </w:tabs>
      <w:spacing w:before="156" w:beforeLines="50" w:after="62" w:afterLines="20"/>
      <w:outlineLvl w:val="2"/>
    </w:pPr>
    <w:rPr>
      <w:rFonts w:eastAsia="黑体"/>
      <w:sz w:val="24"/>
    </w:rPr>
  </w:style>
  <w:style w:type="paragraph" w:styleId="6">
    <w:name w:val="heading 4"/>
    <w:basedOn w:val="1"/>
    <w:next w:val="4"/>
    <w:link w:val="155"/>
    <w:qFormat/>
    <w:uiPriority w:val="0"/>
    <w:pPr>
      <w:keepNext/>
      <w:keepLines/>
      <w:numPr>
        <w:ilvl w:val="3"/>
        <w:numId w:val="1"/>
      </w:numPr>
      <w:tabs>
        <w:tab w:val="left" w:pos="1044"/>
        <w:tab w:val="left" w:pos="1290"/>
      </w:tabs>
      <w:adjustRightInd w:val="0"/>
      <w:spacing w:before="62" w:beforeLines="20" w:after="62" w:afterLines="20" w:line="360" w:lineRule="auto"/>
      <w:outlineLvl w:val="3"/>
    </w:pPr>
    <w:rPr>
      <w:rFonts w:ascii="Arial" w:hAnsi="Arial"/>
      <w:b/>
      <w:sz w:val="24"/>
    </w:rPr>
  </w:style>
  <w:style w:type="paragraph" w:styleId="7">
    <w:name w:val="heading 5"/>
    <w:basedOn w:val="1"/>
    <w:next w:val="4"/>
    <w:link w:val="156"/>
    <w:qFormat/>
    <w:uiPriority w:val="0"/>
    <w:pPr>
      <w:keepNext/>
      <w:keepLines/>
      <w:numPr>
        <w:ilvl w:val="4"/>
        <w:numId w:val="1"/>
      </w:numPr>
      <w:tabs>
        <w:tab w:val="left" w:pos="1008"/>
      </w:tabs>
      <w:spacing w:before="280" w:after="290" w:line="376" w:lineRule="atLeast"/>
      <w:outlineLvl w:val="4"/>
    </w:pPr>
    <w:rPr>
      <w:b/>
      <w:sz w:val="28"/>
      <w:szCs w:val="20"/>
    </w:rPr>
  </w:style>
  <w:style w:type="paragraph" w:styleId="8">
    <w:name w:val="heading 6"/>
    <w:basedOn w:val="1"/>
    <w:next w:val="1"/>
    <w:link w:val="176"/>
    <w:qFormat/>
    <w:uiPriority w:val="0"/>
    <w:pPr>
      <w:keepNext/>
      <w:keepLines/>
      <w:spacing w:before="240" w:after="64" w:line="320" w:lineRule="auto"/>
      <w:outlineLvl w:val="5"/>
    </w:pPr>
    <w:rPr>
      <w:rFonts w:ascii="Arial" w:hAnsi="Arial" w:eastAsia="黑体"/>
      <w:b/>
      <w:sz w:val="24"/>
      <w:szCs w:val="20"/>
    </w:rPr>
  </w:style>
  <w:style w:type="paragraph" w:styleId="9">
    <w:name w:val="heading 7"/>
    <w:basedOn w:val="1"/>
    <w:next w:val="1"/>
    <w:link w:val="177"/>
    <w:qFormat/>
    <w:uiPriority w:val="0"/>
    <w:pPr>
      <w:keepNext/>
      <w:keepLines/>
      <w:spacing w:before="240" w:after="64" w:line="320" w:lineRule="auto"/>
      <w:outlineLvl w:val="6"/>
    </w:pPr>
    <w:rPr>
      <w:b/>
      <w:sz w:val="24"/>
      <w:szCs w:val="20"/>
    </w:rPr>
  </w:style>
  <w:style w:type="paragraph" w:styleId="10">
    <w:name w:val="heading 8"/>
    <w:basedOn w:val="1"/>
    <w:next w:val="1"/>
    <w:link w:val="178"/>
    <w:qFormat/>
    <w:uiPriority w:val="0"/>
    <w:pPr>
      <w:keepNext/>
      <w:keepLines/>
      <w:spacing w:before="240" w:after="64" w:line="320" w:lineRule="auto"/>
      <w:outlineLvl w:val="7"/>
    </w:pPr>
    <w:rPr>
      <w:rFonts w:ascii="Arial" w:hAnsi="Arial" w:eastAsia="黑体"/>
      <w:sz w:val="24"/>
      <w:szCs w:val="20"/>
    </w:rPr>
  </w:style>
  <w:style w:type="paragraph" w:styleId="11">
    <w:name w:val="heading 9"/>
    <w:basedOn w:val="1"/>
    <w:next w:val="1"/>
    <w:link w:val="179"/>
    <w:qFormat/>
    <w:uiPriority w:val="0"/>
    <w:pPr>
      <w:keepNext/>
      <w:keepLines/>
      <w:spacing w:before="240" w:after="64" w:line="320" w:lineRule="auto"/>
      <w:outlineLvl w:val="8"/>
    </w:pPr>
    <w:rPr>
      <w:rFonts w:ascii="Arial" w:hAnsi="Arial" w:eastAsia="黑体"/>
      <w:szCs w:val="20"/>
    </w:rPr>
  </w:style>
  <w:style w:type="character" w:default="1" w:styleId="87">
    <w:name w:val="Default Paragraph Font"/>
    <w:unhideWhenUsed/>
    <w:qFormat/>
    <w:uiPriority w:val="1"/>
  </w:style>
  <w:style w:type="table" w:default="1" w:styleId="104">
    <w:name w:val="Normal Table"/>
    <w:unhideWhenUsed/>
    <w:qFormat/>
    <w:uiPriority w:val="99"/>
    <w:tblPr>
      <w:tblLayout w:type="fixed"/>
      <w:tblCellMar>
        <w:top w:w="0" w:type="dxa"/>
        <w:left w:w="108" w:type="dxa"/>
        <w:bottom w:w="0" w:type="dxa"/>
        <w:right w:w="108" w:type="dxa"/>
      </w:tblCellMar>
    </w:tblPr>
  </w:style>
  <w:style w:type="paragraph" w:styleId="4">
    <w:name w:val="Normal Indent"/>
    <w:basedOn w:val="1"/>
    <w:link w:val="159"/>
    <w:unhideWhenUsed/>
    <w:qFormat/>
    <w:uiPriority w:val="0"/>
    <w:pPr>
      <w:ind w:firstLine="420" w:firstLineChars="200"/>
    </w:pPr>
  </w:style>
  <w:style w:type="paragraph" w:styleId="12">
    <w:name w:val="List 3"/>
    <w:basedOn w:val="1"/>
    <w:qFormat/>
    <w:uiPriority w:val="0"/>
    <w:pPr>
      <w:tabs>
        <w:tab w:val="left" w:pos="1191"/>
      </w:tabs>
      <w:adjustRightInd w:val="0"/>
      <w:spacing w:line="312" w:lineRule="atLeast"/>
      <w:ind w:left="1260" w:hanging="420"/>
      <w:textAlignment w:val="baseline"/>
    </w:pPr>
    <w:rPr>
      <w:kern w:val="0"/>
      <w:szCs w:val="21"/>
    </w:rPr>
  </w:style>
  <w:style w:type="paragraph" w:styleId="13">
    <w:name w:val="annotation subject"/>
    <w:basedOn w:val="14"/>
    <w:next w:val="14"/>
    <w:link w:val="200"/>
    <w:qFormat/>
    <w:uiPriority w:val="0"/>
    <w:rPr>
      <w:b/>
      <w:bCs/>
    </w:rPr>
  </w:style>
  <w:style w:type="paragraph" w:styleId="14">
    <w:name w:val="annotation text"/>
    <w:basedOn w:val="1"/>
    <w:link w:val="199"/>
    <w:qFormat/>
    <w:uiPriority w:val="0"/>
    <w:pPr>
      <w:jc w:val="left"/>
    </w:pPr>
  </w:style>
  <w:style w:type="paragraph" w:styleId="15">
    <w:name w:val="toc 7"/>
    <w:basedOn w:val="1"/>
    <w:next w:val="1"/>
    <w:qFormat/>
    <w:uiPriority w:val="39"/>
    <w:pPr>
      <w:ind w:left="1260"/>
      <w:jc w:val="left"/>
    </w:pPr>
    <w:rPr>
      <w:rFonts w:asciiTheme="minorHAnsi" w:hAnsiTheme="minorHAnsi"/>
      <w:sz w:val="18"/>
      <w:szCs w:val="18"/>
    </w:rPr>
  </w:style>
  <w:style w:type="paragraph" w:styleId="16">
    <w:name w:val="Body Text First Indent"/>
    <w:basedOn w:val="17"/>
    <w:link w:val="202"/>
    <w:qFormat/>
    <w:uiPriority w:val="0"/>
    <w:pPr>
      <w:spacing w:after="120" w:line="240" w:lineRule="auto"/>
      <w:ind w:firstLine="420" w:firstLineChars="100"/>
      <w:jc w:val="both"/>
    </w:pPr>
    <w:rPr>
      <w:rFonts w:ascii="Times New Roman" w:hAnsi="Times New Roman" w:eastAsia="宋体" w:cs="Times New Roman"/>
      <w:sz w:val="21"/>
      <w:szCs w:val="24"/>
    </w:rPr>
  </w:style>
  <w:style w:type="paragraph" w:styleId="17">
    <w:name w:val="Body Text"/>
    <w:basedOn w:val="1"/>
    <w:link w:val="160"/>
    <w:unhideWhenUsed/>
    <w:qFormat/>
    <w:uiPriority w:val="0"/>
    <w:pPr>
      <w:spacing w:line="500" w:lineRule="exact"/>
      <w:ind w:firstLine="200" w:firstLineChars="200"/>
      <w:jc w:val="left"/>
    </w:pPr>
    <w:rPr>
      <w:rFonts w:ascii="Arial" w:hAnsi="Arial" w:eastAsiaTheme="minorEastAsia" w:cstheme="minorBidi"/>
      <w:sz w:val="24"/>
      <w:szCs w:val="22"/>
    </w:rPr>
  </w:style>
  <w:style w:type="paragraph" w:styleId="18">
    <w:name w:val="List Number 2"/>
    <w:basedOn w:val="1"/>
    <w:link w:val="195"/>
    <w:qFormat/>
    <w:uiPriority w:val="0"/>
    <w:pPr>
      <w:tabs>
        <w:tab w:val="left" w:pos="780"/>
      </w:tabs>
      <w:ind w:left="780" w:hanging="360"/>
    </w:pPr>
    <w:rPr>
      <w:rFonts w:asciiTheme="minorHAnsi" w:hAnsiTheme="minorHAnsi" w:cstheme="minorBidi"/>
      <w:szCs w:val="22"/>
    </w:rPr>
  </w:style>
  <w:style w:type="paragraph" w:styleId="19">
    <w:name w:val="table of authorities"/>
    <w:basedOn w:val="1"/>
    <w:next w:val="1"/>
    <w:qFormat/>
    <w:uiPriority w:val="0"/>
    <w:pPr>
      <w:spacing w:line="360" w:lineRule="auto"/>
      <w:ind w:left="420" w:leftChars="200" w:firstLine="480" w:firstLineChars="200"/>
      <w:jc w:val="left"/>
    </w:pPr>
    <w:rPr>
      <w:sz w:val="24"/>
    </w:rPr>
  </w:style>
  <w:style w:type="paragraph" w:styleId="20">
    <w:name w:val="Note Heading"/>
    <w:basedOn w:val="1"/>
    <w:next w:val="1"/>
    <w:link w:val="393"/>
    <w:qFormat/>
    <w:uiPriority w:val="0"/>
    <w:pPr>
      <w:spacing w:line="360" w:lineRule="auto"/>
      <w:ind w:firstLine="480" w:firstLineChars="200"/>
      <w:jc w:val="center"/>
    </w:pPr>
    <w:rPr>
      <w:sz w:val="24"/>
      <w:szCs w:val="20"/>
    </w:rPr>
  </w:style>
  <w:style w:type="paragraph" w:styleId="21">
    <w:name w:val="List Bullet 4"/>
    <w:basedOn w:val="1"/>
    <w:qFormat/>
    <w:uiPriority w:val="0"/>
    <w:pPr>
      <w:numPr>
        <w:ilvl w:val="0"/>
        <w:numId w:val="2"/>
      </w:numPr>
      <w:tabs>
        <w:tab w:val="left" w:pos="1620"/>
      </w:tabs>
    </w:pPr>
  </w:style>
  <w:style w:type="paragraph" w:styleId="22">
    <w:name w:val="index 8"/>
    <w:basedOn w:val="1"/>
    <w:next w:val="1"/>
    <w:semiHidden/>
    <w:qFormat/>
    <w:uiPriority w:val="0"/>
    <w:pPr>
      <w:ind w:left="1680" w:hanging="210"/>
      <w:jc w:val="left"/>
    </w:pPr>
    <w:rPr>
      <w:sz w:val="20"/>
      <w:szCs w:val="20"/>
    </w:rPr>
  </w:style>
  <w:style w:type="paragraph" w:styleId="23">
    <w:name w:val="E-mail Signature"/>
    <w:basedOn w:val="1"/>
    <w:link w:val="672"/>
    <w:qFormat/>
    <w:uiPriority w:val="0"/>
  </w:style>
  <w:style w:type="paragraph" w:styleId="24">
    <w:name w:val="List Number"/>
    <w:basedOn w:val="1"/>
    <w:qFormat/>
    <w:uiPriority w:val="0"/>
    <w:pPr>
      <w:tabs>
        <w:tab w:val="left" w:pos="360"/>
      </w:tabs>
      <w:ind w:left="360" w:hanging="360" w:hangingChars="200"/>
    </w:pPr>
  </w:style>
  <w:style w:type="paragraph" w:styleId="25">
    <w:name w:val="caption"/>
    <w:basedOn w:val="1"/>
    <w:next w:val="1"/>
    <w:link w:val="289"/>
    <w:qFormat/>
    <w:uiPriority w:val="0"/>
    <w:rPr>
      <w:rFonts w:ascii="Arial" w:hAnsi="Arial" w:eastAsia="黑体" w:cs="Arial"/>
      <w:sz w:val="20"/>
      <w:szCs w:val="20"/>
    </w:rPr>
  </w:style>
  <w:style w:type="paragraph" w:styleId="26">
    <w:name w:val="index 5"/>
    <w:basedOn w:val="1"/>
    <w:next w:val="1"/>
    <w:semiHidden/>
    <w:qFormat/>
    <w:uiPriority w:val="0"/>
    <w:pPr>
      <w:ind w:left="1050" w:hanging="210"/>
      <w:jc w:val="left"/>
    </w:pPr>
    <w:rPr>
      <w:sz w:val="20"/>
      <w:szCs w:val="20"/>
    </w:rPr>
  </w:style>
  <w:style w:type="paragraph" w:styleId="27">
    <w:name w:val="List Bullet"/>
    <w:basedOn w:val="1"/>
    <w:qFormat/>
    <w:uiPriority w:val="0"/>
    <w:pPr>
      <w:tabs>
        <w:tab w:val="left" w:pos="284"/>
        <w:tab w:val="left" w:pos="360"/>
      </w:tabs>
      <w:spacing w:line="490" w:lineRule="exact"/>
      <w:ind w:firstLine="284"/>
    </w:pPr>
    <w:rPr>
      <w:rFonts w:eastAsia="仿宋_GB2312"/>
      <w:sz w:val="28"/>
      <w:szCs w:val="20"/>
    </w:rPr>
  </w:style>
  <w:style w:type="paragraph" w:styleId="28">
    <w:name w:val="envelope address"/>
    <w:basedOn w:val="1"/>
    <w:qFormat/>
    <w:uiPriority w:val="0"/>
    <w:pPr>
      <w:framePr w:w="7920" w:h="1980" w:hRule="exact" w:hSpace="180" w:wrap="around" w:vAnchor="margin" w:hAnchor="page" w:xAlign="center" w:yAlign="bottom"/>
      <w:snapToGrid w:val="0"/>
      <w:ind w:left="100" w:leftChars="1400"/>
    </w:pPr>
    <w:rPr>
      <w:rFonts w:ascii="Arial" w:hAnsi="Arial" w:cs="Arial"/>
      <w:sz w:val="24"/>
    </w:rPr>
  </w:style>
  <w:style w:type="paragraph" w:styleId="29">
    <w:name w:val="Document Map"/>
    <w:basedOn w:val="1"/>
    <w:link w:val="185"/>
    <w:qFormat/>
    <w:uiPriority w:val="99"/>
    <w:pPr>
      <w:shd w:val="clear" w:color="auto" w:fill="000080"/>
    </w:pPr>
  </w:style>
  <w:style w:type="paragraph" w:styleId="30">
    <w:name w:val="toa heading"/>
    <w:basedOn w:val="1"/>
    <w:next w:val="1"/>
    <w:qFormat/>
    <w:uiPriority w:val="0"/>
    <w:pPr>
      <w:spacing w:before="120"/>
    </w:pPr>
    <w:rPr>
      <w:rFonts w:ascii="Arial" w:hAnsi="Arial"/>
      <w:sz w:val="24"/>
      <w:szCs w:val="20"/>
    </w:rPr>
  </w:style>
  <w:style w:type="paragraph" w:styleId="31">
    <w:name w:val="index 6"/>
    <w:basedOn w:val="1"/>
    <w:next w:val="1"/>
    <w:semiHidden/>
    <w:qFormat/>
    <w:uiPriority w:val="0"/>
    <w:pPr>
      <w:ind w:left="1260" w:hanging="210"/>
      <w:jc w:val="left"/>
    </w:pPr>
    <w:rPr>
      <w:sz w:val="20"/>
      <w:szCs w:val="20"/>
    </w:rPr>
  </w:style>
  <w:style w:type="paragraph" w:styleId="32">
    <w:name w:val="Salutation"/>
    <w:basedOn w:val="1"/>
    <w:next w:val="1"/>
    <w:link w:val="671"/>
    <w:qFormat/>
    <w:uiPriority w:val="0"/>
  </w:style>
  <w:style w:type="paragraph" w:styleId="33">
    <w:name w:val="Body Text 3"/>
    <w:basedOn w:val="1"/>
    <w:link w:val="259"/>
    <w:qFormat/>
    <w:uiPriority w:val="0"/>
    <w:pPr>
      <w:spacing w:after="120" w:line="360" w:lineRule="auto"/>
      <w:ind w:firstLine="480" w:firstLineChars="200"/>
      <w:jc w:val="left"/>
    </w:pPr>
    <w:rPr>
      <w:sz w:val="16"/>
      <w:szCs w:val="16"/>
    </w:rPr>
  </w:style>
  <w:style w:type="paragraph" w:styleId="34">
    <w:name w:val="Closing"/>
    <w:basedOn w:val="1"/>
    <w:link w:val="673"/>
    <w:qFormat/>
    <w:uiPriority w:val="0"/>
    <w:pPr>
      <w:ind w:left="100" w:leftChars="2100"/>
    </w:pPr>
  </w:style>
  <w:style w:type="paragraph" w:styleId="35">
    <w:name w:val="List Bullet 3"/>
    <w:basedOn w:val="1"/>
    <w:qFormat/>
    <w:uiPriority w:val="0"/>
    <w:pPr>
      <w:numPr>
        <w:ilvl w:val="0"/>
        <w:numId w:val="3"/>
      </w:numPr>
      <w:tabs>
        <w:tab w:val="left" w:pos="1200"/>
      </w:tabs>
    </w:pPr>
  </w:style>
  <w:style w:type="paragraph" w:styleId="36">
    <w:name w:val="Body Text Indent"/>
    <w:basedOn w:val="1"/>
    <w:link w:val="219"/>
    <w:qFormat/>
    <w:uiPriority w:val="0"/>
    <w:pPr>
      <w:spacing w:after="120" w:line="360" w:lineRule="auto"/>
      <w:ind w:left="420" w:leftChars="200" w:firstLine="480" w:firstLineChars="200"/>
      <w:jc w:val="left"/>
    </w:pPr>
    <w:rPr>
      <w:sz w:val="24"/>
    </w:rPr>
  </w:style>
  <w:style w:type="paragraph" w:styleId="37">
    <w:name w:val="List Number 3"/>
    <w:basedOn w:val="1"/>
    <w:qFormat/>
    <w:uiPriority w:val="0"/>
    <w:pPr>
      <w:numPr>
        <w:ilvl w:val="0"/>
        <w:numId w:val="4"/>
      </w:numPr>
      <w:tabs>
        <w:tab w:val="left" w:pos="1200"/>
      </w:tabs>
    </w:pPr>
  </w:style>
  <w:style w:type="paragraph" w:styleId="38">
    <w:name w:val="List 2"/>
    <w:basedOn w:val="1"/>
    <w:link w:val="184"/>
    <w:qFormat/>
    <w:uiPriority w:val="0"/>
    <w:pPr>
      <w:spacing w:line="240" w:lineRule="atLeast"/>
      <w:jc w:val="center"/>
    </w:pPr>
    <w:rPr>
      <w:rFonts w:ascii="楷体_GB2312" w:hAnsi="宋体" w:eastAsia="新宋体"/>
      <w:color w:val="000000"/>
      <w:szCs w:val="28"/>
    </w:rPr>
  </w:style>
  <w:style w:type="paragraph" w:styleId="39">
    <w:name w:val="List Continue"/>
    <w:basedOn w:val="1"/>
    <w:qFormat/>
    <w:uiPriority w:val="0"/>
    <w:pPr>
      <w:spacing w:after="120"/>
      <w:ind w:left="420" w:leftChars="200"/>
    </w:pPr>
  </w:style>
  <w:style w:type="paragraph" w:styleId="40">
    <w:name w:val="Block Text"/>
    <w:basedOn w:val="1"/>
    <w:qFormat/>
    <w:uiPriority w:val="0"/>
    <w:pPr>
      <w:spacing w:line="360" w:lineRule="auto"/>
      <w:ind w:left="525" w:right="651" w:firstLine="480" w:firstLineChars="200"/>
      <w:jc w:val="left"/>
    </w:pPr>
    <w:rPr>
      <w:rFonts w:eastAsia="仿宋_GB2312"/>
      <w:sz w:val="32"/>
      <w:szCs w:val="20"/>
    </w:rPr>
  </w:style>
  <w:style w:type="paragraph" w:styleId="41">
    <w:name w:val="List Bullet 2"/>
    <w:basedOn w:val="1"/>
    <w:qFormat/>
    <w:uiPriority w:val="0"/>
    <w:pPr>
      <w:numPr>
        <w:ilvl w:val="0"/>
        <w:numId w:val="5"/>
      </w:numPr>
      <w:tabs>
        <w:tab w:val="left" w:pos="780"/>
      </w:tabs>
    </w:pPr>
  </w:style>
  <w:style w:type="paragraph" w:styleId="42">
    <w:name w:val="HTML Address"/>
    <w:basedOn w:val="1"/>
    <w:link w:val="670"/>
    <w:qFormat/>
    <w:uiPriority w:val="0"/>
    <w:rPr>
      <w:i/>
      <w:iCs/>
    </w:rPr>
  </w:style>
  <w:style w:type="paragraph" w:styleId="43">
    <w:name w:val="index 4"/>
    <w:basedOn w:val="1"/>
    <w:next w:val="1"/>
    <w:semiHidden/>
    <w:qFormat/>
    <w:uiPriority w:val="0"/>
    <w:pPr>
      <w:ind w:left="840" w:hanging="210"/>
      <w:jc w:val="left"/>
    </w:pPr>
    <w:rPr>
      <w:sz w:val="20"/>
      <w:szCs w:val="20"/>
    </w:rPr>
  </w:style>
  <w:style w:type="paragraph" w:styleId="44">
    <w:name w:val="toc 5"/>
    <w:basedOn w:val="1"/>
    <w:next w:val="1"/>
    <w:qFormat/>
    <w:uiPriority w:val="39"/>
    <w:pPr>
      <w:ind w:left="840"/>
      <w:jc w:val="left"/>
    </w:pPr>
    <w:rPr>
      <w:rFonts w:asciiTheme="minorHAnsi" w:hAnsiTheme="minorHAnsi"/>
      <w:sz w:val="18"/>
      <w:szCs w:val="18"/>
    </w:rPr>
  </w:style>
  <w:style w:type="paragraph" w:styleId="45">
    <w:name w:val="toc 3"/>
    <w:basedOn w:val="1"/>
    <w:next w:val="1"/>
    <w:unhideWhenUsed/>
    <w:qFormat/>
    <w:uiPriority w:val="39"/>
    <w:pPr>
      <w:ind w:left="420"/>
      <w:jc w:val="left"/>
    </w:pPr>
    <w:rPr>
      <w:rFonts w:asciiTheme="minorHAnsi" w:hAnsiTheme="minorHAnsi"/>
      <w:i/>
      <w:iCs/>
      <w:sz w:val="20"/>
      <w:szCs w:val="20"/>
    </w:rPr>
  </w:style>
  <w:style w:type="paragraph" w:styleId="46">
    <w:name w:val="Plain Text"/>
    <w:basedOn w:val="1"/>
    <w:link w:val="170"/>
    <w:qFormat/>
    <w:uiPriority w:val="0"/>
    <w:rPr>
      <w:rFonts w:ascii="宋体" w:hAnsi="Courier New"/>
      <w:szCs w:val="20"/>
    </w:rPr>
  </w:style>
  <w:style w:type="paragraph" w:styleId="47">
    <w:name w:val="List Bullet 5"/>
    <w:basedOn w:val="1"/>
    <w:qFormat/>
    <w:uiPriority w:val="0"/>
    <w:pPr>
      <w:numPr>
        <w:ilvl w:val="0"/>
        <w:numId w:val="6"/>
      </w:numPr>
      <w:tabs>
        <w:tab w:val="left" w:pos="2040"/>
      </w:tabs>
    </w:pPr>
  </w:style>
  <w:style w:type="paragraph" w:styleId="48">
    <w:name w:val="List Number 4"/>
    <w:basedOn w:val="1"/>
    <w:qFormat/>
    <w:uiPriority w:val="0"/>
    <w:pPr>
      <w:numPr>
        <w:ilvl w:val="0"/>
        <w:numId w:val="7"/>
      </w:numPr>
      <w:tabs>
        <w:tab w:val="left" w:pos="1620"/>
      </w:tabs>
    </w:pPr>
  </w:style>
  <w:style w:type="paragraph" w:styleId="49">
    <w:name w:val="toc 8"/>
    <w:basedOn w:val="1"/>
    <w:next w:val="1"/>
    <w:qFormat/>
    <w:uiPriority w:val="39"/>
    <w:pPr>
      <w:ind w:left="1470"/>
      <w:jc w:val="left"/>
    </w:pPr>
    <w:rPr>
      <w:rFonts w:asciiTheme="minorHAnsi" w:hAnsiTheme="minorHAnsi"/>
      <w:sz w:val="18"/>
      <w:szCs w:val="18"/>
    </w:rPr>
  </w:style>
  <w:style w:type="paragraph" w:styleId="50">
    <w:name w:val="index 3"/>
    <w:basedOn w:val="1"/>
    <w:next w:val="1"/>
    <w:semiHidden/>
    <w:qFormat/>
    <w:uiPriority w:val="0"/>
    <w:pPr>
      <w:ind w:left="630" w:hanging="210"/>
      <w:jc w:val="left"/>
    </w:pPr>
    <w:rPr>
      <w:sz w:val="20"/>
      <w:szCs w:val="20"/>
    </w:rPr>
  </w:style>
  <w:style w:type="paragraph" w:styleId="51">
    <w:name w:val="Date"/>
    <w:basedOn w:val="1"/>
    <w:next w:val="1"/>
    <w:link w:val="192"/>
    <w:qFormat/>
    <w:uiPriority w:val="0"/>
    <w:rPr>
      <w:rFonts w:ascii="楷体_GB2312" w:hAnsi="Courier New" w:eastAsia="楷体_GB2312"/>
      <w:sz w:val="28"/>
      <w:szCs w:val="20"/>
    </w:rPr>
  </w:style>
  <w:style w:type="paragraph" w:styleId="52">
    <w:name w:val="Body Text Indent 2"/>
    <w:basedOn w:val="1"/>
    <w:link w:val="198"/>
    <w:qFormat/>
    <w:uiPriority w:val="0"/>
    <w:pPr>
      <w:spacing w:after="120" w:line="480" w:lineRule="auto"/>
      <w:ind w:left="420" w:leftChars="200"/>
    </w:pPr>
  </w:style>
  <w:style w:type="paragraph" w:styleId="53">
    <w:name w:val="List Continue 5"/>
    <w:basedOn w:val="1"/>
    <w:qFormat/>
    <w:uiPriority w:val="0"/>
    <w:pPr>
      <w:spacing w:after="120"/>
      <w:ind w:left="2100" w:leftChars="1000"/>
    </w:pPr>
  </w:style>
  <w:style w:type="paragraph" w:styleId="54">
    <w:name w:val="Balloon Text"/>
    <w:basedOn w:val="1"/>
    <w:link w:val="201"/>
    <w:qFormat/>
    <w:uiPriority w:val="99"/>
    <w:rPr>
      <w:sz w:val="18"/>
      <w:szCs w:val="18"/>
    </w:rPr>
  </w:style>
  <w:style w:type="paragraph" w:styleId="55">
    <w:name w:val="footer"/>
    <w:basedOn w:val="1"/>
    <w:link w:val="151"/>
    <w:qFormat/>
    <w:uiPriority w:val="0"/>
    <w:pPr>
      <w:tabs>
        <w:tab w:val="center" w:pos="4153"/>
        <w:tab w:val="right" w:pos="8306"/>
      </w:tabs>
      <w:snapToGrid w:val="0"/>
      <w:jc w:val="left"/>
    </w:pPr>
    <w:rPr>
      <w:kern w:val="0"/>
      <w:sz w:val="18"/>
      <w:szCs w:val="18"/>
      <w:lang w:val="zh-CN" w:eastAsia="zh-CN"/>
    </w:rPr>
  </w:style>
  <w:style w:type="paragraph" w:styleId="56">
    <w:name w:val="envelope return"/>
    <w:basedOn w:val="1"/>
    <w:qFormat/>
    <w:uiPriority w:val="0"/>
    <w:pPr>
      <w:snapToGrid w:val="0"/>
    </w:pPr>
    <w:rPr>
      <w:rFonts w:ascii="Arial" w:hAnsi="Arial" w:cs="Arial"/>
    </w:rPr>
  </w:style>
  <w:style w:type="paragraph" w:styleId="57">
    <w:name w:val="Body Text First Indent 2"/>
    <w:basedOn w:val="36"/>
    <w:link w:val="276"/>
    <w:qFormat/>
    <w:uiPriority w:val="0"/>
    <w:pPr>
      <w:ind w:firstLine="420"/>
    </w:pPr>
  </w:style>
  <w:style w:type="paragraph" w:styleId="58">
    <w:name w:val="header"/>
    <w:basedOn w:val="1"/>
    <w:link w:val="149"/>
    <w:qFormat/>
    <w:uiPriority w:val="0"/>
    <w:pPr>
      <w:pBdr>
        <w:bottom w:val="single" w:color="auto" w:sz="6" w:space="1"/>
      </w:pBdr>
      <w:tabs>
        <w:tab w:val="center" w:pos="4153"/>
        <w:tab w:val="right" w:pos="8306"/>
      </w:tabs>
      <w:snapToGrid w:val="0"/>
      <w:jc w:val="center"/>
    </w:pPr>
    <w:rPr>
      <w:kern w:val="0"/>
      <w:sz w:val="18"/>
      <w:szCs w:val="18"/>
      <w:lang w:val="zh-CN" w:eastAsia="zh-CN"/>
    </w:rPr>
  </w:style>
  <w:style w:type="paragraph" w:styleId="59">
    <w:name w:val="Signature"/>
    <w:basedOn w:val="1"/>
    <w:link w:val="674"/>
    <w:qFormat/>
    <w:uiPriority w:val="0"/>
    <w:pPr>
      <w:ind w:left="100" w:leftChars="2100"/>
    </w:pPr>
  </w:style>
  <w:style w:type="paragraph" w:styleId="60">
    <w:name w:val="toc 1"/>
    <w:basedOn w:val="1"/>
    <w:next w:val="1"/>
    <w:unhideWhenUsed/>
    <w:qFormat/>
    <w:uiPriority w:val="39"/>
    <w:pPr>
      <w:spacing w:before="120" w:after="120"/>
      <w:jc w:val="left"/>
    </w:pPr>
    <w:rPr>
      <w:rFonts w:asciiTheme="minorHAnsi" w:hAnsiTheme="minorHAnsi"/>
      <w:b/>
      <w:bCs/>
      <w:caps/>
      <w:sz w:val="20"/>
      <w:szCs w:val="20"/>
    </w:rPr>
  </w:style>
  <w:style w:type="paragraph" w:styleId="61">
    <w:name w:val="List Continue 4"/>
    <w:basedOn w:val="1"/>
    <w:qFormat/>
    <w:uiPriority w:val="0"/>
    <w:pPr>
      <w:spacing w:after="120"/>
      <w:ind w:left="1680" w:leftChars="800"/>
    </w:pPr>
  </w:style>
  <w:style w:type="paragraph" w:styleId="62">
    <w:name w:val="toc 4"/>
    <w:basedOn w:val="1"/>
    <w:next w:val="1"/>
    <w:qFormat/>
    <w:uiPriority w:val="39"/>
    <w:pPr>
      <w:ind w:left="630"/>
      <w:jc w:val="left"/>
    </w:pPr>
    <w:rPr>
      <w:rFonts w:asciiTheme="minorHAnsi" w:hAnsiTheme="minorHAnsi"/>
      <w:sz w:val="18"/>
      <w:szCs w:val="18"/>
    </w:rPr>
  </w:style>
  <w:style w:type="paragraph" w:styleId="63">
    <w:name w:val="index heading"/>
    <w:basedOn w:val="1"/>
    <w:next w:val="64"/>
    <w:semiHidden/>
    <w:qFormat/>
    <w:uiPriority w:val="0"/>
    <w:pPr>
      <w:spacing w:before="120" w:after="120"/>
      <w:jc w:val="left"/>
    </w:pPr>
    <w:rPr>
      <w:b/>
      <w:bCs/>
      <w:i/>
      <w:iCs/>
      <w:sz w:val="20"/>
      <w:szCs w:val="20"/>
    </w:rPr>
  </w:style>
  <w:style w:type="paragraph" w:styleId="64">
    <w:name w:val="index 1"/>
    <w:basedOn w:val="1"/>
    <w:next w:val="1"/>
    <w:qFormat/>
    <w:uiPriority w:val="0"/>
    <w:pPr>
      <w:ind w:left="210" w:hanging="210"/>
      <w:jc w:val="center"/>
    </w:pPr>
    <w:rPr>
      <w:sz w:val="20"/>
      <w:szCs w:val="20"/>
    </w:rPr>
  </w:style>
  <w:style w:type="paragraph" w:styleId="65">
    <w:name w:val="Subtitle"/>
    <w:basedOn w:val="1"/>
    <w:link w:val="384"/>
    <w:qFormat/>
    <w:uiPriority w:val="0"/>
    <w:pPr>
      <w:adjustRightInd w:val="0"/>
      <w:spacing w:before="240" w:after="60" w:line="312" w:lineRule="auto"/>
      <w:ind w:firstLine="480" w:firstLineChars="200"/>
      <w:jc w:val="center"/>
      <w:textAlignment w:val="baseline"/>
      <w:outlineLvl w:val="1"/>
    </w:pPr>
    <w:rPr>
      <w:rFonts w:ascii="Arial" w:hAnsi="Arial" w:cs="Arial"/>
      <w:b/>
      <w:bCs/>
      <w:kern w:val="28"/>
      <w:sz w:val="32"/>
      <w:szCs w:val="32"/>
    </w:rPr>
  </w:style>
  <w:style w:type="paragraph" w:styleId="66">
    <w:name w:val="List Number 5"/>
    <w:basedOn w:val="1"/>
    <w:qFormat/>
    <w:uiPriority w:val="0"/>
    <w:pPr>
      <w:numPr>
        <w:ilvl w:val="0"/>
        <w:numId w:val="8"/>
      </w:numPr>
      <w:tabs>
        <w:tab w:val="left" w:pos="2040"/>
      </w:tabs>
    </w:pPr>
  </w:style>
  <w:style w:type="paragraph" w:styleId="67">
    <w:name w:val="List"/>
    <w:basedOn w:val="1"/>
    <w:qFormat/>
    <w:uiPriority w:val="0"/>
    <w:pPr>
      <w:spacing w:line="360" w:lineRule="auto"/>
      <w:ind w:left="200" w:hanging="200" w:hangingChars="200"/>
      <w:jc w:val="left"/>
    </w:pPr>
    <w:rPr>
      <w:sz w:val="24"/>
    </w:rPr>
  </w:style>
  <w:style w:type="paragraph" w:styleId="68">
    <w:name w:val="footnote text"/>
    <w:basedOn w:val="1"/>
    <w:link w:val="565"/>
    <w:qFormat/>
    <w:uiPriority w:val="0"/>
    <w:pPr>
      <w:snapToGrid w:val="0"/>
      <w:spacing w:line="420" w:lineRule="exact"/>
      <w:ind w:firstLine="425"/>
      <w:jc w:val="left"/>
    </w:pPr>
    <w:rPr>
      <w:rFonts w:asciiTheme="minorHAnsi" w:hAnsiTheme="minorHAnsi" w:eastAsiaTheme="minorEastAsia" w:cstheme="minorBidi"/>
      <w:sz w:val="18"/>
      <w:szCs w:val="18"/>
    </w:rPr>
  </w:style>
  <w:style w:type="paragraph" w:styleId="69">
    <w:name w:val="toc 6"/>
    <w:basedOn w:val="1"/>
    <w:next w:val="1"/>
    <w:qFormat/>
    <w:uiPriority w:val="39"/>
    <w:pPr>
      <w:ind w:left="1050"/>
      <w:jc w:val="left"/>
    </w:pPr>
    <w:rPr>
      <w:rFonts w:asciiTheme="minorHAnsi" w:hAnsiTheme="minorHAnsi"/>
      <w:sz w:val="18"/>
      <w:szCs w:val="18"/>
    </w:rPr>
  </w:style>
  <w:style w:type="paragraph" w:styleId="70">
    <w:name w:val="List 5"/>
    <w:basedOn w:val="1"/>
    <w:qFormat/>
    <w:uiPriority w:val="0"/>
    <w:pPr>
      <w:ind w:left="100" w:leftChars="800" w:hanging="200" w:hangingChars="200"/>
    </w:pPr>
  </w:style>
  <w:style w:type="paragraph" w:styleId="71">
    <w:name w:val="Body Text Indent 3"/>
    <w:basedOn w:val="1"/>
    <w:link w:val="223"/>
    <w:qFormat/>
    <w:uiPriority w:val="0"/>
    <w:pPr>
      <w:spacing w:line="520" w:lineRule="exact"/>
      <w:ind w:firstLine="419" w:firstLineChars="200"/>
      <w:jc w:val="left"/>
      <w:textAlignment w:val="baseline"/>
    </w:pPr>
    <w:rPr>
      <w:sz w:val="28"/>
    </w:rPr>
  </w:style>
  <w:style w:type="paragraph" w:styleId="72">
    <w:name w:val="index 7"/>
    <w:basedOn w:val="1"/>
    <w:next w:val="1"/>
    <w:semiHidden/>
    <w:qFormat/>
    <w:uiPriority w:val="0"/>
    <w:pPr>
      <w:ind w:left="1470" w:hanging="210"/>
      <w:jc w:val="left"/>
    </w:pPr>
    <w:rPr>
      <w:sz w:val="20"/>
      <w:szCs w:val="20"/>
    </w:rPr>
  </w:style>
  <w:style w:type="paragraph" w:styleId="73">
    <w:name w:val="index 9"/>
    <w:basedOn w:val="1"/>
    <w:next w:val="1"/>
    <w:semiHidden/>
    <w:qFormat/>
    <w:uiPriority w:val="0"/>
    <w:pPr>
      <w:ind w:left="1890" w:hanging="210"/>
      <w:jc w:val="left"/>
    </w:pPr>
    <w:rPr>
      <w:sz w:val="20"/>
      <w:szCs w:val="20"/>
    </w:rPr>
  </w:style>
  <w:style w:type="paragraph" w:styleId="74">
    <w:name w:val="table of figures"/>
    <w:basedOn w:val="1"/>
    <w:next w:val="1"/>
    <w:qFormat/>
    <w:uiPriority w:val="0"/>
    <w:pPr>
      <w:ind w:left="200" w:leftChars="200" w:hanging="200" w:hangingChars="200"/>
    </w:pPr>
    <w:rPr>
      <w:rFonts w:eastAsia="楷体_GB2312"/>
      <w:szCs w:val="21"/>
    </w:rPr>
  </w:style>
  <w:style w:type="paragraph" w:styleId="75">
    <w:name w:val="toc 2"/>
    <w:basedOn w:val="1"/>
    <w:next w:val="1"/>
    <w:unhideWhenUsed/>
    <w:qFormat/>
    <w:uiPriority w:val="39"/>
    <w:pPr>
      <w:ind w:left="210"/>
      <w:jc w:val="left"/>
    </w:pPr>
    <w:rPr>
      <w:rFonts w:asciiTheme="minorHAnsi" w:hAnsiTheme="minorHAnsi"/>
      <w:smallCaps/>
      <w:sz w:val="20"/>
      <w:szCs w:val="20"/>
    </w:rPr>
  </w:style>
  <w:style w:type="paragraph" w:styleId="76">
    <w:name w:val="toc 9"/>
    <w:basedOn w:val="1"/>
    <w:next w:val="1"/>
    <w:qFormat/>
    <w:uiPriority w:val="39"/>
    <w:pPr>
      <w:ind w:left="1680"/>
      <w:jc w:val="left"/>
    </w:pPr>
    <w:rPr>
      <w:rFonts w:asciiTheme="minorHAnsi" w:hAnsiTheme="minorHAnsi"/>
      <w:sz w:val="18"/>
      <w:szCs w:val="18"/>
    </w:rPr>
  </w:style>
  <w:style w:type="paragraph" w:styleId="77">
    <w:name w:val="Body Text 2"/>
    <w:basedOn w:val="1"/>
    <w:next w:val="78"/>
    <w:link w:val="182"/>
    <w:qFormat/>
    <w:uiPriority w:val="0"/>
    <w:pPr>
      <w:shd w:val="clear" w:color="auto" w:fill="FFFFFF"/>
      <w:tabs>
        <w:tab w:val="left" w:pos="1000"/>
      </w:tabs>
      <w:spacing w:before="60" w:after="60" w:line="520" w:lineRule="exact"/>
      <w:ind w:right="88" w:rightChars="42" w:firstLine="480" w:firstLineChars="200"/>
    </w:pPr>
    <w:rPr>
      <w:rFonts w:ascii="宋体" w:hAnsi="宋体"/>
      <w:color w:val="000000"/>
      <w:kern w:val="0"/>
      <w:sz w:val="24"/>
      <w:shd w:val="clear" w:color="auto" w:fill="FFFFFF"/>
      <w:lang w:val="zh-CN"/>
    </w:rPr>
  </w:style>
  <w:style w:type="paragraph" w:customStyle="1" w:styleId="78">
    <w:name w:val="样式1"/>
    <w:basedOn w:val="1"/>
    <w:link w:val="165"/>
    <w:qFormat/>
    <w:uiPriority w:val="0"/>
    <w:pPr>
      <w:spacing w:line="500" w:lineRule="exact"/>
      <w:ind w:firstLine="200" w:firstLineChars="200"/>
    </w:pPr>
    <w:rPr>
      <w:rFonts w:ascii="Arial" w:hAnsi="Arial" w:cstheme="minorBidi"/>
      <w:sz w:val="24"/>
    </w:rPr>
  </w:style>
  <w:style w:type="paragraph" w:styleId="79">
    <w:name w:val="List 4"/>
    <w:basedOn w:val="1"/>
    <w:qFormat/>
    <w:uiPriority w:val="0"/>
    <w:pPr>
      <w:ind w:left="100" w:leftChars="600" w:hanging="200" w:hangingChars="200"/>
    </w:pPr>
  </w:style>
  <w:style w:type="paragraph" w:styleId="80">
    <w:name w:val="List Continue 2"/>
    <w:basedOn w:val="1"/>
    <w:qFormat/>
    <w:uiPriority w:val="0"/>
    <w:pPr>
      <w:spacing w:after="120"/>
      <w:ind w:left="840" w:leftChars="400"/>
    </w:pPr>
  </w:style>
  <w:style w:type="paragraph" w:styleId="81">
    <w:name w:val="Message Header"/>
    <w:basedOn w:val="1"/>
    <w:link w:val="675"/>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rPr>
  </w:style>
  <w:style w:type="paragraph" w:styleId="82">
    <w:name w:val="HTML Preformatted"/>
    <w:basedOn w:val="1"/>
    <w:link w:val="375"/>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jc w:val="left"/>
    </w:pPr>
    <w:rPr>
      <w:rFonts w:ascii="黑体" w:hAnsi="Courier New" w:eastAsia="黑体" w:cs="黑体"/>
      <w:color w:val="5EAC01"/>
      <w:kern w:val="0"/>
      <w:sz w:val="20"/>
      <w:szCs w:val="20"/>
    </w:rPr>
  </w:style>
  <w:style w:type="paragraph" w:styleId="83">
    <w:name w:val="Normal (Web)"/>
    <w:basedOn w:val="1"/>
    <w:link w:val="1238"/>
    <w:qFormat/>
    <w:uiPriority w:val="0"/>
    <w:pPr>
      <w:widowControl/>
      <w:spacing w:before="100" w:beforeAutospacing="1" w:after="100" w:afterAutospacing="1"/>
      <w:jc w:val="left"/>
    </w:pPr>
    <w:rPr>
      <w:rFonts w:ascii="宋体" w:hAnsi="宋体"/>
      <w:kern w:val="0"/>
      <w:sz w:val="24"/>
    </w:rPr>
  </w:style>
  <w:style w:type="paragraph" w:styleId="84">
    <w:name w:val="List Continue 3"/>
    <w:basedOn w:val="1"/>
    <w:qFormat/>
    <w:uiPriority w:val="0"/>
    <w:pPr>
      <w:spacing w:after="120"/>
      <w:ind w:left="1260" w:leftChars="600"/>
    </w:pPr>
  </w:style>
  <w:style w:type="paragraph" w:styleId="85">
    <w:name w:val="index 2"/>
    <w:basedOn w:val="1"/>
    <w:next w:val="1"/>
    <w:semiHidden/>
    <w:qFormat/>
    <w:uiPriority w:val="0"/>
    <w:pPr>
      <w:ind w:left="420" w:hanging="210"/>
      <w:jc w:val="left"/>
    </w:pPr>
    <w:rPr>
      <w:sz w:val="20"/>
      <w:szCs w:val="20"/>
    </w:rPr>
  </w:style>
  <w:style w:type="paragraph" w:styleId="86">
    <w:name w:val="Title"/>
    <w:basedOn w:val="1"/>
    <w:link w:val="217"/>
    <w:qFormat/>
    <w:uiPriority w:val="0"/>
    <w:pPr>
      <w:spacing w:before="240" w:after="60" w:line="360" w:lineRule="auto"/>
      <w:ind w:firstLine="480" w:firstLineChars="200"/>
      <w:jc w:val="center"/>
      <w:outlineLvl w:val="0"/>
    </w:pPr>
    <w:rPr>
      <w:rFonts w:ascii="Arial" w:hAnsi="Arial" w:cs="Arial"/>
      <w:b/>
      <w:bCs/>
      <w:sz w:val="32"/>
      <w:szCs w:val="32"/>
    </w:rPr>
  </w:style>
  <w:style w:type="character" w:styleId="88">
    <w:name w:val="Strong"/>
    <w:basedOn w:val="87"/>
    <w:qFormat/>
    <w:uiPriority w:val="0"/>
    <w:rPr>
      <w:b/>
      <w:bCs/>
    </w:rPr>
  </w:style>
  <w:style w:type="character" w:styleId="89">
    <w:name w:val="page number"/>
    <w:basedOn w:val="87"/>
    <w:qFormat/>
    <w:uiPriority w:val="0"/>
  </w:style>
  <w:style w:type="character" w:styleId="90">
    <w:name w:val="FollowedHyperlink"/>
    <w:basedOn w:val="87"/>
    <w:qFormat/>
    <w:uiPriority w:val="99"/>
    <w:rPr>
      <w:color w:val="800080"/>
      <w:u w:val="single"/>
    </w:rPr>
  </w:style>
  <w:style w:type="character" w:styleId="91">
    <w:name w:val="Emphasis"/>
    <w:basedOn w:val="87"/>
    <w:qFormat/>
    <w:uiPriority w:val="0"/>
    <w:rPr>
      <w:i/>
      <w:iCs/>
    </w:rPr>
  </w:style>
  <w:style w:type="character" w:styleId="92">
    <w:name w:val="line number"/>
    <w:qFormat/>
    <w:uiPriority w:val="0"/>
    <w:rPr>
      <w:rFonts w:ascii="宋体" w:hAnsi="宋体" w:eastAsia="宋体" w:cs="Courier New"/>
      <w:kern w:val="2"/>
      <w:sz w:val="32"/>
      <w:szCs w:val="32"/>
      <w:lang w:val="en-US" w:eastAsia="zh-CN" w:bidi="ar-SA"/>
    </w:rPr>
  </w:style>
  <w:style w:type="character" w:styleId="93">
    <w:name w:val="HTML Definition"/>
    <w:qFormat/>
    <w:uiPriority w:val="0"/>
    <w:rPr>
      <w:rFonts w:ascii="宋体" w:hAnsi="宋体" w:eastAsia="宋体" w:cs="Courier New"/>
      <w:i/>
      <w:iCs/>
      <w:kern w:val="2"/>
      <w:sz w:val="32"/>
      <w:szCs w:val="32"/>
      <w:lang w:val="en-US" w:eastAsia="zh-CN" w:bidi="ar-SA"/>
    </w:rPr>
  </w:style>
  <w:style w:type="character" w:styleId="94">
    <w:name w:val="HTML Typewriter"/>
    <w:qFormat/>
    <w:uiPriority w:val="0"/>
    <w:rPr>
      <w:rFonts w:ascii="Courier New" w:hAnsi="Courier New" w:eastAsia="宋体" w:cs="Courier New"/>
      <w:kern w:val="2"/>
      <w:sz w:val="20"/>
      <w:szCs w:val="20"/>
      <w:lang w:val="en-US" w:eastAsia="zh-CN" w:bidi="ar-SA"/>
    </w:rPr>
  </w:style>
  <w:style w:type="character" w:styleId="95">
    <w:name w:val="HTML Acronym"/>
    <w:qFormat/>
    <w:uiPriority w:val="0"/>
    <w:rPr>
      <w:rFonts w:ascii="宋体" w:hAnsi="宋体" w:eastAsia="宋体" w:cs="Courier New"/>
      <w:kern w:val="2"/>
      <w:sz w:val="32"/>
      <w:szCs w:val="32"/>
      <w:lang w:val="en-US" w:eastAsia="zh-CN" w:bidi="ar-SA"/>
    </w:rPr>
  </w:style>
  <w:style w:type="character" w:styleId="96">
    <w:name w:val="HTML Variable"/>
    <w:qFormat/>
    <w:uiPriority w:val="0"/>
    <w:rPr>
      <w:rFonts w:ascii="宋体" w:hAnsi="宋体" w:eastAsia="宋体" w:cs="Courier New"/>
      <w:i/>
      <w:iCs/>
      <w:kern w:val="2"/>
      <w:sz w:val="32"/>
      <w:szCs w:val="32"/>
      <w:lang w:val="en-US" w:eastAsia="zh-CN" w:bidi="ar-SA"/>
    </w:rPr>
  </w:style>
  <w:style w:type="character" w:styleId="97">
    <w:name w:val="Hyperlink"/>
    <w:basedOn w:val="87"/>
    <w:unhideWhenUsed/>
    <w:qFormat/>
    <w:uiPriority w:val="99"/>
    <w:rPr>
      <w:color w:val="0000FF" w:themeColor="hyperlink"/>
      <w:u w:val="single"/>
      <w14:textFill>
        <w14:solidFill>
          <w14:schemeClr w14:val="hlink"/>
        </w14:solidFill>
      </w14:textFill>
    </w:rPr>
  </w:style>
  <w:style w:type="character" w:styleId="98">
    <w:name w:val="HTML Code"/>
    <w:qFormat/>
    <w:uiPriority w:val="0"/>
    <w:rPr>
      <w:rFonts w:ascii="Courier New" w:hAnsi="Courier New" w:eastAsia="宋体" w:cs="Courier New"/>
      <w:kern w:val="2"/>
      <w:sz w:val="20"/>
      <w:szCs w:val="20"/>
      <w:lang w:val="en-US" w:eastAsia="zh-CN" w:bidi="ar-SA"/>
    </w:rPr>
  </w:style>
  <w:style w:type="character" w:styleId="99">
    <w:name w:val="annotation reference"/>
    <w:basedOn w:val="87"/>
    <w:qFormat/>
    <w:uiPriority w:val="0"/>
    <w:rPr>
      <w:sz w:val="21"/>
      <w:szCs w:val="21"/>
    </w:rPr>
  </w:style>
  <w:style w:type="character" w:styleId="100">
    <w:name w:val="HTML Cite"/>
    <w:qFormat/>
    <w:uiPriority w:val="0"/>
    <w:rPr>
      <w:rFonts w:ascii="宋体" w:hAnsi="宋体" w:eastAsia="宋体" w:cs="Courier New"/>
      <w:i/>
      <w:iCs/>
      <w:kern w:val="2"/>
      <w:sz w:val="32"/>
      <w:szCs w:val="32"/>
      <w:lang w:val="en-US" w:eastAsia="zh-CN" w:bidi="ar-SA"/>
    </w:rPr>
  </w:style>
  <w:style w:type="character" w:styleId="101">
    <w:name w:val="footnote reference"/>
    <w:qFormat/>
    <w:uiPriority w:val="0"/>
    <w:rPr>
      <w:vertAlign w:val="superscript"/>
    </w:rPr>
  </w:style>
  <w:style w:type="character" w:styleId="102">
    <w:name w:val="HTML Keyboard"/>
    <w:qFormat/>
    <w:uiPriority w:val="0"/>
    <w:rPr>
      <w:rFonts w:ascii="Courier New" w:hAnsi="Courier New" w:eastAsia="宋体" w:cs="Courier New"/>
      <w:kern w:val="2"/>
      <w:sz w:val="20"/>
      <w:szCs w:val="20"/>
      <w:lang w:val="en-US" w:eastAsia="zh-CN" w:bidi="ar-SA"/>
    </w:rPr>
  </w:style>
  <w:style w:type="character" w:styleId="103">
    <w:name w:val="HTML Sample"/>
    <w:qFormat/>
    <w:uiPriority w:val="0"/>
    <w:rPr>
      <w:rFonts w:ascii="Courier New" w:hAnsi="Courier New" w:eastAsia="宋体" w:cs="Courier New"/>
      <w:kern w:val="2"/>
      <w:sz w:val="32"/>
      <w:szCs w:val="32"/>
      <w:lang w:val="en-US" w:eastAsia="zh-CN" w:bidi="ar-SA"/>
    </w:rPr>
  </w:style>
  <w:style w:type="table" w:styleId="105">
    <w:name w:val="Table Grid"/>
    <w:basedOn w:val="104"/>
    <w:qFormat/>
    <w:uiPriority w:val="59"/>
    <w:pPr>
      <w:widowControl w:val="0"/>
      <w:jc w:val="center"/>
    </w:pPr>
    <w:rPr>
      <w:rFonts w:ascii="Times New Roman" w:hAnsi="Times New Roman" w:eastAsia="宋体" w:cs="Times New Roman"/>
      <w:kern w:val="0"/>
      <w:szCs w:val="20"/>
    </w:rPr>
    <w:tblPr>
      <w:tblBorders>
        <w:top w:val="single" w:color="auto" w:sz="4" w:space="0"/>
        <w:bottom w:val="single" w:color="auto" w:sz="4" w:space="0"/>
        <w:insideH w:val="single" w:color="auto" w:sz="4" w:space="0"/>
        <w:insideV w:val="single" w:color="auto" w:sz="4" w:space="0"/>
      </w:tblBorders>
      <w:tblLayout w:type="fixed"/>
      <w:tblCellMar>
        <w:top w:w="0" w:type="dxa"/>
        <w:left w:w="108" w:type="dxa"/>
        <w:bottom w:w="0" w:type="dxa"/>
        <w:right w:w="108" w:type="dxa"/>
      </w:tblCellMar>
    </w:tblPr>
    <w:tcPr>
      <w:vAlign w:val="center"/>
    </w:tcPr>
  </w:style>
  <w:style w:type="table" w:styleId="106">
    <w:name w:val="Table Theme"/>
    <w:basedOn w:val="104"/>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table" w:styleId="107">
    <w:name w:val="Table Colorful 1"/>
    <w:basedOn w:val="104"/>
    <w:uiPriority w:val="0"/>
    <w:pPr>
      <w:widowControl w:val="0"/>
      <w:jc w:val="both"/>
    </w:pPr>
    <w:rPr>
      <w:rFonts w:ascii="Times New Roman" w:hAnsi="Times New Roman" w:eastAsia="宋体" w:cs="Times New Roman"/>
      <w:color w:val="FFFFFF"/>
      <w:kern w:val="0"/>
      <w:sz w:val="20"/>
      <w:szCs w:val="20"/>
    </w:rPr>
    <w:tblPr>
      <w:tblBorders>
        <w:top w:val="single" w:color="008080" w:sz="12" w:space="0"/>
        <w:left w:val="single" w:color="008080" w:sz="12" w:space="0"/>
        <w:bottom w:val="single" w:color="008080" w:sz="12" w:space="0"/>
        <w:right w:val="single" w:color="008080" w:sz="12" w:space="0"/>
        <w:insideH w:val="single" w:color="00FFFF" w:sz="6" w:space="0"/>
      </w:tblBorders>
      <w:tblLayout w:type="fixed"/>
      <w:tblCellMar>
        <w:top w:w="0" w:type="dxa"/>
        <w:left w:w="108" w:type="dxa"/>
        <w:bottom w:w="0" w:type="dxa"/>
        <w:right w:w="108" w:type="dxa"/>
      </w:tblCellMar>
    </w:tblPr>
    <w:tcPr>
      <w:shd w:val="solid" w:color="008080" w:fill="FFFFFF"/>
    </w:tcPr>
    <w:tblStylePr w:type="firstRow">
      <w:rPr>
        <w:b/>
        <w:bCs/>
        <w:i/>
        <w:iCs/>
      </w:rPr>
      <w:tblPr>
        <w:tblLayout w:type="fixed"/>
      </w:tblPr>
      <w:tcPr>
        <w:tcBorders>
          <w:tl2br w:val="nil"/>
          <w:tr2bl w:val="nil"/>
        </w:tcBorders>
        <w:shd w:val="solid" w:color="000000" w:fill="FFFFFF"/>
      </w:tcPr>
    </w:tblStylePr>
    <w:tblStylePr w:type="firstCol">
      <w:rPr>
        <w:b/>
        <w:bCs/>
        <w:i/>
        <w:iCs/>
      </w:rPr>
      <w:tblPr>
        <w:tblLayout w:type="fixed"/>
      </w:tblPr>
      <w:tcPr>
        <w:tcBorders>
          <w:tl2br w:val="nil"/>
          <w:tr2bl w:val="nil"/>
        </w:tcBorders>
        <w:shd w:val="solid" w:color="000080" w:fill="FFFFFF"/>
      </w:tcPr>
    </w:tblStylePr>
    <w:tblStylePr w:type="nwCell">
      <w:tblPr>
        <w:tblLayout w:type="fixed"/>
      </w:tblPr>
      <w:tcPr>
        <w:tcBorders>
          <w:tl2br w:val="nil"/>
          <w:tr2bl w:val="nil"/>
        </w:tcBorders>
        <w:shd w:val="solid" w:color="000000" w:fill="FFFFFF"/>
      </w:tcPr>
    </w:tblStylePr>
    <w:tblStylePr w:type="swCell">
      <w:rPr>
        <w:b/>
        <w:bCs/>
        <w:i w:val="0"/>
        <w:iCs w:val="0"/>
      </w:rPr>
      <w:tblPr>
        <w:tblLayout w:type="fixed"/>
      </w:tblPr>
      <w:tcPr>
        <w:tcBorders>
          <w:tl2br w:val="nil"/>
          <w:tr2bl w:val="nil"/>
        </w:tcBorders>
      </w:tcPr>
    </w:tblStylePr>
  </w:style>
  <w:style w:type="table" w:styleId="108">
    <w:name w:val="Table Colorful 2"/>
    <w:basedOn w:val="104"/>
    <w:uiPriority w:val="0"/>
    <w:pPr>
      <w:widowControl w:val="0"/>
      <w:jc w:val="both"/>
    </w:pPr>
    <w:rPr>
      <w:rFonts w:ascii="Times New Roman" w:hAnsi="Times New Roman" w:eastAsia="宋体" w:cs="Times New Roman"/>
      <w:kern w:val="0"/>
      <w:sz w:val="20"/>
      <w:szCs w:val="20"/>
    </w:rPr>
    <w:tblPr>
      <w:tblBorders>
        <w:bottom w:val="single" w:color="000000" w:sz="12" w:space="0"/>
      </w:tblBorders>
      <w:tblLayout w:type="fixed"/>
      <w:tblCellMar>
        <w:top w:w="0" w:type="dxa"/>
        <w:left w:w="108" w:type="dxa"/>
        <w:bottom w:w="0" w:type="dxa"/>
        <w:right w:w="108" w:type="dxa"/>
      </w:tblCellMar>
    </w:tblPr>
    <w:tcPr>
      <w:shd w:val="pct20" w:color="FFFF00" w:fill="FFFFFF"/>
    </w:tcPr>
    <w:tblStylePr w:type="firstRow">
      <w:rPr>
        <w:b/>
        <w:bCs/>
        <w:i/>
        <w:iCs/>
        <w:color w:val="FFFFFF"/>
      </w:rPr>
      <w:tblPr>
        <w:tblLayout w:type="fixed"/>
      </w:tblPr>
      <w:tcPr>
        <w:tcBorders>
          <w:bottom w:val="single" w:color="000000" w:sz="12" w:space="0"/>
          <w:tl2br w:val="nil"/>
          <w:tr2bl w:val="nil"/>
        </w:tcBorders>
        <w:shd w:val="solid" w:color="800000" w:fill="FFFFFF"/>
      </w:tcPr>
    </w:tblStylePr>
    <w:tblStylePr w:type="firstCol">
      <w:rPr>
        <w:b/>
        <w:bCs/>
        <w:i/>
        <w:iCs/>
      </w:rPr>
      <w:tblPr>
        <w:tblLayout w:type="fixed"/>
      </w:tblPr>
      <w:tcPr>
        <w:tcBorders>
          <w:tl2br w:val="nil"/>
          <w:tr2bl w:val="nil"/>
        </w:tcBorders>
      </w:tcPr>
    </w:tblStylePr>
    <w:tblStylePr w:type="lastCol">
      <w:tblPr>
        <w:tblLayout w:type="fixed"/>
      </w:tblPr>
      <w:tcPr>
        <w:tcBorders>
          <w:tl2br w:val="nil"/>
          <w:tr2bl w:val="nil"/>
        </w:tcBorders>
        <w:shd w:val="solid" w:color="C0C0C0" w:fill="FFFFFF"/>
      </w:tcPr>
    </w:tblStylePr>
    <w:tblStylePr w:type="swCell">
      <w:rPr>
        <w:b/>
        <w:bCs/>
        <w:i w:val="0"/>
        <w:iCs w:val="0"/>
      </w:rPr>
      <w:tblPr>
        <w:tblLayout w:type="fixed"/>
      </w:tblPr>
      <w:tcPr>
        <w:tcBorders>
          <w:tl2br w:val="nil"/>
          <w:tr2bl w:val="nil"/>
        </w:tcBorders>
      </w:tcPr>
    </w:tblStylePr>
  </w:style>
  <w:style w:type="table" w:styleId="109">
    <w:name w:val="Table Colorful 3"/>
    <w:basedOn w:val="104"/>
    <w:uiPriority w:val="0"/>
    <w:pPr>
      <w:widowControl w:val="0"/>
      <w:jc w:val="both"/>
    </w:pPr>
    <w:rPr>
      <w:rFonts w:ascii="Times New Roman" w:hAnsi="Times New Roman" w:eastAsia="宋体" w:cs="Times New Roman"/>
      <w:kern w:val="0"/>
      <w:sz w:val="20"/>
      <w:szCs w:val="20"/>
    </w:rPr>
    <w:tblPr>
      <w:tblBorders>
        <w:top w:val="single" w:color="000000" w:sz="18" w:space="0"/>
        <w:left w:val="single" w:color="000000" w:sz="18" w:space="0"/>
        <w:bottom w:val="single" w:color="000000" w:sz="18" w:space="0"/>
        <w:right w:val="single" w:color="000000" w:sz="18" w:space="0"/>
        <w:insideH w:val="single" w:color="C0C0C0" w:sz="6" w:space="0"/>
      </w:tblBorders>
      <w:tblLayout w:type="fixed"/>
      <w:tblCellMar>
        <w:top w:w="0" w:type="dxa"/>
        <w:left w:w="108" w:type="dxa"/>
        <w:bottom w:w="0" w:type="dxa"/>
        <w:right w:w="108" w:type="dxa"/>
      </w:tblCellMar>
    </w:tblPr>
    <w:tcPr>
      <w:shd w:val="pct25" w:color="008080" w:fill="FFFFFF"/>
    </w:tcPr>
    <w:tblStylePr w:type="firstRow">
      <w:tblPr>
        <w:tblLayout w:type="fixed"/>
      </w:tblPr>
      <w:tcPr>
        <w:tcBorders>
          <w:bottom w:val="single" w:color="000000" w:sz="6" w:space="0"/>
          <w:tl2br w:val="nil"/>
          <w:tr2bl w:val="nil"/>
        </w:tcBorders>
        <w:shd w:val="solid" w:color="008080" w:fill="FFFFFF"/>
      </w:tcPr>
    </w:tblStylePr>
    <w:tblStylePr w:type="firstCol">
      <w:tblPr>
        <w:tblLayout w:type="fixed"/>
      </w:tblPr>
      <w:tcPr>
        <w:tcBorders>
          <w:left w:val="single" w:color="000000" w:sz="36" w:space="0"/>
          <w:right w:val="single" w:color="000000" w:sz="6" w:space="0"/>
          <w:tl2br w:val="nil"/>
          <w:tr2bl w:val="nil"/>
        </w:tcBorders>
        <w:shd w:val="solid" w:color="008080" w:fill="FFFFFF"/>
      </w:tcPr>
    </w:tblStylePr>
    <w:tblStylePr w:type="nwCell">
      <w:rPr>
        <w:b/>
        <w:bCs/>
        <w:color w:val="FFFFFF"/>
      </w:rPr>
      <w:tblPr>
        <w:tblLayout w:type="fixed"/>
      </w:tblPr>
      <w:tcPr>
        <w:tcBorders>
          <w:tl2br w:val="nil"/>
          <w:tr2bl w:val="nil"/>
        </w:tcBorders>
        <w:shd w:val="solid" w:color="000000" w:fill="FFFFFF"/>
      </w:tcPr>
    </w:tblStylePr>
  </w:style>
  <w:style w:type="table" w:styleId="110">
    <w:name w:val="Table Elegant"/>
    <w:basedOn w:val="104"/>
    <w:uiPriority w:val="0"/>
    <w:pPr>
      <w:widowControl w:val="0"/>
      <w:jc w:val="both"/>
    </w:pPr>
    <w:rPr>
      <w:rFonts w:ascii="Times New Roman" w:hAnsi="Times New Roman" w:eastAsia="宋体" w:cs="Times New Roman"/>
      <w:kern w:val="0"/>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caps/>
        <w:color w:val="auto"/>
      </w:rPr>
      <w:tblPr>
        <w:tblLayout w:type="fixed"/>
      </w:tblPr>
      <w:tcPr>
        <w:tcBorders>
          <w:tl2br w:val="nil"/>
          <w:tr2bl w:val="nil"/>
        </w:tcBorders>
      </w:tcPr>
    </w:tblStylePr>
  </w:style>
  <w:style w:type="table" w:styleId="111">
    <w:name w:val="Table Classic 1"/>
    <w:basedOn w:val="104"/>
    <w:uiPriority w:val="0"/>
    <w:pPr>
      <w:widowControl w:val="0"/>
      <w:jc w:val="both"/>
    </w:pPr>
    <w:rPr>
      <w:rFonts w:ascii="Times New Roman" w:hAnsi="Times New Roman" w:eastAsia="宋体" w:cs="Times New Roman"/>
      <w:kern w:val="0"/>
      <w:sz w:val="20"/>
      <w:szCs w:val="20"/>
    </w:rPr>
    <w:tblPr>
      <w:tblBorders>
        <w:top w:val="single" w:color="000000" w:sz="12" w:space="0"/>
        <w:bottom w:val="single" w:color="000000" w:sz="12" w:space="0"/>
      </w:tblBorders>
      <w:tblLayout w:type="fixed"/>
      <w:tblCellMar>
        <w:top w:w="0" w:type="dxa"/>
        <w:left w:w="108" w:type="dxa"/>
        <w:bottom w:w="0" w:type="dxa"/>
        <w:right w:w="108" w:type="dxa"/>
      </w:tblCellMar>
    </w:tblPr>
    <w:tcPr>
      <w:shd w:val="clear" w:color="auto" w:fill="auto"/>
    </w:tcPr>
    <w:tblStylePr w:type="firstRow">
      <w:rPr>
        <w:i/>
        <w:iCs/>
      </w:rPr>
      <w:tblPr>
        <w:tblLayout w:type="fixed"/>
      </w:tblPr>
      <w:tcPr>
        <w:tcBorders>
          <w:bottom w:val="single" w:color="000000" w:sz="6" w:space="0"/>
          <w:tl2br w:val="nil"/>
          <w:tr2bl w:val="nil"/>
        </w:tcBorders>
      </w:tcPr>
    </w:tblStylePr>
    <w:tblStylePr w:type="lastRow">
      <w:rPr>
        <w:color w:val="auto"/>
      </w:rPr>
      <w:tblPr>
        <w:tblLayout w:type="fixed"/>
      </w:tblPr>
      <w:tcPr>
        <w:tcBorders>
          <w:top w:val="single" w:color="000000" w:sz="6" w:space="0"/>
          <w:tl2br w:val="nil"/>
          <w:tr2bl w:val="nil"/>
        </w:tcBorders>
      </w:tcPr>
    </w:tblStylePr>
    <w:tblStylePr w:type="firstCol">
      <w:tblPr>
        <w:tblLayout w:type="fixed"/>
      </w:tblPr>
      <w:tcPr>
        <w:tcBorders>
          <w:right w:val="single" w:color="000000" w:sz="6" w:space="0"/>
          <w:tl2br w:val="nil"/>
          <w:tr2bl w:val="nil"/>
        </w:tcBorders>
      </w:tcPr>
    </w:tblStylePr>
    <w:tblStylePr w:type="neCell">
      <w:rPr>
        <w:b/>
        <w:bCs/>
        <w:i w:val="0"/>
        <w:iCs w:val="0"/>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12">
    <w:name w:val="Table Classic 2"/>
    <w:basedOn w:val="104"/>
    <w:qFormat/>
    <w:uiPriority w:val="0"/>
    <w:pPr>
      <w:widowControl w:val="0"/>
      <w:jc w:val="both"/>
    </w:pPr>
    <w:rPr>
      <w:rFonts w:ascii="Times New Roman" w:hAnsi="Times New Roman" w:eastAsia="宋体" w:cs="Times New Roman"/>
      <w:kern w:val="0"/>
      <w:sz w:val="20"/>
      <w:szCs w:val="20"/>
    </w:rPr>
    <w:tblPr>
      <w:tblBorders>
        <w:top w:val="single" w:color="000000" w:sz="12" w:space="0"/>
        <w:bottom w:val="single" w:color="000000" w:sz="12" w:space="0"/>
      </w:tblBorders>
      <w:tblLayout w:type="fixed"/>
      <w:tblCellMar>
        <w:top w:w="0" w:type="dxa"/>
        <w:left w:w="108" w:type="dxa"/>
        <w:bottom w:w="0" w:type="dxa"/>
        <w:right w:w="108" w:type="dxa"/>
      </w:tblCellMar>
    </w:tblPr>
    <w:tcPr>
      <w:shd w:val="clear" w:color="auto" w:fill="auto"/>
    </w:tcPr>
    <w:tblStylePr w:type="firstRow">
      <w:rPr>
        <w:color w:val="FFFFFF"/>
      </w:rPr>
      <w:tblPr>
        <w:tblLayout w:type="fixed"/>
      </w:tblPr>
      <w:tcPr>
        <w:tcBorders>
          <w:bottom w:val="single" w:color="000000" w:sz="6" w:space="0"/>
          <w:tl2br w:val="nil"/>
          <w:tr2bl w:val="nil"/>
        </w:tcBorders>
        <w:shd w:val="solid" w:color="800080" w:fill="FFFFFF"/>
      </w:tcPr>
    </w:tblStylePr>
    <w:tblStylePr w:type="lastRow">
      <w:tblPr>
        <w:tblLayout w:type="fixed"/>
      </w:tblPr>
      <w:tcPr>
        <w:tcBorders>
          <w:top w:val="single" w:color="000000" w:sz="6" w:space="0"/>
          <w:tl2br w:val="nil"/>
          <w:tr2bl w:val="nil"/>
        </w:tcBorders>
      </w:tcPr>
    </w:tblStylePr>
    <w:tblStylePr w:type="firstCol">
      <w:rPr>
        <w:b/>
        <w:bCs/>
      </w:rPr>
      <w:tblPr>
        <w:tblLayout w:type="fixed"/>
      </w:tblPr>
      <w:tcPr>
        <w:tcBorders>
          <w:tl2br w:val="nil"/>
          <w:tr2bl w:val="nil"/>
        </w:tcBorders>
        <w:shd w:val="solid" w:color="C0C0C0" w:fill="FFFFFF"/>
      </w:tcPr>
    </w:tblStylePr>
    <w:tblStylePr w:type="neCell">
      <w:rPr>
        <w:b/>
        <w:bCs/>
      </w:rPr>
      <w:tblPr>
        <w:tblLayout w:type="fixed"/>
      </w:tblPr>
      <w:tcPr>
        <w:tcBorders>
          <w:tl2br w:val="nil"/>
          <w:tr2bl w:val="nil"/>
        </w:tcBorders>
      </w:tcPr>
    </w:tblStylePr>
    <w:tblStylePr w:type="nwCell">
      <w:tblPr>
        <w:tblLayout w:type="fixed"/>
      </w:tblPr>
      <w:tcPr>
        <w:tcBorders>
          <w:tl2br w:val="nil"/>
          <w:tr2bl w:val="nil"/>
        </w:tcBorders>
        <w:shd w:val="solid" w:color="800080" w:fill="FFFFFF"/>
      </w:tcPr>
    </w:tblStylePr>
    <w:tblStylePr w:type="swCell">
      <w:rPr>
        <w:color w:val="000080"/>
      </w:rPr>
      <w:tblPr>
        <w:tblLayout w:type="fixed"/>
      </w:tblPr>
      <w:tcPr>
        <w:tcBorders>
          <w:tl2br w:val="nil"/>
          <w:tr2bl w:val="nil"/>
        </w:tcBorders>
      </w:tcPr>
    </w:tblStylePr>
  </w:style>
  <w:style w:type="table" w:styleId="113">
    <w:name w:val="Table Classic 3"/>
    <w:basedOn w:val="104"/>
    <w:uiPriority w:val="0"/>
    <w:pPr>
      <w:widowControl w:val="0"/>
      <w:jc w:val="both"/>
    </w:pPr>
    <w:rPr>
      <w:rFonts w:ascii="Times New Roman" w:hAnsi="Times New Roman" w:eastAsia="宋体" w:cs="Times New Roman"/>
      <w:color w:val="000080"/>
      <w:kern w:val="0"/>
      <w:sz w:val="20"/>
      <w:szCs w:val="20"/>
    </w:r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cPr>
      <w:shd w:val="solid" w:color="C0C0C0" w:fill="FFFFFF"/>
    </w:tcPr>
    <w:tblStylePr w:type="firstRow">
      <w:rPr>
        <w:b/>
        <w:bCs/>
        <w:i/>
        <w:iCs/>
        <w:color w:val="FFFFFF"/>
      </w:rPr>
      <w:tblPr>
        <w:tblLayout w:type="fixed"/>
      </w:tblPr>
      <w:tcPr>
        <w:tcBorders>
          <w:bottom w:val="single" w:color="000000" w:sz="6" w:space="0"/>
          <w:tl2br w:val="nil"/>
          <w:tr2bl w:val="nil"/>
        </w:tcBorders>
        <w:shd w:val="solid" w:color="000080" w:fill="FFFFFF"/>
      </w:tcPr>
    </w:tblStylePr>
    <w:tblStylePr w:type="lastRow">
      <w:rPr>
        <w:color w:val="000080"/>
      </w:rPr>
      <w:tblPr>
        <w:tblLayout w:type="fixed"/>
      </w:tblPr>
      <w:tcPr>
        <w:tcBorders>
          <w:top w:val="single" w:color="000000" w:sz="12" w:space="0"/>
          <w:tl2br w:val="nil"/>
          <w:tr2bl w:val="nil"/>
        </w:tcBorders>
        <w:shd w:val="solid" w:color="FFFFFF" w:fill="FFFFFF"/>
      </w:tcPr>
    </w:tblStylePr>
    <w:tblStylePr w:type="firstCol">
      <w:rPr>
        <w:b/>
        <w:bCs/>
        <w:color w:val="000000"/>
      </w:rPr>
      <w:tblPr>
        <w:tblLayout w:type="fixed"/>
      </w:tblPr>
      <w:tcPr>
        <w:tcBorders>
          <w:tl2br w:val="nil"/>
          <w:tr2bl w:val="nil"/>
        </w:tcBorders>
      </w:tcPr>
    </w:tblStylePr>
  </w:style>
  <w:style w:type="table" w:styleId="114">
    <w:name w:val="Table Classic 4"/>
    <w:basedOn w:val="104"/>
    <w:uiPriority w:val="0"/>
    <w:pPr>
      <w:widowControl w:val="0"/>
      <w:jc w:val="both"/>
    </w:pPr>
    <w:rPr>
      <w:rFonts w:ascii="Times New Roman" w:hAnsi="Times New Roman" w:eastAsia="宋体" w:cs="Times New Roman"/>
      <w:kern w:val="0"/>
      <w:sz w:val="20"/>
      <w:szCs w:val="20"/>
    </w:rPr>
    <w:tblPr>
      <w:tblBorders>
        <w:top w:val="single" w:color="000000" w:sz="12" w:space="0"/>
        <w:left w:val="single" w:color="000000" w:sz="6" w:space="0"/>
        <w:bottom w:val="single" w:color="000000" w:sz="12" w:space="0"/>
        <w:right w:val="single" w:color="000000" w:sz="6" w:space="0"/>
      </w:tblBorders>
      <w:tblLayout w:type="fixed"/>
      <w:tblCellMar>
        <w:top w:w="0" w:type="dxa"/>
        <w:left w:w="108" w:type="dxa"/>
        <w:bottom w:w="0" w:type="dxa"/>
        <w:right w:w="108" w:type="dxa"/>
      </w:tblCellMar>
    </w:tblPr>
    <w:tcPr>
      <w:shd w:val="clear" w:color="auto" w:fill="auto"/>
    </w:tcPr>
    <w:tblStylePr w:type="firstRow">
      <w:rPr>
        <w:b/>
        <w:bCs/>
        <w:i/>
        <w:iCs/>
        <w:color w:val="FFFFFF"/>
      </w:rPr>
      <w:tblPr>
        <w:tblLayout w:type="fixed"/>
      </w:tblPr>
      <w:tcPr>
        <w:tcBorders>
          <w:bottom w:val="single" w:color="000000" w:sz="6" w:space="0"/>
          <w:tl2br w:val="nil"/>
          <w:tr2bl w:val="nil"/>
        </w:tcBorders>
        <w:shd w:val="pct50" w:color="000080" w:fill="FFFFFF"/>
      </w:tcPr>
    </w:tblStylePr>
    <w:tblStylePr w:type="lastRow">
      <w:rPr>
        <w:color w:val="000080"/>
      </w:rPr>
      <w:tblPr>
        <w:tblLayout w:type="fixed"/>
      </w:tblPr>
      <w:tcPr>
        <w:tcBorders>
          <w:bottom w:val="single" w:color="000000" w:sz="6" w:space="0"/>
          <w:tl2br w:val="nil"/>
          <w:tr2bl w:val="nil"/>
        </w:tcBorders>
        <w:shd w:val="pct50" w:color="000000" w:fill="FFFFFF"/>
      </w:tcPr>
    </w:tblStylePr>
    <w:tblStylePr w:type="firstCol">
      <w:rPr>
        <w:b/>
        <w:bCs/>
      </w:rPr>
      <w:tblPr>
        <w:tblLayout w:type="fixed"/>
      </w:tblPr>
      <w:tcPr>
        <w:tcBorders>
          <w:tl2br w:val="nil"/>
          <w:tr2bl w:val="nil"/>
        </w:tcBorders>
      </w:tcPr>
    </w:tblStylePr>
    <w:tblStylePr w:type="nwCell">
      <w:rPr>
        <w:b/>
        <w:bCs/>
      </w:rPr>
      <w:tblPr>
        <w:tblLayout w:type="fixed"/>
      </w:tblPr>
      <w:tcPr>
        <w:tcBorders>
          <w:tl2br w:val="nil"/>
          <w:tr2bl w:val="nil"/>
        </w:tcBorders>
      </w:tcPr>
    </w:tblStylePr>
    <w:tblStylePr w:type="swCell">
      <w:rPr>
        <w:color w:val="000080"/>
      </w:rPr>
      <w:tblPr>
        <w:tblLayout w:type="fixed"/>
      </w:tblPr>
      <w:tcPr>
        <w:tcBorders>
          <w:tl2br w:val="nil"/>
          <w:tr2bl w:val="nil"/>
        </w:tcBorders>
      </w:tcPr>
    </w:tblStylePr>
  </w:style>
  <w:style w:type="table" w:styleId="115">
    <w:name w:val="Table Simple 1"/>
    <w:basedOn w:val="104"/>
    <w:uiPriority w:val="0"/>
    <w:pPr>
      <w:widowControl w:val="0"/>
      <w:jc w:val="both"/>
    </w:pPr>
    <w:rPr>
      <w:rFonts w:ascii="Times New Roman" w:hAnsi="Times New Roman" w:eastAsia="宋体" w:cs="Times New Roman"/>
      <w:kern w:val="0"/>
      <w:sz w:val="20"/>
      <w:szCs w:val="20"/>
    </w:rPr>
    <w:tblPr>
      <w:tblBorders>
        <w:top w:val="single" w:color="008000" w:sz="12" w:space="0"/>
        <w:bottom w:val="single" w:color="008000" w:sz="12"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bottom w:val="single" w:color="008000" w:sz="6" w:space="0"/>
          <w:tl2br w:val="nil"/>
          <w:tr2bl w:val="nil"/>
        </w:tcBorders>
      </w:tcPr>
    </w:tblStylePr>
    <w:tblStylePr w:type="lastRow">
      <w:tblPr>
        <w:tblLayout w:type="fixed"/>
      </w:tblPr>
      <w:tcPr>
        <w:tcBorders>
          <w:top w:val="single" w:color="008000" w:sz="6" w:space="0"/>
          <w:tl2br w:val="nil"/>
          <w:tr2bl w:val="nil"/>
        </w:tcBorders>
      </w:tcPr>
    </w:tblStylePr>
  </w:style>
  <w:style w:type="table" w:styleId="116">
    <w:name w:val="Table Simple 2"/>
    <w:basedOn w:val="104"/>
    <w:qFormat/>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blStylePr w:type="firstRow">
      <w:rPr>
        <w:b/>
        <w:bCs/>
      </w:rPr>
      <w:tblPr>
        <w:tblLayout w:type="fixed"/>
      </w:tblPr>
      <w:tcPr>
        <w:tcBorders>
          <w:bottom w:val="single" w:color="000000" w:sz="12" w:space="0"/>
          <w:tl2br w:val="nil"/>
          <w:tr2bl w:val="nil"/>
        </w:tcBorders>
      </w:tcPr>
    </w:tblStylePr>
    <w:tblStylePr w:type="lastRow">
      <w:rPr>
        <w:b/>
        <w:bCs/>
        <w:color w:val="auto"/>
      </w:rPr>
      <w:tblPr>
        <w:tblLayout w:type="fixed"/>
      </w:tblPr>
      <w:tcPr>
        <w:tcBorders>
          <w:top w:val="single" w:color="000000" w:sz="6" w:space="0"/>
          <w:tl2br w:val="nil"/>
          <w:tr2bl w:val="nil"/>
        </w:tcBorders>
      </w:tcPr>
    </w:tblStylePr>
    <w:tblStylePr w:type="firstCol">
      <w:rPr>
        <w:b/>
        <w:bCs/>
      </w:rPr>
      <w:tblPr>
        <w:tblLayout w:type="fixed"/>
      </w:tblPr>
      <w:tcPr>
        <w:tcBorders>
          <w:right w:val="single" w:color="000000" w:sz="12" w:space="0"/>
          <w:tl2br w:val="nil"/>
          <w:tr2bl w:val="nil"/>
        </w:tcBorders>
      </w:tcPr>
    </w:tblStylePr>
    <w:tblStylePr w:type="lastCol">
      <w:rPr>
        <w:b/>
        <w:bCs/>
      </w:rPr>
      <w:tblPr>
        <w:tblLayout w:type="fixed"/>
      </w:tblPr>
      <w:tcPr>
        <w:tcBorders>
          <w:left w:val="single" w:color="000000" w:sz="6" w:space="0"/>
          <w:tl2br w:val="nil"/>
          <w:tr2bl w:val="nil"/>
        </w:tcBorders>
      </w:tcPr>
    </w:tblStylePr>
    <w:tblStylePr w:type="neCell">
      <w:rPr>
        <w:b/>
        <w:bCs/>
      </w:rPr>
      <w:tblPr>
        <w:tblLayout w:type="fixed"/>
      </w:tblPr>
      <w:tcPr>
        <w:tcBorders>
          <w:left w:val="nil"/>
          <w:tl2br w:val="nil"/>
          <w:tr2bl w:val="nil"/>
        </w:tcBorders>
      </w:tcPr>
    </w:tblStylePr>
    <w:tblStylePr w:type="swCell">
      <w:rPr>
        <w:b/>
        <w:bCs/>
      </w:rPr>
      <w:tblPr>
        <w:tblLayout w:type="fixed"/>
      </w:tblPr>
      <w:tcPr>
        <w:tcBorders>
          <w:top w:val="nil"/>
          <w:tl2br w:val="nil"/>
          <w:tr2bl w:val="nil"/>
        </w:tcBorders>
      </w:tcPr>
    </w:tblStylePr>
  </w:style>
  <w:style w:type="table" w:styleId="117">
    <w:name w:val="Table Simple 3"/>
    <w:basedOn w:val="104"/>
    <w:uiPriority w:val="0"/>
    <w:pPr>
      <w:widowControl w:val="0"/>
      <w:jc w:val="both"/>
    </w:pPr>
    <w:rPr>
      <w:rFonts w:ascii="Times New Roman" w:hAnsi="Times New Roman" w:eastAsia="宋体" w:cs="Times New Roman"/>
      <w:kern w:val="0"/>
      <w:sz w:val="20"/>
      <w:szCs w:val="20"/>
    </w:r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tl2br w:val="nil"/>
          <w:tr2bl w:val="nil"/>
        </w:tcBorders>
        <w:shd w:val="solid" w:color="000000" w:fill="FFFFFF"/>
      </w:tcPr>
    </w:tblStylePr>
  </w:style>
  <w:style w:type="table" w:styleId="118">
    <w:name w:val="Table Subtle 1"/>
    <w:basedOn w:val="104"/>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blStylePr w:type="firstRow">
      <w:tblPr>
        <w:tblLayout w:type="fixed"/>
      </w:tblPr>
      <w:tcPr>
        <w:tcBorders>
          <w:top w:val="single" w:color="000000" w:sz="6" w:space="0"/>
          <w:bottom w:val="single" w:color="000000" w:sz="12" w:space="0"/>
          <w:tl2br w:val="nil"/>
          <w:tr2bl w:val="nil"/>
        </w:tcBorders>
      </w:tcPr>
    </w:tblStylePr>
    <w:tblStylePr w:type="lastRow">
      <w:tblPr>
        <w:tblLayout w:type="fixed"/>
      </w:tblPr>
      <w:tcPr>
        <w:tcBorders>
          <w:top w:val="single" w:color="000000" w:sz="12" w:space="0"/>
          <w:tl2br w:val="nil"/>
          <w:tr2bl w:val="nil"/>
        </w:tcBorders>
        <w:shd w:val="pct25" w:color="800080" w:fill="FFFFFF"/>
      </w:tcPr>
    </w:tblStylePr>
    <w:tblStylePr w:type="firstCol">
      <w:tblPr>
        <w:tblLayout w:type="fixed"/>
      </w:tblPr>
      <w:tcPr>
        <w:tcBorders>
          <w:right w:val="single" w:color="000000" w:sz="12" w:space="0"/>
          <w:tl2br w:val="nil"/>
          <w:tr2bl w:val="nil"/>
        </w:tcBorders>
      </w:tcPr>
    </w:tblStylePr>
    <w:tblStylePr w:type="lastCol">
      <w:tblPr>
        <w:tblLayout w:type="fixed"/>
      </w:tblPr>
      <w:tcPr>
        <w:tcBorders>
          <w:left w:val="single" w:color="000000" w:sz="12" w:space="0"/>
          <w:tl2br w:val="nil"/>
          <w:tr2bl w:val="nil"/>
        </w:tcBorders>
      </w:tcPr>
    </w:tblStylePr>
    <w:tblStylePr w:type="band1Horz">
      <w:tblPr>
        <w:tblLayout w:type="fixed"/>
      </w:tblPr>
      <w:tcPr>
        <w:tcBorders>
          <w:bottom w:val="single" w:color="000000" w:sz="6" w:space="0"/>
          <w:tl2br w:val="nil"/>
          <w:tr2bl w:val="nil"/>
        </w:tcBorders>
        <w:shd w:val="pct25" w:color="808000" w:fill="FFFFFF"/>
      </w:tcPr>
    </w:tblStylePr>
    <w:tblStylePr w:type="neCell">
      <w:rPr>
        <w:b/>
        <w:bCs/>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19">
    <w:name w:val="Table Subtle 2"/>
    <w:basedOn w:val="104"/>
    <w:uiPriority w:val="0"/>
    <w:pPr>
      <w:widowControl w:val="0"/>
      <w:jc w:val="both"/>
    </w:pPr>
    <w:rPr>
      <w:rFonts w:ascii="Times New Roman" w:hAnsi="Times New Roman" w:eastAsia="宋体" w:cs="Times New Roman"/>
      <w:kern w:val="0"/>
      <w:sz w:val="20"/>
      <w:szCs w:val="20"/>
    </w:rPr>
    <w:tblPr>
      <w:tblBorders>
        <w:left w:val="single" w:color="000000" w:sz="6" w:space="0"/>
        <w:right w:val="single" w:color="000000" w:sz="6" w:space="0"/>
      </w:tblBorders>
      <w:tblLayout w:type="fixed"/>
      <w:tblCellMar>
        <w:top w:w="0" w:type="dxa"/>
        <w:left w:w="108" w:type="dxa"/>
        <w:bottom w:w="0" w:type="dxa"/>
        <w:right w:w="108" w:type="dxa"/>
      </w:tblCellMar>
    </w:tblPr>
    <w:tblStylePr w:type="firstRow">
      <w:tblPr>
        <w:tblLayout w:type="fixed"/>
      </w:tblPr>
      <w:tcPr>
        <w:tcBorders>
          <w:bottom w:val="single" w:color="000000" w:sz="12" w:space="0"/>
          <w:tl2br w:val="nil"/>
          <w:tr2bl w:val="nil"/>
        </w:tcBorders>
      </w:tcPr>
    </w:tblStylePr>
    <w:tblStylePr w:type="lastRow">
      <w:tblPr>
        <w:tblLayout w:type="fixed"/>
      </w:tblPr>
      <w:tcPr>
        <w:tcBorders>
          <w:top w:val="single" w:color="000000" w:sz="12" w:space="0"/>
          <w:tl2br w:val="nil"/>
          <w:tr2bl w:val="nil"/>
        </w:tcBorders>
      </w:tcPr>
    </w:tblStylePr>
    <w:tblStylePr w:type="firstCol">
      <w:tblPr>
        <w:tblLayout w:type="fixed"/>
      </w:tblPr>
      <w:tcPr>
        <w:tcBorders>
          <w:right w:val="single" w:color="000000" w:sz="12" w:space="0"/>
          <w:tl2br w:val="nil"/>
          <w:tr2bl w:val="nil"/>
        </w:tcBorders>
        <w:shd w:val="pct25" w:color="008000" w:fill="FFFFFF"/>
      </w:tcPr>
    </w:tblStylePr>
    <w:tblStylePr w:type="lastCol">
      <w:tblPr>
        <w:tblLayout w:type="fixed"/>
      </w:tblPr>
      <w:tcPr>
        <w:tcBorders>
          <w:left w:val="single" w:color="000000" w:sz="12" w:space="0"/>
          <w:tl2br w:val="nil"/>
          <w:tr2bl w:val="nil"/>
        </w:tcBorders>
        <w:shd w:val="pct25" w:color="808000" w:fill="FFFFFF"/>
      </w:tcPr>
    </w:tblStylePr>
    <w:tblStylePr w:type="neCell">
      <w:rPr>
        <w:b/>
        <w:bCs/>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20">
    <w:name w:val="Table 3D effects 1"/>
    <w:basedOn w:val="104"/>
    <w:qFormat/>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cPr>
      <w:shd w:val="solid" w:color="C0C0C0" w:fill="FFFFFF"/>
    </w:tcPr>
    <w:tblStylePr w:type="firstRow">
      <w:rPr>
        <w:b/>
        <w:bCs/>
        <w:color w:val="800080"/>
      </w:rPr>
      <w:tblPr>
        <w:tblLayout w:type="fixed"/>
      </w:tblPr>
      <w:tcPr>
        <w:tcBorders>
          <w:bottom w:val="single" w:color="808080" w:sz="6" w:space="0"/>
          <w:tl2br w:val="nil"/>
          <w:tr2bl w:val="nil"/>
        </w:tcBorders>
      </w:tcPr>
    </w:tblStylePr>
    <w:tblStylePr w:type="lastRow">
      <w:tblPr>
        <w:tblLayout w:type="fixed"/>
      </w:tblPr>
      <w:tcPr>
        <w:tcBorders>
          <w:top w:val="single" w:color="FFFFFF" w:sz="6" w:space="0"/>
          <w:tl2br w:val="nil"/>
          <w:tr2bl w:val="nil"/>
        </w:tcBorders>
      </w:tcPr>
    </w:tblStylePr>
    <w:tblStylePr w:type="firstCol">
      <w:rPr>
        <w:b/>
        <w:bCs/>
      </w:rPr>
      <w:tblPr>
        <w:tblLayout w:type="fixed"/>
      </w:tblPr>
      <w:tcPr>
        <w:tcBorders>
          <w:right w:val="single" w:color="808080" w:sz="6" w:space="0"/>
          <w:tl2br w:val="nil"/>
          <w:tr2bl w:val="nil"/>
        </w:tcBorders>
      </w:tcPr>
    </w:tblStylePr>
    <w:tblStylePr w:type="lastCol">
      <w:tblPr>
        <w:tblLayout w:type="fixed"/>
      </w:tblPr>
      <w:tcPr>
        <w:tcBorders>
          <w:left w:val="single" w:color="FFFFFF" w:sz="6" w:space="0"/>
          <w:tl2br w:val="nil"/>
          <w:tr2bl w:val="nil"/>
        </w:tcBorders>
      </w:tcPr>
    </w:tblStylePr>
    <w:tblStylePr w:type="neCell">
      <w:tblPr>
        <w:tblLayout w:type="fixed"/>
      </w:tblPr>
      <w:tcPr>
        <w:tcBorders>
          <w:left w:val="nil"/>
          <w:bottom w:val="nil"/>
          <w:tl2br w:val="nil"/>
          <w:tr2bl w:val="nil"/>
        </w:tcBorders>
      </w:tcPr>
    </w:tblStylePr>
    <w:tblStylePr w:type="nwCell">
      <w:tblPr>
        <w:tblLayout w:type="fixed"/>
      </w:tblPr>
      <w:tcPr>
        <w:tcBorders>
          <w:bottom w:val="nil"/>
          <w:right w:val="nil"/>
          <w:tl2br w:val="nil"/>
          <w:tr2bl w:val="nil"/>
        </w:tcBorders>
      </w:tcPr>
    </w:tblStylePr>
    <w:tblStylePr w:type="seCell">
      <w:tblPr>
        <w:tblLayout w:type="fixed"/>
      </w:tblPr>
      <w:tcPr>
        <w:tcBorders>
          <w:top w:val="nil"/>
          <w:left w:val="nil"/>
          <w:tl2br w:val="nil"/>
          <w:tr2bl w:val="nil"/>
        </w:tcBorders>
      </w:tcPr>
    </w:tblStylePr>
    <w:tblStylePr w:type="swCell">
      <w:rPr>
        <w:color w:val="000080"/>
      </w:rPr>
      <w:tblPr>
        <w:tblLayout w:type="fixed"/>
      </w:tblPr>
      <w:tcPr>
        <w:tcBorders>
          <w:top w:val="nil"/>
          <w:right w:val="nil"/>
          <w:tl2br w:val="nil"/>
          <w:tr2bl w:val="nil"/>
        </w:tcBorders>
      </w:tcPr>
    </w:tblStylePr>
  </w:style>
  <w:style w:type="table" w:styleId="121">
    <w:name w:val="Table 3D effects 2"/>
    <w:basedOn w:val="104"/>
    <w:qFormat/>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cPr>
      <w:shd w:val="solid" w:color="C0C0C0" w:fill="FFFFFF"/>
    </w:tcPr>
    <w:tblStylePr w:type="firstRow">
      <w:rPr>
        <w:b/>
        <w:bCs/>
      </w:rPr>
      <w:tblPr>
        <w:tblLayout w:type="fixed"/>
      </w:tblPr>
      <w:tcPr>
        <w:tcBorders>
          <w:tl2br w:val="nil"/>
          <w:tr2bl w:val="nil"/>
        </w:tcBorders>
      </w:tcPr>
    </w:tblStylePr>
    <w:tblStylePr w:type="firstCol">
      <w:tblPr>
        <w:tblLayout w:type="fixed"/>
      </w:tblPr>
      <w:tcPr>
        <w:tcBorders>
          <w:top w:val="nil"/>
          <w:bottom w:val="nil"/>
          <w:right w:val="single" w:color="808080" w:sz="6" w:space="0"/>
          <w:tl2br w:val="nil"/>
          <w:tr2bl w:val="nil"/>
        </w:tcBorders>
      </w:tcPr>
    </w:tblStylePr>
    <w:tblStylePr w:type="lastCol">
      <w:tblPr>
        <w:tblLayout w:type="fixed"/>
      </w:tblPr>
      <w:tcPr>
        <w:tcBorders>
          <w:right w:val="single" w:color="FFFFFF" w:sz="6" w:space="0"/>
          <w:tl2br w:val="nil"/>
          <w:tr2bl w:val="nil"/>
        </w:tcBorders>
      </w:tcPr>
    </w:tblStylePr>
    <w:tblStylePr w:type="band1Horz">
      <w:tblPr>
        <w:tblLayout w:type="fixed"/>
      </w:tblPr>
      <w:tcPr>
        <w:tcBorders>
          <w:top w:val="single" w:color="808080" w:sz="6" w:space="0"/>
          <w:bottom w:val="single" w:color="FFFFFF" w:sz="6" w:space="0"/>
          <w:tl2br w:val="nil"/>
          <w:tr2bl w:val="nil"/>
        </w:tcBorders>
      </w:tcPr>
    </w:tblStylePr>
    <w:tblStylePr w:type="swCell">
      <w:rPr>
        <w:b/>
        <w:bCs/>
      </w:rPr>
      <w:tblPr>
        <w:tblLayout w:type="fixed"/>
      </w:tblPr>
      <w:tcPr>
        <w:tcBorders>
          <w:tl2br w:val="nil"/>
          <w:tr2bl w:val="nil"/>
        </w:tcBorders>
      </w:tcPr>
    </w:tblStylePr>
  </w:style>
  <w:style w:type="table" w:styleId="122">
    <w:name w:val="Table 3D effects 3"/>
    <w:basedOn w:val="104"/>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blStylePr w:type="firstRow">
      <w:rPr>
        <w:b/>
        <w:bCs/>
      </w:rPr>
      <w:tblPr>
        <w:tblLayout w:type="fixed"/>
      </w:tblPr>
      <w:tcPr>
        <w:tcBorders>
          <w:tl2br w:val="nil"/>
          <w:tr2bl w:val="nil"/>
        </w:tcBorders>
      </w:tcPr>
    </w:tblStylePr>
    <w:tblStylePr w:type="firstCol">
      <w:tblPr>
        <w:tblLayout w:type="fixed"/>
      </w:tblPr>
      <w:tcPr>
        <w:tcBorders>
          <w:top w:val="nil"/>
          <w:bottom w:val="nil"/>
          <w:right w:val="single" w:color="808080" w:sz="6" w:space="0"/>
          <w:tl2br w:val="nil"/>
          <w:tr2bl w:val="nil"/>
        </w:tcBorders>
      </w:tcPr>
    </w:tblStylePr>
    <w:tblStylePr w:type="lastCol">
      <w:tblPr>
        <w:tblLayout w:type="fixed"/>
      </w:tblPr>
      <w:tcPr>
        <w:tcBorders>
          <w:right w:val="single" w:color="FFFFFF" w:sz="6" w:space="0"/>
          <w:tl2br w:val="nil"/>
          <w:tr2bl w:val="nil"/>
        </w:tcBorders>
      </w:tcPr>
    </w:tblStylePr>
    <w:tblStylePr w:type="band1Vert">
      <w:rPr>
        <w:color w:val="auto"/>
      </w:rPr>
      <w:tblPr>
        <w:tblLayout w:type="fixed"/>
      </w:tblPr>
      <w:tcPr>
        <w:shd w:val="solid" w:color="C0C0C0" w:fill="FFFFFF"/>
      </w:tcPr>
    </w:tblStylePr>
    <w:tblStylePr w:type="band2Vert">
      <w:rPr>
        <w:color w:val="auto"/>
      </w:rPr>
      <w:tblPr>
        <w:tblLayout w:type="fixed"/>
      </w:tblPr>
      <w:tcPr>
        <w:shd w:val="pct50" w:color="C0C0C0" w:fill="FFFFFF"/>
      </w:tcPr>
    </w:tblStylePr>
    <w:tblStylePr w:type="band1Horz">
      <w:tblPr>
        <w:tblLayout w:type="fixed"/>
      </w:tblPr>
      <w:tcPr>
        <w:tcBorders>
          <w:top w:val="single" w:color="808080" w:sz="6" w:space="0"/>
          <w:bottom w:val="single" w:color="FFFFFF" w:sz="6" w:space="0"/>
          <w:tl2br w:val="nil"/>
          <w:tr2bl w:val="nil"/>
        </w:tcBorders>
      </w:tcPr>
    </w:tblStylePr>
    <w:tblStylePr w:type="swCell">
      <w:rPr>
        <w:b/>
        <w:bCs/>
      </w:rPr>
      <w:tblPr>
        <w:tblLayout w:type="fixed"/>
      </w:tblPr>
      <w:tcPr>
        <w:tcBorders>
          <w:tl2br w:val="nil"/>
          <w:tr2bl w:val="nil"/>
        </w:tcBorders>
      </w:tcPr>
    </w:tblStylePr>
  </w:style>
  <w:style w:type="table" w:styleId="123">
    <w:name w:val="Table List 1"/>
    <w:basedOn w:val="104"/>
    <w:uiPriority w:val="0"/>
    <w:pPr>
      <w:widowControl w:val="0"/>
      <w:jc w:val="both"/>
    </w:pPr>
    <w:rPr>
      <w:rFonts w:ascii="Times New Roman" w:hAnsi="Times New Roman" w:eastAsia="宋体" w:cs="Times New Roman"/>
      <w:kern w:val="0"/>
      <w:sz w:val="20"/>
      <w:szCs w:val="20"/>
    </w:rPr>
    <w:tblPr>
      <w:tblBorders>
        <w:top w:val="single" w:color="008080" w:sz="12" w:space="0"/>
        <w:left w:val="single" w:color="008080" w:sz="6" w:space="0"/>
        <w:bottom w:val="single" w:color="008080" w:sz="12" w:space="0"/>
        <w:right w:val="single" w:color="008080" w:sz="6" w:space="0"/>
      </w:tblBorders>
      <w:tblLayout w:type="fixed"/>
      <w:tblCellMar>
        <w:top w:w="0" w:type="dxa"/>
        <w:left w:w="108" w:type="dxa"/>
        <w:bottom w:w="0" w:type="dxa"/>
        <w:right w:w="108" w:type="dxa"/>
      </w:tblCellMar>
    </w:tblPr>
    <w:tblStylePr w:type="firstRow">
      <w:rPr>
        <w:b/>
        <w:bCs/>
        <w:i/>
        <w:iCs/>
        <w:color w:val="800000"/>
      </w:rPr>
      <w:tblPr>
        <w:tblLayout w:type="fixed"/>
      </w:tblPr>
      <w:tcPr>
        <w:tcBorders>
          <w:bottom w:val="single" w:color="000000" w:sz="6" w:space="0"/>
          <w:tl2br w:val="nil"/>
          <w:tr2bl w:val="nil"/>
        </w:tcBorders>
        <w:shd w:val="solid" w:color="C0C0C0" w:fill="FFFFFF"/>
      </w:tcPr>
    </w:tblStylePr>
    <w:tblStylePr w:type="lastRow">
      <w:tblPr>
        <w:tblLayout w:type="fixed"/>
      </w:tblPr>
      <w:tcPr>
        <w:tcBorders>
          <w:top w:val="single" w:color="000000" w:sz="6" w:space="0"/>
          <w:tl2br w:val="nil"/>
          <w:tr2bl w:val="nil"/>
        </w:tcBorders>
      </w:tcPr>
    </w:tblStylePr>
    <w:tblStylePr w:type="band1Horz">
      <w:rPr>
        <w:color w:val="auto"/>
      </w:rPr>
      <w:tblPr>
        <w:tblLayout w:type="fixed"/>
      </w:tblPr>
      <w:tcPr>
        <w:tcBorders>
          <w:tl2br w:val="nil"/>
          <w:tr2bl w:val="nil"/>
        </w:tcBorders>
        <w:shd w:val="solid" w:color="C0C0C0" w:fill="FFFFFF"/>
      </w:tcPr>
    </w:tblStylePr>
    <w:tblStylePr w:type="band2Horz">
      <w:rPr>
        <w:color w:val="auto"/>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24">
    <w:name w:val="Table List 2"/>
    <w:basedOn w:val="104"/>
    <w:uiPriority w:val="0"/>
    <w:pPr>
      <w:widowControl w:val="0"/>
      <w:jc w:val="both"/>
    </w:pPr>
    <w:rPr>
      <w:rFonts w:ascii="Times New Roman" w:hAnsi="Times New Roman" w:eastAsia="宋体" w:cs="Times New Roman"/>
      <w:kern w:val="0"/>
      <w:sz w:val="20"/>
      <w:szCs w:val="20"/>
    </w:rPr>
    <w:tblPr>
      <w:tblBorders>
        <w:bottom w:val="single" w:color="808080" w:sz="12" w:space="0"/>
      </w:tblBorders>
      <w:tblLayout w:type="fixed"/>
      <w:tblCellMar>
        <w:top w:w="0" w:type="dxa"/>
        <w:left w:w="108" w:type="dxa"/>
        <w:bottom w:w="0" w:type="dxa"/>
        <w:right w:w="108" w:type="dxa"/>
      </w:tblCellMar>
    </w:tblPr>
    <w:tblStylePr w:type="firstRow">
      <w:rPr>
        <w:b/>
        <w:bCs/>
        <w:color w:val="FFFFFF"/>
      </w:rPr>
      <w:tblPr>
        <w:tblLayout w:type="fixed"/>
      </w:tblPr>
      <w:tcPr>
        <w:tcBorders>
          <w:bottom w:val="single" w:color="000000" w:sz="6" w:space="0"/>
          <w:tl2br w:val="nil"/>
          <w:tr2bl w:val="nil"/>
        </w:tcBorders>
        <w:shd w:val="pct75" w:color="008080" w:fill="008000"/>
      </w:tcPr>
    </w:tblStylePr>
    <w:tblStylePr w:type="lastRow">
      <w:tblPr>
        <w:tblLayout w:type="fixed"/>
      </w:tblPr>
      <w:tcPr>
        <w:tcBorders>
          <w:top w:val="single" w:color="000000" w:sz="6" w:space="0"/>
          <w:tl2br w:val="nil"/>
          <w:tr2bl w:val="nil"/>
        </w:tcBorders>
      </w:tcPr>
    </w:tblStylePr>
    <w:tblStylePr w:type="band1Horz">
      <w:rPr>
        <w:color w:val="auto"/>
      </w:rPr>
      <w:tblPr>
        <w:tblLayout w:type="fixed"/>
      </w:tblPr>
      <w:tcPr>
        <w:tcBorders>
          <w:tl2br w:val="nil"/>
          <w:tr2bl w:val="nil"/>
        </w:tcBorders>
        <w:shd w:val="pct20" w:color="00FF00" w:fill="FFFFFF"/>
      </w:tcPr>
    </w:tblStylePr>
    <w:tblStylePr w:type="band2Horz">
      <w:rPr>
        <w:color w:val="auto"/>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25">
    <w:name w:val="Table List 3"/>
    <w:basedOn w:val="104"/>
    <w:uiPriority w:val="0"/>
    <w:pPr>
      <w:widowControl w:val="0"/>
      <w:jc w:val="both"/>
    </w:pPr>
    <w:rPr>
      <w:rFonts w:ascii="Times New Roman" w:hAnsi="Times New Roman" w:eastAsia="宋体" w:cs="Times New Roman"/>
      <w:kern w:val="0"/>
      <w:sz w:val="20"/>
      <w:szCs w:val="20"/>
    </w:rPr>
    <w:tblPr>
      <w:tblBorders>
        <w:top w:val="single" w:color="000000" w:sz="12" w:space="0"/>
        <w:bottom w:val="single" w:color="000000" w:sz="12" w:space="0"/>
        <w:insideH w:val="single" w:color="000000" w:sz="6" w:space="0"/>
      </w:tblBorders>
      <w:tblLayout w:type="fixed"/>
      <w:tblCellMar>
        <w:top w:w="0" w:type="dxa"/>
        <w:left w:w="108" w:type="dxa"/>
        <w:bottom w:w="0" w:type="dxa"/>
        <w:right w:w="108" w:type="dxa"/>
      </w:tblCellMar>
    </w:tblPr>
    <w:tcPr>
      <w:shd w:val="clear" w:color="auto" w:fill="auto"/>
    </w:tcPr>
    <w:tblStylePr w:type="firstRow">
      <w:rPr>
        <w:b/>
        <w:bCs/>
        <w:color w:val="000080"/>
      </w:rPr>
      <w:tblPr>
        <w:tblLayout w:type="fixed"/>
      </w:tblPr>
      <w:tcPr>
        <w:tcBorders>
          <w:bottom w:val="single" w:color="000000" w:sz="12" w:space="0"/>
          <w:tl2br w:val="nil"/>
          <w:tr2bl w:val="nil"/>
        </w:tcBorders>
      </w:tcPr>
    </w:tblStylePr>
    <w:tblStylePr w:type="lastRow">
      <w:tblPr>
        <w:tblLayout w:type="fixed"/>
      </w:tblPr>
      <w:tcPr>
        <w:tcBorders>
          <w:top w:val="single" w:color="000000" w:sz="12" w:space="0"/>
          <w:tl2br w:val="nil"/>
          <w:tr2bl w:val="nil"/>
        </w:tcBorders>
      </w:tcPr>
    </w:tblStylePr>
    <w:tblStylePr w:type="swCell">
      <w:rPr>
        <w:i/>
        <w:iCs/>
        <w:color w:val="000080"/>
      </w:rPr>
      <w:tblPr>
        <w:tblLayout w:type="fixed"/>
      </w:tblPr>
      <w:tcPr>
        <w:tcBorders>
          <w:tl2br w:val="nil"/>
          <w:tr2bl w:val="nil"/>
        </w:tcBorders>
      </w:tcPr>
    </w:tblStylePr>
  </w:style>
  <w:style w:type="table" w:styleId="126">
    <w:name w:val="Table List 4"/>
    <w:basedOn w:val="104"/>
    <w:uiPriority w:val="0"/>
    <w:pPr>
      <w:widowControl w:val="0"/>
      <w:jc w:val="both"/>
    </w:pPr>
    <w:rPr>
      <w:rFonts w:ascii="Times New Roman" w:hAnsi="Times New Roman" w:eastAsia="宋体" w:cs="Times New Roman"/>
      <w:kern w:val="0"/>
      <w:sz w:val="20"/>
      <w:szCs w:val="20"/>
    </w:rPr>
    <w:tblPr>
      <w:tblBorders>
        <w:top w:val="single" w:color="000000" w:sz="12" w:space="0"/>
        <w:left w:val="single" w:color="000000" w:sz="12" w:space="0"/>
        <w:bottom w:val="single" w:color="000000" w:sz="12" w:space="0"/>
        <w:right w:val="single" w:color="000000" w:sz="12" w:space="0"/>
        <w:insideH w:val="single" w:color="000000" w:sz="6"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bottom w:val="single" w:color="000000" w:sz="12" w:space="0"/>
          <w:tl2br w:val="nil"/>
          <w:tr2bl w:val="nil"/>
        </w:tcBorders>
        <w:shd w:val="solid" w:color="808080" w:fill="FFFFFF"/>
      </w:tcPr>
    </w:tblStylePr>
  </w:style>
  <w:style w:type="table" w:styleId="127">
    <w:name w:val="Table List 5"/>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6" w:space="0"/>
        <w:bottom w:val="single" w:color="000000" w:sz="6" w:space="0"/>
        <w:right w:val="single" w:color="000000" w:sz="6" w:space="0"/>
        <w:insideH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bottom w:val="single" w:color="000000" w:sz="12" w:space="0"/>
          <w:tl2br w:val="nil"/>
          <w:tr2bl w:val="nil"/>
        </w:tcBorders>
      </w:tcPr>
    </w:tblStylePr>
    <w:tblStylePr w:type="firstCol">
      <w:rPr>
        <w:b/>
        <w:bCs/>
      </w:rPr>
      <w:tblPr>
        <w:tblLayout w:type="fixed"/>
      </w:tblPr>
      <w:tcPr>
        <w:tcBorders>
          <w:tl2br w:val="nil"/>
          <w:tr2bl w:val="nil"/>
        </w:tcBorders>
      </w:tcPr>
    </w:tblStylePr>
  </w:style>
  <w:style w:type="table" w:styleId="128">
    <w:name w:val="Table List 6"/>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6" w:space="0"/>
        <w:bottom w:val="single" w:color="000000" w:sz="6" w:space="0"/>
        <w:right w:val="single" w:color="000000" w:sz="6" w:space="0"/>
      </w:tblBorders>
      <w:tblLayout w:type="fixed"/>
      <w:tblCellMar>
        <w:top w:w="0" w:type="dxa"/>
        <w:left w:w="108" w:type="dxa"/>
        <w:bottom w:w="0" w:type="dxa"/>
        <w:right w:w="108" w:type="dxa"/>
      </w:tblCellMar>
    </w:tblPr>
    <w:tcPr>
      <w:shd w:val="pct50" w:color="000000" w:fill="FFFFFF"/>
    </w:tcPr>
    <w:tblStylePr w:type="firstRow">
      <w:rPr>
        <w:b/>
        <w:bCs/>
      </w:rPr>
      <w:tblPr>
        <w:tblLayout w:type="fixed"/>
      </w:tblPr>
      <w:tcPr>
        <w:tcBorders>
          <w:bottom w:val="single" w:color="000000" w:sz="12" w:space="0"/>
          <w:tl2br w:val="nil"/>
          <w:tr2bl w:val="nil"/>
        </w:tcBorders>
      </w:tcPr>
    </w:tblStylePr>
    <w:tblStylePr w:type="firstCol">
      <w:rPr>
        <w:b/>
        <w:bCs/>
      </w:rPr>
      <w:tblPr>
        <w:tblLayout w:type="fixed"/>
      </w:tblPr>
      <w:tcPr>
        <w:tcBorders>
          <w:right w:val="single" w:color="000000" w:sz="12" w:space="0"/>
          <w:tl2br w:val="nil"/>
          <w:tr2bl w:val="nil"/>
        </w:tcBorders>
      </w:tcPr>
    </w:tblStylePr>
    <w:tblStylePr w:type="band1Horz">
      <w:tblPr>
        <w:tblLayout w:type="fixed"/>
      </w:tblPr>
      <w:tcPr>
        <w:tcBorders>
          <w:tl2br w:val="nil"/>
          <w:tr2bl w:val="nil"/>
        </w:tcBorders>
        <w:shd w:val="pct25" w:color="000000" w:fill="FFFFFF"/>
      </w:tcPr>
    </w:tblStylePr>
    <w:tblStylePr w:type="nwCell">
      <w:tblPr>
        <w:tblLayout w:type="fixed"/>
      </w:tblPr>
      <w:tcPr>
        <w:tcBorders>
          <w:tl2br w:val="single" w:color="000000" w:sz="6" w:space="0"/>
          <w:tr2bl w:val="nil"/>
        </w:tcBorders>
      </w:tcPr>
    </w:tblStylePr>
  </w:style>
  <w:style w:type="table" w:styleId="129">
    <w:name w:val="Table List 7"/>
    <w:basedOn w:val="104"/>
    <w:uiPriority w:val="0"/>
    <w:pPr>
      <w:widowControl w:val="0"/>
      <w:jc w:val="both"/>
    </w:pPr>
    <w:rPr>
      <w:rFonts w:ascii="Times New Roman" w:hAnsi="Times New Roman" w:eastAsia="宋体" w:cs="Times New Roman"/>
      <w:kern w:val="0"/>
      <w:sz w:val="20"/>
      <w:szCs w:val="20"/>
    </w:rPr>
    <w:tblPr>
      <w:tblBorders>
        <w:top w:val="single" w:color="008000" w:sz="12" w:space="0"/>
        <w:left w:val="single" w:color="008000" w:sz="6" w:space="0"/>
        <w:bottom w:val="single" w:color="008000" w:sz="12" w:space="0"/>
        <w:right w:val="single" w:color="008000" w:sz="6" w:space="0"/>
        <w:insideH w:val="single" w:color="000000" w:sz="6" w:space="0"/>
      </w:tblBorders>
      <w:tblLayout w:type="fixed"/>
      <w:tblCellMar>
        <w:top w:w="0" w:type="dxa"/>
        <w:left w:w="108" w:type="dxa"/>
        <w:bottom w:w="0" w:type="dxa"/>
        <w:right w:w="108" w:type="dxa"/>
      </w:tblCellMar>
    </w:tblPr>
    <w:tblStylePr w:type="firstRow">
      <w:rPr>
        <w:b/>
        <w:bCs/>
      </w:rPr>
      <w:tblPr>
        <w:tblLayout w:type="fixed"/>
      </w:tblPr>
      <w:tcPr>
        <w:tcBorders>
          <w:bottom w:val="single" w:color="008000" w:sz="12" w:space="0"/>
          <w:tl2br w:val="nil"/>
          <w:tr2bl w:val="nil"/>
        </w:tcBorders>
        <w:shd w:val="solid" w:color="C0C0C0" w:fill="FFFFFF"/>
      </w:tcPr>
    </w:tblStylePr>
    <w:tblStylePr w:type="lastRow">
      <w:rPr>
        <w:b/>
        <w:bCs/>
      </w:rPr>
      <w:tblPr>
        <w:tblLayout w:type="fixed"/>
      </w:tblPr>
      <w:tcPr>
        <w:tcBorders>
          <w:top w:val="single" w:color="008000" w:sz="12" w:space="0"/>
          <w:tl2br w:val="nil"/>
          <w:tr2bl w:val="nil"/>
        </w:tcBorders>
      </w:tcPr>
    </w:tblStylePr>
    <w:tblStylePr w:type="firstCol">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band1Horz">
      <w:rPr>
        <w:color w:val="auto"/>
      </w:rPr>
      <w:tblPr>
        <w:tblLayout w:type="fixed"/>
      </w:tblPr>
      <w:tcPr>
        <w:tcBorders>
          <w:tl2br w:val="nil"/>
          <w:tr2bl w:val="nil"/>
        </w:tcBorders>
        <w:shd w:val="pct20" w:color="000000" w:fill="FFFFFF"/>
      </w:tcPr>
    </w:tblStylePr>
    <w:tblStylePr w:type="band2Horz">
      <w:tblPr>
        <w:tblLayout w:type="fixed"/>
      </w:tblPr>
      <w:tcPr>
        <w:tcBorders>
          <w:tl2br w:val="nil"/>
          <w:tr2bl w:val="nil"/>
        </w:tcBorders>
        <w:shd w:val="pct25" w:color="FFFF00" w:fill="FFFFFF"/>
      </w:tcPr>
    </w:tblStylePr>
  </w:style>
  <w:style w:type="table" w:styleId="130">
    <w:name w:val="Table List 8"/>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6" w:space="0"/>
        <w:bottom w:val="single" w:color="000000" w:sz="6" w:space="0"/>
        <w:right w:val="single" w:color="000000" w:sz="6" w:space="0"/>
        <w:insideV w:val="single" w:color="000000" w:sz="6" w:space="0"/>
      </w:tblBorders>
      <w:tblLayout w:type="fixed"/>
      <w:tblCellMar>
        <w:top w:w="0" w:type="dxa"/>
        <w:left w:w="108" w:type="dxa"/>
        <w:bottom w:w="0" w:type="dxa"/>
        <w:right w:w="108" w:type="dxa"/>
      </w:tblCellMar>
    </w:tblPr>
    <w:tblStylePr w:type="firstRow">
      <w:rPr>
        <w:b/>
        <w:bCs/>
        <w:i/>
        <w:iCs/>
      </w:rPr>
      <w:tblPr>
        <w:tblLayout w:type="fixed"/>
      </w:tblPr>
      <w:tcPr>
        <w:tcBorders>
          <w:bottom w:val="single" w:color="000000" w:sz="6" w:space="0"/>
          <w:tl2br w:val="nil"/>
          <w:tr2bl w:val="nil"/>
        </w:tcBorders>
        <w:shd w:val="solid" w:color="FFFF00" w:fill="FFFFFF"/>
      </w:tcPr>
    </w:tblStylePr>
    <w:tblStylePr w:type="lastRow">
      <w:rPr>
        <w:b/>
        <w:bCs/>
      </w:rPr>
      <w:tblPr>
        <w:tblLayout w:type="fixed"/>
      </w:tblPr>
      <w:tcPr>
        <w:tcBorders>
          <w:top w:val="single" w:color="000000" w:sz="6" w:space="0"/>
          <w:tl2br w:val="nil"/>
          <w:tr2bl w:val="nil"/>
        </w:tcBorders>
      </w:tcPr>
    </w:tblStylePr>
    <w:tblStylePr w:type="firstCol">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band1Horz">
      <w:rPr>
        <w:color w:val="auto"/>
      </w:rPr>
      <w:tblPr>
        <w:tblLayout w:type="fixed"/>
      </w:tblPr>
      <w:tcPr>
        <w:tcBorders>
          <w:tl2br w:val="nil"/>
          <w:tr2bl w:val="nil"/>
        </w:tcBorders>
        <w:shd w:val="pct25" w:color="FFFF00" w:fill="FFFFFF"/>
      </w:tcPr>
    </w:tblStylePr>
    <w:tblStylePr w:type="band2Horz">
      <w:tblPr>
        <w:tblLayout w:type="fixed"/>
      </w:tblPr>
      <w:tcPr>
        <w:tcBorders>
          <w:tl2br w:val="nil"/>
          <w:tr2bl w:val="nil"/>
        </w:tcBorders>
        <w:shd w:val="pct50" w:color="FF0000" w:fill="FFFFFF"/>
      </w:tcPr>
    </w:tblStylePr>
    <w:tblStylePr w:type="nwCell">
      <w:tblPr>
        <w:tblLayout w:type="fixed"/>
      </w:tblPr>
      <w:tcPr>
        <w:tcBorders>
          <w:tl2br w:val="single" w:color="auto" w:sz="6" w:space="0"/>
          <w:tr2bl w:val="nil"/>
        </w:tcBorders>
      </w:tcPr>
    </w:tblStylePr>
  </w:style>
  <w:style w:type="table" w:styleId="131">
    <w:name w:val="Table Contemporary"/>
    <w:basedOn w:val="104"/>
    <w:uiPriority w:val="0"/>
    <w:pPr>
      <w:widowControl w:val="0"/>
      <w:jc w:val="both"/>
    </w:pPr>
    <w:rPr>
      <w:rFonts w:ascii="Times New Roman" w:hAnsi="Times New Roman" w:eastAsia="宋体" w:cs="Times New Roman"/>
      <w:kern w:val="0"/>
      <w:sz w:val="20"/>
      <w:szCs w:val="20"/>
    </w:rPr>
    <w:tblPr>
      <w:tblBorders>
        <w:insideH w:val="single" w:color="FFFFFF" w:sz="18" w:space="0"/>
        <w:insideV w:val="single" w:color="FFFFFF" w:sz="18" w:space="0"/>
      </w:tblBorders>
      <w:tblLayout w:type="fixed"/>
      <w:tblCellMar>
        <w:top w:w="0" w:type="dxa"/>
        <w:left w:w="108" w:type="dxa"/>
        <w:bottom w:w="0" w:type="dxa"/>
        <w:right w:w="108" w:type="dxa"/>
      </w:tblCellMar>
    </w:tblPr>
    <w:tblStylePr w:type="firstRow">
      <w:rPr>
        <w:b/>
        <w:bCs/>
        <w:color w:val="auto"/>
      </w:rPr>
      <w:tblPr>
        <w:tblLayout w:type="fixed"/>
      </w:tblPr>
      <w:tcPr>
        <w:tcBorders>
          <w:tl2br w:val="nil"/>
          <w:tr2bl w:val="nil"/>
        </w:tcBorders>
        <w:shd w:val="pct20" w:color="000000" w:fill="FFFFFF"/>
      </w:tcPr>
    </w:tblStylePr>
    <w:tblStylePr w:type="band1Horz">
      <w:rPr>
        <w:color w:val="auto"/>
      </w:rPr>
      <w:tblPr>
        <w:tblLayout w:type="fixed"/>
      </w:tblPr>
      <w:tcPr>
        <w:tcBorders>
          <w:tl2br w:val="nil"/>
          <w:tr2bl w:val="nil"/>
        </w:tcBorders>
        <w:shd w:val="pct5" w:color="000000" w:fill="FFFFFF"/>
      </w:tcPr>
    </w:tblStylePr>
    <w:tblStylePr w:type="band2Horz">
      <w:rPr>
        <w:color w:val="auto"/>
      </w:rPr>
      <w:tblPr>
        <w:tblLayout w:type="fixed"/>
      </w:tblPr>
      <w:tcPr>
        <w:tcBorders>
          <w:tl2br w:val="nil"/>
          <w:tr2bl w:val="nil"/>
        </w:tcBorders>
        <w:shd w:val="pct20" w:color="000000" w:fill="FFFFFF"/>
      </w:tcPr>
    </w:tblStylePr>
  </w:style>
  <w:style w:type="table" w:styleId="132">
    <w:name w:val="Table Columns 1"/>
    <w:basedOn w:val="104"/>
    <w:qFormat/>
    <w:uiPriority w:val="0"/>
    <w:pPr>
      <w:widowControl w:val="0"/>
      <w:jc w:val="both"/>
    </w:pPr>
    <w:rPr>
      <w:rFonts w:ascii="Times New Roman" w:hAnsi="Times New Roman" w:eastAsia="宋体" w:cs="Times New Roman"/>
      <w:b/>
      <w:bCs/>
      <w:kern w:val="0"/>
      <w:sz w:val="20"/>
      <w:szCs w:val="20"/>
    </w:rPr>
    <w:tblPr>
      <w:tblBorders>
        <w:top w:val="single" w:color="000000" w:sz="12" w:space="0"/>
        <w:left w:val="single" w:color="000000" w:sz="12" w:space="0"/>
        <w:bottom w:val="single" w:color="000000" w:sz="12" w:space="0"/>
        <w:right w:val="single" w:color="000000" w:sz="12" w:space="0"/>
      </w:tblBorders>
      <w:tblLayout w:type="fixed"/>
      <w:tblCellMar>
        <w:top w:w="0" w:type="dxa"/>
        <w:left w:w="108" w:type="dxa"/>
        <w:bottom w:w="0" w:type="dxa"/>
        <w:right w:w="108" w:type="dxa"/>
      </w:tblCellMar>
    </w:tblPr>
    <w:tblStylePr w:type="firstRow">
      <w:rPr>
        <w:b w:val="0"/>
        <w:bCs w:val="0"/>
      </w:rPr>
      <w:tblPr>
        <w:tblLayout w:type="fixed"/>
      </w:tblPr>
      <w:tcPr>
        <w:tcBorders>
          <w:bottom w:val="double" w:color="000000" w:sz="6" w:space="0"/>
          <w:tl2br w:val="nil"/>
          <w:tr2bl w:val="nil"/>
        </w:tcBorders>
      </w:tcPr>
    </w:tblStylePr>
    <w:tblStylePr w:type="lastRow">
      <w:rPr>
        <w:b w:val="0"/>
        <w:bCs w:val="0"/>
      </w:rPr>
      <w:tblPr>
        <w:tblLayout w:type="fixed"/>
      </w:tblPr>
      <w:tcPr>
        <w:tcBorders>
          <w:tl2br w:val="nil"/>
          <w:tr2bl w:val="nil"/>
        </w:tcBorders>
      </w:tcPr>
    </w:tblStylePr>
    <w:tblStylePr w:type="firstCol">
      <w:rPr>
        <w:b w:val="0"/>
        <w:bCs w:val="0"/>
      </w:rPr>
      <w:tblPr>
        <w:tblLayout w:type="fixed"/>
      </w:tblPr>
      <w:tcPr>
        <w:tcBorders>
          <w:tl2br w:val="nil"/>
          <w:tr2bl w:val="nil"/>
        </w:tcBorders>
      </w:tcPr>
    </w:tblStylePr>
    <w:tblStylePr w:type="lastCol">
      <w:rPr>
        <w:b w:val="0"/>
        <w:bCs w:val="0"/>
      </w:rPr>
      <w:tblPr>
        <w:tblLayout w:type="fixed"/>
      </w:tblPr>
      <w:tcPr>
        <w:tcBorders>
          <w:tl2br w:val="nil"/>
          <w:tr2bl w:val="nil"/>
        </w:tcBorders>
      </w:tcPr>
    </w:tblStylePr>
    <w:tblStylePr w:type="band1Vert">
      <w:rPr>
        <w:color w:val="auto"/>
      </w:rPr>
      <w:tblPr>
        <w:tblLayout w:type="fixed"/>
      </w:tblPr>
      <w:tcPr>
        <w:shd w:val="pct25" w:color="000000" w:fill="FFFFFF"/>
      </w:tcPr>
    </w:tblStylePr>
    <w:tblStylePr w:type="band2Vert">
      <w:rPr>
        <w:color w:val="auto"/>
      </w:rPr>
      <w:tblPr>
        <w:tblLayout w:type="fixed"/>
      </w:tblPr>
      <w:tcPr>
        <w:shd w:val="pct25" w:color="FFFF00" w:fill="FFFFFF"/>
      </w:tcPr>
    </w:tblStylePr>
    <w:tblStylePr w:type="neCell">
      <w:rPr>
        <w:b/>
        <w:bCs/>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33">
    <w:name w:val="Table Columns 2"/>
    <w:basedOn w:val="104"/>
    <w:uiPriority w:val="0"/>
    <w:pPr>
      <w:widowControl w:val="0"/>
      <w:jc w:val="both"/>
    </w:pPr>
    <w:rPr>
      <w:rFonts w:ascii="Times New Roman" w:hAnsi="Times New Roman" w:eastAsia="宋体" w:cs="Times New Roman"/>
      <w:b/>
      <w:bCs/>
      <w:kern w:val="0"/>
      <w:sz w:val="20"/>
      <w:szCs w:val="20"/>
    </w:rPr>
    <w:tblPr>
      <w:tblLayout w:type="fixed"/>
      <w:tblCellMar>
        <w:top w:w="0" w:type="dxa"/>
        <w:left w:w="108" w:type="dxa"/>
        <w:bottom w:w="0" w:type="dxa"/>
        <w:right w:w="108" w:type="dxa"/>
      </w:tblCellMar>
    </w:tblPr>
    <w:tblStylePr w:type="firstRow">
      <w:rPr>
        <w:color w:val="FFFFFF"/>
      </w:rPr>
      <w:tblPr>
        <w:tblLayout w:type="fixed"/>
      </w:tblPr>
      <w:tcPr>
        <w:tcBorders>
          <w:tl2br w:val="nil"/>
          <w:tr2bl w:val="nil"/>
        </w:tcBorders>
        <w:shd w:val="solid" w:color="000080" w:fill="FFFFFF"/>
      </w:tcPr>
    </w:tblStylePr>
    <w:tblStylePr w:type="lastRow">
      <w:rPr>
        <w:b w:val="0"/>
        <w:bCs w:val="0"/>
      </w:rPr>
      <w:tblPr>
        <w:tblLayout w:type="fixed"/>
      </w:tblPr>
      <w:tcPr>
        <w:tcBorders>
          <w:tl2br w:val="nil"/>
          <w:tr2bl w:val="nil"/>
        </w:tcBorders>
      </w:tcPr>
    </w:tblStylePr>
    <w:tblStylePr w:type="firstCol">
      <w:rPr>
        <w:b w:val="0"/>
        <w:bCs w:val="0"/>
        <w:color w:val="000000"/>
      </w:rPr>
      <w:tblPr>
        <w:tblLayout w:type="fixed"/>
      </w:tblPr>
      <w:tcPr>
        <w:tcBorders>
          <w:tl2br w:val="nil"/>
          <w:tr2bl w:val="nil"/>
        </w:tcBorders>
      </w:tcPr>
    </w:tblStylePr>
    <w:tblStylePr w:type="lastCol">
      <w:rPr>
        <w:b w:val="0"/>
        <w:bCs w:val="0"/>
      </w:rPr>
      <w:tblPr>
        <w:tblLayout w:type="fixed"/>
      </w:tblPr>
      <w:tcPr>
        <w:tcBorders>
          <w:tl2br w:val="nil"/>
          <w:tr2bl w:val="nil"/>
        </w:tcBorders>
      </w:tcPr>
    </w:tblStylePr>
    <w:tblStylePr w:type="band1Vert">
      <w:rPr>
        <w:color w:val="auto"/>
      </w:rPr>
      <w:tblPr>
        <w:tblLayout w:type="fixed"/>
      </w:tblPr>
      <w:tcPr>
        <w:shd w:val="pct30" w:color="000000" w:fill="FFFFFF"/>
      </w:tcPr>
    </w:tblStylePr>
    <w:tblStylePr w:type="band2Vert">
      <w:rPr>
        <w:color w:val="auto"/>
      </w:rPr>
      <w:tblPr>
        <w:tblLayout w:type="fixed"/>
      </w:tblPr>
      <w:tcPr>
        <w:shd w:val="pct25" w:color="00FF00" w:fill="FFFFFF"/>
      </w:tcPr>
    </w:tblStylePr>
    <w:tblStylePr w:type="neCell">
      <w:rPr>
        <w:b/>
        <w:bCs/>
      </w:rPr>
      <w:tblPr>
        <w:tblLayout w:type="fixed"/>
      </w:tblPr>
      <w:tcPr>
        <w:tcBorders>
          <w:tl2br w:val="nil"/>
          <w:tr2bl w:val="nil"/>
        </w:tcBorders>
      </w:tcPr>
    </w:tblStylePr>
    <w:tblStylePr w:type="swCell">
      <w:rPr>
        <w:b/>
        <w:bCs/>
      </w:rPr>
      <w:tblPr>
        <w:tblLayout w:type="fixed"/>
      </w:tblPr>
      <w:tcPr>
        <w:tcBorders>
          <w:tl2br w:val="nil"/>
          <w:tr2bl w:val="nil"/>
        </w:tcBorders>
      </w:tcPr>
    </w:tblStylePr>
  </w:style>
  <w:style w:type="table" w:styleId="134">
    <w:name w:val="Table Columns 3"/>
    <w:basedOn w:val="104"/>
    <w:uiPriority w:val="0"/>
    <w:pPr>
      <w:widowControl w:val="0"/>
      <w:jc w:val="both"/>
    </w:pPr>
    <w:rPr>
      <w:rFonts w:ascii="Times New Roman" w:hAnsi="Times New Roman" w:eastAsia="宋体" w:cs="Times New Roman"/>
      <w:b/>
      <w:bCs/>
      <w:kern w:val="0"/>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Layout w:type="fixed"/>
      <w:tblCellMar>
        <w:top w:w="0" w:type="dxa"/>
        <w:left w:w="108" w:type="dxa"/>
        <w:bottom w:w="0" w:type="dxa"/>
        <w:right w:w="108" w:type="dxa"/>
      </w:tblCellMar>
    </w:tblPr>
    <w:tblStylePr w:type="firstRow">
      <w:rPr>
        <w:color w:val="FFFFFF"/>
      </w:rPr>
      <w:tblPr>
        <w:tblLayout w:type="fixed"/>
      </w:tblPr>
      <w:tcPr>
        <w:tcBorders>
          <w:tl2br w:val="nil"/>
          <w:tr2bl w:val="nil"/>
        </w:tcBorders>
        <w:shd w:val="solid" w:color="000080" w:fill="FFFFFF"/>
      </w:tcPr>
    </w:tblStylePr>
    <w:tblStylePr w:type="lastRow">
      <w:rPr>
        <w:b w:val="0"/>
        <w:bCs w:val="0"/>
      </w:rPr>
      <w:tblPr>
        <w:tblLayout w:type="fixed"/>
      </w:tblPr>
      <w:tcPr>
        <w:tcBorders>
          <w:top w:val="single" w:color="000080" w:sz="6" w:space="0"/>
          <w:tl2br w:val="nil"/>
          <w:tr2bl w:val="nil"/>
        </w:tcBorders>
      </w:tcPr>
    </w:tblStylePr>
    <w:tblStylePr w:type="firstCol">
      <w:rPr>
        <w:b w:val="0"/>
        <w:bCs w:val="0"/>
      </w:rPr>
      <w:tblPr>
        <w:tblLayout w:type="fixed"/>
      </w:tblPr>
      <w:tcPr>
        <w:tcBorders>
          <w:tl2br w:val="nil"/>
          <w:tr2bl w:val="nil"/>
        </w:tcBorders>
      </w:tcPr>
    </w:tblStylePr>
    <w:tblStylePr w:type="lastCol">
      <w:rPr>
        <w:b w:val="0"/>
        <w:bCs w:val="0"/>
      </w:rPr>
      <w:tblPr>
        <w:tblLayout w:type="fixed"/>
      </w:tblPr>
      <w:tcPr>
        <w:tcBorders>
          <w:tl2br w:val="nil"/>
          <w:tr2bl w:val="nil"/>
        </w:tcBorders>
      </w:tcPr>
    </w:tblStylePr>
    <w:tblStylePr w:type="band1Vert">
      <w:rPr>
        <w:color w:val="auto"/>
      </w:rPr>
      <w:tblPr>
        <w:tblLayout w:type="fixed"/>
      </w:tblPr>
      <w:tcPr>
        <w:shd w:val="solid" w:color="C0C0C0" w:fill="FFFFFF"/>
      </w:tcPr>
    </w:tblStylePr>
    <w:tblStylePr w:type="band2Vert">
      <w:rPr>
        <w:color w:val="auto"/>
      </w:rPr>
      <w:tblPr>
        <w:tblLayout w:type="fixed"/>
      </w:tblPr>
      <w:tcPr>
        <w:shd w:val="pct10" w:color="000000" w:fill="FFFFFF"/>
      </w:tcPr>
    </w:tblStylePr>
    <w:tblStylePr w:type="neCell">
      <w:rPr>
        <w:b/>
        <w:bCs/>
      </w:rPr>
      <w:tblPr>
        <w:tblLayout w:type="fixed"/>
      </w:tblPr>
      <w:tcPr>
        <w:tcBorders>
          <w:tl2br w:val="nil"/>
          <w:tr2bl w:val="nil"/>
        </w:tcBorders>
      </w:tcPr>
    </w:tblStylePr>
  </w:style>
  <w:style w:type="table" w:styleId="135">
    <w:name w:val="Table Columns 4"/>
    <w:basedOn w:val="104"/>
    <w:uiPriority w:val="0"/>
    <w:pPr>
      <w:widowControl w:val="0"/>
      <w:jc w:val="both"/>
    </w:pPr>
    <w:rPr>
      <w:rFonts w:ascii="Times New Roman" w:hAnsi="Times New Roman" w:eastAsia="宋体" w:cs="Times New Roman"/>
      <w:kern w:val="0"/>
      <w:sz w:val="20"/>
      <w:szCs w:val="20"/>
    </w:rPr>
    <w:tblPr>
      <w:tblLayout w:type="fixed"/>
      <w:tblCellMar>
        <w:top w:w="0" w:type="dxa"/>
        <w:left w:w="108" w:type="dxa"/>
        <w:bottom w:w="0" w:type="dxa"/>
        <w:right w:w="108" w:type="dxa"/>
      </w:tblCellMar>
    </w:tblPr>
    <w:tblStylePr w:type="firstRow">
      <w:rPr>
        <w:color w:val="FFFFFF"/>
      </w:rPr>
      <w:tblPr>
        <w:tblLayout w:type="fixed"/>
      </w:tblPr>
      <w:tcPr>
        <w:tcBorders>
          <w:tl2br w:val="nil"/>
          <w:tr2bl w:val="nil"/>
        </w:tcBorders>
        <w:shd w:val="solid" w:color="000000" w:fill="FFFFFF"/>
      </w:tcPr>
    </w:tblStylePr>
    <w:tblStylePr w:type="lastRow">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band1Vert">
      <w:rPr>
        <w:color w:val="auto"/>
      </w:rPr>
      <w:tblPr>
        <w:tblLayout w:type="fixed"/>
      </w:tblPr>
      <w:tcPr>
        <w:shd w:val="pct50" w:color="008080" w:fill="FFFFFF"/>
      </w:tcPr>
    </w:tblStylePr>
    <w:tblStylePr w:type="band2Vert">
      <w:rPr>
        <w:color w:val="auto"/>
      </w:rPr>
      <w:tblPr>
        <w:tblLayout w:type="fixed"/>
      </w:tblPr>
      <w:tcPr>
        <w:shd w:val="pct10" w:color="000000" w:fill="FFFFFF"/>
      </w:tcPr>
    </w:tblStylePr>
  </w:style>
  <w:style w:type="table" w:styleId="136">
    <w:name w:val="Table Columns 5"/>
    <w:basedOn w:val="104"/>
    <w:uiPriority w:val="0"/>
    <w:pPr>
      <w:widowControl w:val="0"/>
      <w:jc w:val="both"/>
    </w:pPr>
    <w:rPr>
      <w:rFonts w:ascii="Times New Roman" w:hAnsi="Times New Roman" w:eastAsia="宋体" w:cs="Times New Roman"/>
      <w:kern w:val="0"/>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Layout w:type="fixed"/>
      <w:tblCellMar>
        <w:top w:w="0" w:type="dxa"/>
        <w:left w:w="108" w:type="dxa"/>
        <w:bottom w:w="0" w:type="dxa"/>
        <w:right w:w="108" w:type="dxa"/>
      </w:tblCellMar>
    </w:tblPr>
    <w:tblStylePr w:type="firstRow">
      <w:rPr>
        <w:b/>
        <w:bCs/>
        <w:i/>
        <w:iCs/>
      </w:rPr>
      <w:tblPr>
        <w:tblLayout w:type="fixed"/>
      </w:tblPr>
      <w:tcPr>
        <w:tcBorders>
          <w:bottom w:val="single" w:color="808080" w:sz="6" w:space="0"/>
          <w:tl2br w:val="nil"/>
          <w:tr2bl w:val="nil"/>
        </w:tcBorders>
      </w:tcPr>
    </w:tblStylePr>
    <w:tblStylePr w:type="lastRow">
      <w:rPr>
        <w:b/>
        <w:bCs/>
      </w:rPr>
      <w:tblPr>
        <w:tblLayout w:type="fixed"/>
      </w:tblPr>
      <w:tcPr>
        <w:tcBorders>
          <w:top w:val="single" w:color="808080" w:sz="6" w:space="0"/>
          <w:tl2br w:val="nil"/>
          <w:tr2bl w:val="nil"/>
        </w:tcBorders>
      </w:tcPr>
    </w:tblStylePr>
    <w:tblStylePr w:type="firstCol">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band1Vert">
      <w:rPr>
        <w:color w:val="auto"/>
      </w:rPr>
      <w:tblPr>
        <w:tblLayout w:type="fixed"/>
      </w:tblPr>
      <w:tcPr>
        <w:shd w:val="solid" w:color="C0C0C0" w:fill="FFFFFF"/>
      </w:tcPr>
    </w:tblStylePr>
    <w:tblStylePr w:type="band2Vert">
      <w:rPr>
        <w:color w:val="auto"/>
      </w:rPr>
    </w:tblStylePr>
  </w:style>
  <w:style w:type="table" w:styleId="137">
    <w:name w:val="Table Grid 1"/>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lastRow">
      <w:rPr>
        <w:i/>
        <w:iCs/>
      </w:rPr>
      <w:tblPr>
        <w:tblLayout w:type="fixed"/>
      </w:tblPr>
      <w:tcPr>
        <w:tcBorders>
          <w:tl2br w:val="nil"/>
          <w:tr2bl w:val="nil"/>
        </w:tcBorders>
      </w:tcPr>
    </w:tblStylePr>
    <w:tblStylePr w:type="lastCol">
      <w:rPr>
        <w:i/>
        <w:i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138">
    <w:name w:val="Table Grid 2"/>
    <w:basedOn w:val="104"/>
    <w:uiPriority w:val="0"/>
    <w:pPr>
      <w:widowControl w:val="0"/>
      <w:jc w:val="both"/>
    </w:pPr>
    <w:rPr>
      <w:rFonts w:ascii="Times New Roman" w:hAnsi="Times New Roman" w:eastAsia="宋体" w:cs="Times New Roman"/>
      <w:kern w:val="0"/>
      <w:sz w:val="20"/>
      <w:szCs w:val="20"/>
    </w:rPr>
    <w:tblPr>
      <w:tblBorders>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tl2br w:val="nil"/>
          <w:tr2bl w:val="nil"/>
        </w:tcBorders>
      </w:tcPr>
    </w:tblStylePr>
    <w:tblStylePr w:type="lastRow">
      <w:rPr>
        <w:b/>
        <w:bCs/>
      </w:rPr>
      <w:tblPr>
        <w:tblLayout w:type="fixed"/>
      </w:tblPr>
      <w:tcPr>
        <w:tcBorders>
          <w:top w:val="single" w:color="000000" w:sz="6" w:space="0"/>
          <w:tl2br w:val="nil"/>
          <w:tr2bl w:val="nil"/>
        </w:tcBorders>
      </w:tcPr>
    </w:tblStylePr>
    <w:tblStylePr w:type="firstCol">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style>
  <w:style w:type="table" w:styleId="139">
    <w:name w:val="Table Grid 3"/>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12" w:space="0"/>
        <w:bottom w:val="single" w:color="000000" w:sz="6" w:space="0"/>
        <w:right w:val="single" w:color="000000" w:sz="12" w:space="0"/>
        <w:insideV w:val="single" w:color="000000" w:sz="6"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bottom w:val="single" w:color="000000" w:sz="6" w:space="0"/>
          <w:tl2br w:val="nil"/>
          <w:tr2bl w:val="nil"/>
        </w:tcBorders>
        <w:shd w:val="pct30" w:color="FFFF00" w:fill="FFFFFF"/>
      </w:tcPr>
    </w:tblStylePr>
    <w:tblStylePr w:type="lastRow">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140">
    <w:name w:val="Table Grid 4"/>
    <w:basedOn w:val="104"/>
    <w:uiPriority w:val="0"/>
    <w:pPr>
      <w:widowControl w:val="0"/>
      <w:jc w:val="both"/>
    </w:pPr>
    <w:rPr>
      <w:rFonts w:ascii="Times New Roman" w:hAnsi="Times New Roman" w:eastAsia="宋体" w:cs="Times New Roman"/>
      <w:kern w:val="0"/>
      <w:sz w:val="20"/>
      <w:szCs w:val="20"/>
    </w:rPr>
    <w:tblPr>
      <w:tblBorders>
        <w:left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color w:val="auto"/>
      </w:rPr>
      <w:tblPr>
        <w:tblLayout w:type="fixed"/>
      </w:tblPr>
      <w:tcPr>
        <w:tcBorders>
          <w:bottom w:val="single" w:color="000000" w:sz="6" w:space="0"/>
          <w:tl2br w:val="nil"/>
          <w:tr2bl w:val="nil"/>
        </w:tcBorders>
        <w:shd w:val="pct30" w:color="FFFF00" w:fill="FFFFFF"/>
      </w:tcPr>
    </w:tblStylePr>
    <w:tblStylePr w:type="lastRow">
      <w:rPr>
        <w:b/>
        <w:bCs/>
        <w:color w:val="auto"/>
      </w:rPr>
      <w:tblPr>
        <w:tblLayout w:type="fixed"/>
      </w:tblPr>
      <w:tcPr>
        <w:tcBorders>
          <w:top w:val="single" w:color="000000" w:sz="6" w:space="0"/>
          <w:tl2br w:val="nil"/>
          <w:tr2bl w:val="nil"/>
        </w:tcBorders>
        <w:shd w:val="pct30" w:color="FFFF00" w:fill="FFFFFF"/>
      </w:tcPr>
    </w:tblStylePr>
    <w:tblStylePr w:type="lastCol">
      <w:rPr>
        <w:b/>
        <w:bCs/>
        <w:color w:val="auto"/>
      </w:rPr>
      <w:tblPr>
        <w:tblLayout w:type="fixed"/>
      </w:tblPr>
      <w:tcPr>
        <w:tcBorders>
          <w:tl2br w:val="nil"/>
          <w:tr2bl w:val="nil"/>
        </w:tcBorders>
      </w:tcPr>
    </w:tblStylePr>
  </w:style>
  <w:style w:type="table" w:styleId="141">
    <w:name w:val="Table Grid 5"/>
    <w:basedOn w:val="104"/>
    <w:qFormat/>
    <w:uiPriority w:val="0"/>
    <w:pPr>
      <w:widowControl w:val="0"/>
      <w:jc w:val="both"/>
    </w:pPr>
    <w:rPr>
      <w:rFonts w:ascii="Times New Roman" w:hAnsi="Times New Roman" w:eastAsia="宋体" w:cs="Times New Roman"/>
      <w:kern w:val="0"/>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bottom w:val="single" w:color="000000" w:sz="12" w:space="0"/>
          <w:tl2br w:val="nil"/>
          <w:tr2bl w:val="nil"/>
        </w:tcBorders>
      </w:tcPr>
    </w:tblStylePr>
    <w:tblStylePr w:type="lastRow">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142">
    <w:name w:val="Table Grid 6"/>
    <w:basedOn w:val="104"/>
    <w:uiPriority w:val="0"/>
    <w:pPr>
      <w:widowControl w:val="0"/>
      <w:jc w:val="both"/>
    </w:pPr>
    <w:rPr>
      <w:rFonts w:ascii="Times New Roman" w:hAnsi="Times New Roman" w:eastAsia="宋体" w:cs="Times New Roman"/>
      <w:kern w:val="0"/>
      <w:sz w:val="20"/>
      <w:szCs w:val="20"/>
    </w:rPr>
    <w:tblPr>
      <w:tblBorders>
        <w:top w:val="single" w:color="000000" w:sz="12" w:space="0"/>
        <w:left w:val="single" w:color="000000" w:sz="12" w:space="0"/>
        <w:bottom w:val="single" w:color="000000" w:sz="12" w:space="0"/>
        <w:right w:val="single" w:color="000000" w:sz="12"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bCs/>
      </w:rPr>
      <w:tblPr>
        <w:tblLayout w:type="fixed"/>
      </w:tblPr>
      <w:tcPr>
        <w:tcBorders>
          <w:bottom w:val="single" w:color="000000" w:sz="6" w:space="0"/>
          <w:tl2br w:val="nil"/>
          <w:tr2bl w:val="nil"/>
        </w:tcBorders>
      </w:tcPr>
    </w:tblStylePr>
    <w:tblStylePr w:type="lastRow">
      <w:rPr>
        <w:color w:val="auto"/>
      </w:rPr>
      <w:tblPr>
        <w:tblLayout w:type="fixed"/>
      </w:tblPr>
      <w:tcPr>
        <w:tcBorders>
          <w:top w:val="single" w:color="000000" w:sz="6" w:space="0"/>
          <w:tl2br w:val="nil"/>
          <w:tr2bl w:val="nil"/>
        </w:tcBorders>
      </w:tcPr>
    </w:tblStylePr>
    <w:tblStylePr w:type="firstCol">
      <w:rPr>
        <w:b/>
        <w:b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143">
    <w:name w:val="Table Grid 7"/>
    <w:basedOn w:val="104"/>
    <w:qFormat/>
    <w:uiPriority w:val="0"/>
    <w:pPr>
      <w:widowControl w:val="0"/>
      <w:jc w:val="center"/>
    </w:pPr>
    <w:rPr>
      <w:rFonts w:ascii="Times New Roman" w:hAnsi="Times New Roman" w:eastAsia="宋体" w:cs="Times New Roman"/>
      <w:b/>
      <w:bCs/>
      <w:kern w:val="0"/>
      <w:sz w:val="20"/>
      <w:szCs w:val="20"/>
    </w:rPr>
    <w:tblPr>
      <w:tblBorders>
        <w:top w:val="thinThickSmallGap" w:color="auto" w:sz="12" w:space="0"/>
        <w:left w:val="thinThickSmallGap" w:color="auto" w:sz="12" w:space="0"/>
        <w:bottom w:val="thickThinSmallGap" w:color="auto" w:sz="12" w:space="0"/>
        <w:right w:val="thickThinSmallGap" w:color="auto" w:sz="12" w:space="0"/>
        <w:insideH w:val="single" w:color="000000" w:sz="6" w:space="0"/>
        <w:insideV w:val="single" w:color="000000" w:sz="6" w:space="0"/>
      </w:tblBorders>
      <w:tblLayout w:type="fixed"/>
      <w:tblCellMar>
        <w:top w:w="0" w:type="dxa"/>
        <w:left w:w="0" w:type="dxa"/>
        <w:bottom w:w="0" w:type="dxa"/>
        <w:right w:w="0" w:type="dxa"/>
      </w:tblCellMar>
    </w:tblPr>
    <w:tcPr>
      <w:shd w:val="clear" w:color="auto" w:fill="auto"/>
      <w:vAlign w:val="center"/>
    </w:tcPr>
    <w:tblStylePr w:type="firstRow">
      <w:rPr>
        <w:b w:val="0"/>
        <w:bCs w:val="0"/>
      </w:rPr>
      <w:tblPr>
        <w:tblLayout w:type="fixed"/>
      </w:tblPr>
      <w:tcPr>
        <w:tcBorders>
          <w:bottom w:val="single" w:color="000000" w:sz="12" w:space="0"/>
          <w:tl2br w:val="nil"/>
          <w:tr2bl w:val="nil"/>
        </w:tcBorders>
      </w:tcPr>
    </w:tblStylePr>
    <w:tblStylePr w:type="lastRow">
      <w:rPr>
        <w:b w:val="0"/>
        <w:bCs w:val="0"/>
      </w:rPr>
      <w:tblPr>
        <w:tblLayout w:type="fixed"/>
      </w:tblPr>
      <w:tcPr>
        <w:tcBorders>
          <w:top w:val="single" w:color="000000" w:sz="6" w:space="0"/>
          <w:tl2br w:val="nil"/>
          <w:tr2bl w:val="nil"/>
        </w:tcBorders>
      </w:tcPr>
    </w:tblStylePr>
    <w:tblStylePr w:type="firstCol">
      <w:rPr>
        <w:b w:val="0"/>
        <w:bCs w:val="0"/>
      </w:rPr>
      <w:tblPr>
        <w:tblLayout w:type="fixed"/>
      </w:tblPr>
      <w:tcPr>
        <w:tcBorders>
          <w:tl2br w:val="nil"/>
          <w:tr2bl w:val="nil"/>
        </w:tcBorders>
      </w:tcPr>
    </w:tblStylePr>
    <w:tblStylePr w:type="lastCol">
      <w:rPr>
        <w:b w:val="0"/>
        <w:bCs w:val="0"/>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144">
    <w:name w:val="Table Grid 8"/>
    <w:basedOn w:val="104"/>
    <w:uiPriority w:val="0"/>
    <w:pPr>
      <w:widowControl w:val="0"/>
      <w:jc w:val="both"/>
    </w:pPr>
    <w:rPr>
      <w:rFonts w:ascii="Times New Roman" w:hAnsi="Times New Roman" w:eastAsia="宋体" w:cs="Times New Roman"/>
      <w:kern w:val="0"/>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Layout w:type="fixed"/>
      <w:tblCellMar>
        <w:top w:w="0" w:type="dxa"/>
        <w:left w:w="108" w:type="dxa"/>
        <w:bottom w:w="0" w:type="dxa"/>
        <w:right w:w="108" w:type="dxa"/>
      </w:tblCellMar>
    </w:tblPr>
    <w:tcPr>
      <w:shd w:val="clear" w:color="auto" w:fill="auto"/>
    </w:tcPr>
    <w:tblStylePr w:type="firstRow">
      <w:rPr>
        <w:b/>
        <w:bCs/>
        <w:color w:val="FFFFFF"/>
      </w:rPr>
      <w:tblPr>
        <w:tblLayout w:type="fixed"/>
      </w:tblPr>
      <w:tcPr>
        <w:tcBorders>
          <w:tl2br w:val="nil"/>
          <w:tr2bl w:val="nil"/>
        </w:tcBorders>
        <w:shd w:val="solid" w:color="000080" w:fill="FFFFFF"/>
      </w:tcPr>
    </w:tblStylePr>
    <w:tblStylePr w:type="lastRow">
      <w:rPr>
        <w:b/>
        <w:bCs/>
        <w:color w:val="auto"/>
      </w:rPr>
      <w:tblPr>
        <w:tblLayout w:type="fixed"/>
      </w:tblPr>
      <w:tcPr>
        <w:tcBorders>
          <w:tl2br w:val="nil"/>
          <w:tr2bl w:val="nil"/>
        </w:tcBorders>
      </w:tcPr>
    </w:tblStylePr>
    <w:tblStylePr w:type="lastCol">
      <w:rPr>
        <w:b/>
        <w:bCs/>
        <w:color w:val="auto"/>
      </w:rPr>
      <w:tblPr>
        <w:tblLayout w:type="fixed"/>
      </w:tblPr>
      <w:tcPr>
        <w:tcBorders>
          <w:tl2br w:val="nil"/>
          <w:tr2bl w:val="nil"/>
        </w:tcBorders>
      </w:tcPr>
    </w:tblStylePr>
  </w:style>
  <w:style w:type="table" w:styleId="145">
    <w:name w:val="Table Web 1"/>
    <w:basedOn w:val="104"/>
    <w:uiPriority w:val="0"/>
    <w:pPr>
      <w:widowControl w:val="0"/>
      <w:spacing w:line="360" w:lineRule="auto"/>
      <w:ind w:firstLine="480" w:firstLineChars="200"/>
    </w:pPr>
    <w:rPr>
      <w:rFonts w:ascii="Times New Roman" w:hAnsi="Times New Roman" w:eastAsia="宋体" w:cs="Times New Roman"/>
      <w:kern w:val="0"/>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l2br w:val="nil"/>
          <w:tr2bl w:val="nil"/>
        </w:tcBorders>
      </w:tcPr>
    </w:tblStylePr>
  </w:style>
  <w:style w:type="table" w:styleId="146">
    <w:name w:val="Table Web 2"/>
    <w:basedOn w:val="104"/>
    <w:uiPriority w:val="0"/>
    <w:pPr>
      <w:widowControl w:val="0"/>
      <w:spacing w:line="360" w:lineRule="auto"/>
      <w:ind w:firstLine="480" w:firstLineChars="200"/>
    </w:pPr>
    <w:rPr>
      <w:rFonts w:ascii="Times New Roman" w:hAnsi="Times New Roman" w:eastAsia="宋体" w:cs="Times New Roman"/>
      <w:kern w:val="0"/>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l2br w:val="nil"/>
          <w:tr2bl w:val="nil"/>
        </w:tcBorders>
      </w:tcPr>
    </w:tblStylePr>
  </w:style>
  <w:style w:type="table" w:styleId="147">
    <w:name w:val="Table Web 3"/>
    <w:basedOn w:val="104"/>
    <w:uiPriority w:val="0"/>
    <w:pPr>
      <w:widowControl w:val="0"/>
      <w:spacing w:line="360" w:lineRule="auto"/>
      <w:ind w:firstLine="480" w:firstLineChars="200"/>
    </w:pPr>
    <w:rPr>
      <w:rFonts w:ascii="Times New Roman" w:hAnsi="Times New Roman" w:eastAsia="宋体" w:cs="Times New Roman"/>
      <w:kern w:val="0"/>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Layout w:type="fixed"/>
      <w:tblCellMar>
        <w:top w:w="0" w:type="dxa"/>
        <w:left w:w="108" w:type="dxa"/>
        <w:bottom w:w="0" w:type="dxa"/>
        <w:right w:w="108" w:type="dxa"/>
      </w:tblCellMar>
    </w:tblPr>
    <w:trPr>
      <w:tblCellSpacing w:w="20" w:type="dxa"/>
    </w:trPr>
    <w:tcPr>
      <w:shd w:val="clear" w:color="auto" w:fill="auto"/>
    </w:tcPr>
    <w:tblStylePr w:type="firstRow">
      <w:rPr>
        <w:color w:val="auto"/>
      </w:rPr>
      <w:tblPr>
        <w:tblLayout w:type="fixed"/>
      </w:tblPr>
      <w:tcPr>
        <w:tcBorders>
          <w:tl2br w:val="nil"/>
          <w:tr2bl w:val="nil"/>
        </w:tcBorders>
      </w:tcPr>
    </w:tblStylePr>
  </w:style>
  <w:style w:type="table" w:styleId="148">
    <w:name w:val="Table Professional"/>
    <w:basedOn w:val="104"/>
    <w:uiPriority w:val="0"/>
    <w:pPr>
      <w:widowControl w:val="0"/>
      <w:jc w:val="both"/>
    </w:pPr>
    <w:rPr>
      <w:rFonts w:ascii="Times New Roman" w:hAnsi="Times New Roman" w:eastAsia="宋体" w:cs="Times New Roman"/>
      <w:kern w:val="0"/>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rPr>
        <w:b/>
        <w:bCs/>
        <w:color w:val="auto"/>
      </w:rPr>
      <w:tblPr>
        <w:tblLayout w:type="fixed"/>
      </w:tblPr>
      <w:tcPr>
        <w:tcBorders>
          <w:tl2br w:val="nil"/>
          <w:tr2bl w:val="nil"/>
        </w:tcBorders>
        <w:shd w:val="solid" w:color="000000" w:fill="FFFFFF"/>
      </w:tcPr>
    </w:tblStylePr>
  </w:style>
  <w:style w:type="character" w:customStyle="1" w:styleId="149">
    <w:name w:val="页眉 Char"/>
    <w:basedOn w:val="87"/>
    <w:link w:val="58"/>
    <w:qFormat/>
    <w:uiPriority w:val="0"/>
    <w:rPr>
      <w:rFonts w:ascii="Times New Roman" w:hAnsi="Times New Roman" w:eastAsia="宋体" w:cs="Times New Roman"/>
      <w:kern w:val="0"/>
      <w:sz w:val="18"/>
      <w:szCs w:val="18"/>
      <w:lang w:val="zh-CN" w:eastAsia="zh-CN"/>
    </w:rPr>
  </w:style>
  <w:style w:type="character" w:customStyle="1" w:styleId="150">
    <w:name w:val="页脚 Char"/>
    <w:basedOn w:val="87"/>
    <w:qFormat/>
    <w:uiPriority w:val="0"/>
    <w:rPr>
      <w:rFonts w:ascii="Times New Roman" w:hAnsi="Times New Roman" w:eastAsia="宋体" w:cs="Times New Roman"/>
      <w:sz w:val="18"/>
      <w:szCs w:val="18"/>
    </w:rPr>
  </w:style>
  <w:style w:type="character" w:customStyle="1" w:styleId="151">
    <w:name w:val="页脚 Char1"/>
    <w:link w:val="55"/>
    <w:qFormat/>
    <w:uiPriority w:val="0"/>
    <w:rPr>
      <w:rFonts w:ascii="Times New Roman" w:hAnsi="Times New Roman" w:eastAsia="宋体" w:cs="Times New Roman"/>
      <w:kern w:val="0"/>
      <w:sz w:val="18"/>
      <w:szCs w:val="18"/>
      <w:lang w:val="zh-CN" w:eastAsia="zh-CN"/>
    </w:rPr>
  </w:style>
  <w:style w:type="character" w:customStyle="1" w:styleId="152">
    <w:name w:val="标题 1 Char"/>
    <w:basedOn w:val="87"/>
    <w:link w:val="2"/>
    <w:qFormat/>
    <w:uiPriority w:val="0"/>
    <w:rPr>
      <w:rFonts w:ascii="宋体" w:hAnsi="宋体" w:eastAsia="宋体" w:cs="Times New Roman"/>
      <w:b/>
      <w:kern w:val="44"/>
      <w:sz w:val="36"/>
      <w:szCs w:val="36"/>
    </w:rPr>
  </w:style>
  <w:style w:type="character" w:customStyle="1" w:styleId="153">
    <w:name w:val="标题 2 Char"/>
    <w:basedOn w:val="87"/>
    <w:link w:val="3"/>
    <w:qFormat/>
    <w:uiPriority w:val="0"/>
    <w:rPr>
      <w:rFonts w:ascii="宋体" w:hAnsi="宋体" w:eastAsia="宋体" w:cs="Times New Roman"/>
      <w:b/>
      <w:sz w:val="28"/>
      <w:szCs w:val="28"/>
    </w:rPr>
  </w:style>
  <w:style w:type="character" w:customStyle="1" w:styleId="154">
    <w:name w:val="标题 3 Char"/>
    <w:basedOn w:val="87"/>
    <w:link w:val="5"/>
    <w:qFormat/>
    <w:uiPriority w:val="0"/>
    <w:rPr>
      <w:rFonts w:ascii="Times New Roman" w:hAnsi="Times New Roman" w:eastAsia="黑体" w:cs="Times New Roman"/>
      <w:sz w:val="24"/>
      <w:szCs w:val="24"/>
    </w:rPr>
  </w:style>
  <w:style w:type="character" w:customStyle="1" w:styleId="155">
    <w:name w:val="标题 4 Char"/>
    <w:basedOn w:val="87"/>
    <w:link w:val="6"/>
    <w:qFormat/>
    <w:uiPriority w:val="0"/>
    <w:rPr>
      <w:rFonts w:ascii="Arial" w:hAnsi="Arial" w:eastAsia="宋体" w:cs="Times New Roman"/>
      <w:b/>
      <w:sz w:val="24"/>
      <w:szCs w:val="24"/>
    </w:rPr>
  </w:style>
  <w:style w:type="character" w:customStyle="1" w:styleId="156">
    <w:name w:val="标题 5 Char"/>
    <w:basedOn w:val="87"/>
    <w:link w:val="7"/>
    <w:qFormat/>
    <w:uiPriority w:val="0"/>
    <w:rPr>
      <w:rFonts w:ascii="Times New Roman" w:hAnsi="Times New Roman" w:eastAsia="宋体" w:cs="Times New Roman"/>
      <w:b/>
      <w:sz w:val="28"/>
      <w:szCs w:val="20"/>
    </w:rPr>
  </w:style>
  <w:style w:type="paragraph" w:customStyle="1" w:styleId="157">
    <w:name w:val="样式4"/>
    <w:basedOn w:val="6"/>
    <w:link w:val="158"/>
    <w:qFormat/>
    <w:uiPriority w:val="0"/>
    <w:pPr>
      <w:numPr>
        <w:numId w:val="0"/>
      </w:numPr>
      <w:spacing w:before="156" w:beforeLines="0" w:after="60" w:afterLines="0" w:line="400" w:lineRule="exact"/>
    </w:pPr>
    <w:rPr>
      <w:rFonts w:ascii="Times New Roman" w:hAnsi="Times New Roman" w:eastAsia="黑体"/>
      <w:b w:val="0"/>
      <w:bCs/>
      <w:szCs w:val="20"/>
    </w:rPr>
  </w:style>
  <w:style w:type="character" w:customStyle="1" w:styleId="158">
    <w:name w:val="样式4 Char"/>
    <w:link w:val="157"/>
    <w:qFormat/>
    <w:uiPriority w:val="0"/>
    <w:rPr>
      <w:rFonts w:ascii="Times New Roman" w:hAnsi="Times New Roman" w:eastAsia="黑体" w:cs="Times New Roman"/>
      <w:bCs/>
      <w:sz w:val="24"/>
      <w:szCs w:val="20"/>
    </w:rPr>
  </w:style>
  <w:style w:type="character" w:customStyle="1" w:styleId="159">
    <w:name w:val="正文缩进 Char"/>
    <w:link w:val="4"/>
    <w:qFormat/>
    <w:uiPriority w:val="0"/>
    <w:rPr>
      <w:rFonts w:ascii="Times New Roman" w:hAnsi="Times New Roman" w:eastAsia="宋体" w:cs="Times New Roman"/>
      <w:szCs w:val="24"/>
    </w:rPr>
  </w:style>
  <w:style w:type="character" w:customStyle="1" w:styleId="160">
    <w:name w:val="正文文本 Char1"/>
    <w:basedOn w:val="87"/>
    <w:link w:val="17"/>
    <w:qFormat/>
    <w:uiPriority w:val="0"/>
    <w:rPr>
      <w:rFonts w:ascii="Arial" w:hAnsi="Arial"/>
      <w:sz w:val="24"/>
    </w:rPr>
  </w:style>
  <w:style w:type="character" w:customStyle="1" w:styleId="161">
    <w:name w:val="正文文本 Char"/>
    <w:basedOn w:val="87"/>
    <w:qFormat/>
    <w:uiPriority w:val="0"/>
    <w:rPr>
      <w:rFonts w:ascii="Times New Roman" w:hAnsi="Times New Roman" w:eastAsia="宋体" w:cs="Times New Roman"/>
      <w:szCs w:val="24"/>
    </w:rPr>
  </w:style>
  <w:style w:type="paragraph" w:customStyle="1" w:styleId="162">
    <w:name w:val="List Paragraph"/>
    <w:basedOn w:val="1"/>
    <w:qFormat/>
    <w:uiPriority w:val="0"/>
    <w:pPr>
      <w:ind w:firstLine="420" w:firstLineChars="200"/>
    </w:pPr>
  </w:style>
  <w:style w:type="paragraph" w:customStyle="1" w:styleId="163">
    <w:name w:val="haydonli"/>
    <w:basedOn w:val="1"/>
    <w:link w:val="164"/>
    <w:qFormat/>
    <w:uiPriority w:val="0"/>
    <w:pPr>
      <w:spacing w:line="360" w:lineRule="auto"/>
      <w:jc w:val="left"/>
    </w:pPr>
    <w:rPr>
      <w:rFonts w:asciiTheme="minorEastAsia" w:hAnsiTheme="minorEastAsia" w:eastAsiaTheme="minorEastAsia"/>
      <w:snapToGrid w:val="0"/>
      <w:kern w:val="0"/>
      <w:sz w:val="24"/>
    </w:rPr>
  </w:style>
  <w:style w:type="character" w:customStyle="1" w:styleId="164">
    <w:name w:val="haydonli Char"/>
    <w:link w:val="163"/>
    <w:qFormat/>
    <w:uiPriority w:val="0"/>
    <w:rPr>
      <w:rFonts w:cs="Times New Roman" w:asciiTheme="minorEastAsia" w:hAnsiTheme="minorEastAsia"/>
      <w:snapToGrid w:val="0"/>
      <w:kern w:val="0"/>
      <w:sz w:val="24"/>
      <w:szCs w:val="24"/>
    </w:rPr>
  </w:style>
  <w:style w:type="character" w:customStyle="1" w:styleId="165">
    <w:name w:val="样式1 Char"/>
    <w:link w:val="78"/>
    <w:qFormat/>
    <w:uiPriority w:val="0"/>
    <w:rPr>
      <w:rFonts w:ascii="Arial" w:hAnsi="Arial" w:eastAsia="宋体"/>
      <w:sz w:val="24"/>
      <w:szCs w:val="24"/>
    </w:rPr>
  </w:style>
  <w:style w:type="paragraph" w:customStyle="1" w:styleId="166">
    <w:name w:val="样式2"/>
    <w:basedOn w:val="78"/>
    <w:link w:val="172"/>
    <w:qFormat/>
    <w:uiPriority w:val="0"/>
    <w:pPr>
      <w:ind w:firstLine="480"/>
    </w:pPr>
    <w:rPr>
      <w:b/>
    </w:rPr>
  </w:style>
  <w:style w:type="paragraph" w:customStyle="1" w:styleId="167">
    <w:name w:val="表头"/>
    <w:basedOn w:val="1"/>
    <w:link w:val="168"/>
    <w:qFormat/>
    <w:uiPriority w:val="0"/>
    <w:pPr>
      <w:jc w:val="center"/>
    </w:pPr>
    <w:rPr>
      <w:rFonts w:ascii="Arial" w:hAnsi="Arial"/>
      <w:b/>
      <w:kern w:val="0"/>
      <w:sz w:val="20"/>
      <w:szCs w:val="21"/>
      <w:lang w:val="zh-CN" w:eastAsia="zh-CN"/>
    </w:rPr>
  </w:style>
  <w:style w:type="character" w:customStyle="1" w:styleId="168">
    <w:name w:val="表头 Char"/>
    <w:link w:val="167"/>
    <w:qFormat/>
    <w:uiPriority w:val="0"/>
    <w:rPr>
      <w:rFonts w:ascii="Arial" w:hAnsi="Arial" w:eastAsia="宋体" w:cs="Times New Roman"/>
      <w:b/>
      <w:kern w:val="0"/>
      <w:sz w:val="20"/>
      <w:szCs w:val="21"/>
      <w:lang w:val="zh-CN" w:eastAsia="zh-CN"/>
    </w:rPr>
  </w:style>
  <w:style w:type="character" w:customStyle="1" w:styleId="169">
    <w:name w:val="纯文本 Char"/>
    <w:basedOn w:val="87"/>
    <w:qFormat/>
    <w:uiPriority w:val="0"/>
    <w:rPr>
      <w:rFonts w:ascii="宋体" w:hAnsi="Courier New" w:eastAsia="宋体" w:cs="Courier New"/>
      <w:szCs w:val="21"/>
    </w:rPr>
  </w:style>
  <w:style w:type="character" w:customStyle="1" w:styleId="170">
    <w:name w:val="纯文本 Char1"/>
    <w:link w:val="46"/>
    <w:qFormat/>
    <w:uiPriority w:val="0"/>
    <w:rPr>
      <w:rFonts w:ascii="宋体" w:hAnsi="Courier New" w:eastAsia="宋体" w:cs="Times New Roman"/>
      <w:szCs w:val="20"/>
    </w:rPr>
  </w:style>
  <w:style w:type="paragraph" w:customStyle="1" w:styleId="171">
    <w:name w:val="Asterisk"/>
    <w:basedOn w:val="1"/>
    <w:next w:val="1"/>
    <w:qFormat/>
    <w:uiPriority w:val="0"/>
    <w:pPr>
      <w:widowControl/>
      <w:numPr>
        <w:ilvl w:val="0"/>
        <w:numId w:val="9"/>
      </w:numPr>
      <w:suppressLineNumbers/>
      <w:tabs>
        <w:tab w:val="left" w:pos="1140"/>
      </w:tabs>
      <w:suppressAutoHyphens/>
      <w:spacing w:after="240"/>
      <w:ind w:left="1440"/>
    </w:pPr>
    <w:rPr>
      <w:kern w:val="0"/>
      <w:sz w:val="23"/>
      <w:szCs w:val="20"/>
      <w:lang w:val="en-GB" w:eastAsia="en-US"/>
    </w:rPr>
  </w:style>
  <w:style w:type="character" w:customStyle="1" w:styleId="172">
    <w:name w:val="样式2 Char"/>
    <w:link w:val="166"/>
    <w:qFormat/>
    <w:uiPriority w:val="0"/>
    <w:rPr>
      <w:rFonts w:ascii="Arial" w:hAnsi="Arial" w:eastAsia="宋体"/>
      <w:b/>
      <w:sz w:val="24"/>
      <w:szCs w:val="24"/>
    </w:rPr>
  </w:style>
  <w:style w:type="paragraph" w:customStyle="1" w:styleId="173">
    <w:name w:val="hb1"/>
    <w:basedOn w:val="17"/>
    <w:link w:val="174"/>
    <w:qFormat/>
    <w:uiPriority w:val="0"/>
    <w:pPr>
      <w:spacing w:line="460" w:lineRule="exact"/>
      <w:ind w:firstLine="482"/>
      <w:jc w:val="both"/>
    </w:pPr>
    <w:rPr>
      <w:rFonts w:ascii="宋体" w:hAnsi="宋体" w:eastAsia="宋体" w:cs="Times New Roman"/>
      <w:color w:val="000000"/>
      <w:szCs w:val="24"/>
    </w:rPr>
  </w:style>
  <w:style w:type="character" w:customStyle="1" w:styleId="174">
    <w:name w:val="hb1 Char"/>
    <w:link w:val="173"/>
    <w:qFormat/>
    <w:uiPriority w:val="0"/>
    <w:rPr>
      <w:rFonts w:ascii="宋体" w:hAnsi="宋体" w:eastAsia="宋体" w:cs="Times New Roman"/>
      <w:color w:val="000000"/>
      <w:sz w:val="24"/>
      <w:szCs w:val="24"/>
    </w:rPr>
  </w:style>
  <w:style w:type="paragraph" w:customStyle="1" w:styleId="175">
    <w:name w:val="Default"/>
    <w:qFormat/>
    <w:uiPriority w:val="0"/>
    <w:pPr>
      <w:widowControl w:val="0"/>
      <w:autoSpaceDE w:val="0"/>
      <w:autoSpaceDN w:val="0"/>
      <w:adjustRightInd w:val="0"/>
    </w:pPr>
    <w:rPr>
      <w:rFonts w:ascii="宋体" w:eastAsia="宋体" w:cs="宋体" w:hAnsiTheme="minorHAnsi"/>
      <w:color w:val="000000"/>
      <w:kern w:val="0"/>
      <w:sz w:val="24"/>
      <w:szCs w:val="24"/>
      <w:lang w:val="en-US" w:eastAsia="zh-CN" w:bidi="ar-SA"/>
    </w:rPr>
  </w:style>
  <w:style w:type="character" w:customStyle="1" w:styleId="176">
    <w:name w:val="标题 6 Char"/>
    <w:basedOn w:val="87"/>
    <w:link w:val="8"/>
    <w:qFormat/>
    <w:uiPriority w:val="0"/>
    <w:rPr>
      <w:rFonts w:ascii="Arial" w:hAnsi="Arial" w:eastAsia="黑体" w:cs="Times New Roman"/>
      <w:b/>
      <w:sz w:val="24"/>
      <w:szCs w:val="20"/>
    </w:rPr>
  </w:style>
  <w:style w:type="character" w:customStyle="1" w:styleId="177">
    <w:name w:val="标题 7 Char"/>
    <w:basedOn w:val="87"/>
    <w:link w:val="9"/>
    <w:qFormat/>
    <w:uiPriority w:val="0"/>
    <w:rPr>
      <w:rFonts w:ascii="Times New Roman" w:hAnsi="Times New Roman" w:eastAsia="宋体" w:cs="Times New Roman"/>
      <w:b/>
      <w:sz w:val="24"/>
      <w:szCs w:val="20"/>
    </w:rPr>
  </w:style>
  <w:style w:type="character" w:customStyle="1" w:styleId="178">
    <w:name w:val="标题 8 Char"/>
    <w:basedOn w:val="87"/>
    <w:link w:val="10"/>
    <w:qFormat/>
    <w:uiPriority w:val="0"/>
    <w:rPr>
      <w:rFonts w:ascii="Arial" w:hAnsi="Arial" w:eastAsia="黑体" w:cs="Times New Roman"/>
      <w:sz w:val="24"/>
      <w:szCs w:val="20"/>
    </w:rPr>
  </w:style>
  <w:style w:type="character" w:customStyle="1" w:styleId="179">
    <w:name w:val="标题 9 Char"/>
    <w:basedOn w:val="87"/>
    <w:link w:val="11"/>
    <w:qFormat/>
    <w:uiPriority w:val="0"/>
    <w:rPr>
      <w:rFonts w:ascii="Arial" w:hAnsi="Arial" w:eastAsia="黑体" w:cs="Times New Roman"/>
      <w:szCs w:val="20"/>
    </w:rPr>
  </w:style>
  <w:style w:type="paragraph" w:customStyle="1" w:styleId="180">
    <w:name w:val="样式  Char + 首行缩进:  2 字符"/>
    <w:basedOn w:val="1"/>
    <w:qFormat/>
    <w:uiPriority w:val="0"/>
    <w:pPr>
      <w:jc w:val="center"/>
    </w:pPr>
    <w:rPr>
      <w:rFonts w:ascii="Tahoma" w:hAnsi="Tahoma" w:cs="宋体"/>
      <w:sz w:val="24"/>
      <w:szCs w:val="20"/>
    </w:rPr>
  </w:style>
  <w:style w:type="paragraph" w:customStyle="1" w:styleId="181">
    <w:name w:val="表格小5"/>
    <w:qFormat/>
    <w:uiPriority w:val="0"/>
    <w:pPr>
      <w:spacing w:line="320" w:lineRule="exact"/>
      <w:jc w:val="center"/>
    </w:pPr>
    <w:rPr>
      <w:rFonts w:ascii="Arial" w:hAnsi="Arial" w:eastAsia="宋体" w:cs="宋体"/>
      <w:kern w:val="0"/>
      <w:sz w:val="18"/>
      <w:szCs w:val="20"/>
      <w:lang w:val="en-US" w:eastAsia="zh-CN" w:bidi="ar-SA"/>
    </w:rPr>
  </w:style>
  <w:style w:type="character" w:customStyle="1" w:styleId="182">
    <w:name w:val="正文文本 2 Char"/>
    <w:basedOn w:val="87"/>
    <w:link w:val="77"/>
    <w:qFormat/>
    <w:uiPriority w:val="0"/>
    <w:rPr>
      <w:rFonts w:ascii="宋体" w:hAnsi="宋体" w:eastAsia="宋体" w:cs="Times New Roman"/>
      <w:color w:val="000000"/>
      <w:kern w:val="0"/>
      <w:sz w:val="24"/>
      <w:szCs w:val="24"/>
      <w:shd w:val="clear" w:color="auto" w:fill="FFFFFF"/>
      <w:lang w:val="zh-CN"/>
    </w:rPr>
  </w:style>
  <w:style w:type="character" w:customStyle="1" w:styleId="183">
    <w:name w:val="表头 Char1"/>
    <w:basedOn w:val="87"/>
    <w:qFormat/>
    <w:uiPriority w:val="0"/>
    <w:rPr>
      <w:rFonts w:ascii="Times New Roman" w:hAnsi="Times New Roman" w:eastAsia="黑体" w:cs="Times New Roman"/>
      <w:b/>
      <w:shadow/>
      <w:szCs w:val="24"/>
    </w:rPr>
  </w:style>
  <w:style w:type="character" w:customStyle="1" w:styleId="184">
    <w:name w:val="列表 2 Char"/>
    <w:basedOn w:val="87"/>
    <w:link w:val="38"/>
    <w:qFormat/>
    <w:uiPriority w:val="0"/>
    <w:rPr>
      <w:rFonts w:ascii="楷体_GB2312" w:hAnsi="宋体" w:eastAsia="新宋体" w:cs="Times New Roman"/>
      <w:color w:val="000000"/>
      <w:szCs w:val="28"/>
    </w:rPr>
  </w:style>
  <w:style w:type="character" w:customStyle="1" w:styleId="185">
    <w:name w:val="文档结构图 Char"/>
    <w:basedOn w:val="87"/>
    <w:link w:val="29"/>
    <w:qFormat/>
    <w:uiPriority w:val="99"/>
    <w:rPr>
      <w:rFonts w:ascii="Times New Roman" w:hAnsi="Times New Roman" w:eastAsia="宋体" w:cs="Times New Roman"/>
      <w:szCs w:val="24"/>
      <w:shd w:val="clear" w:color="auto" w:fill="000080"/>
    </w:rPr>
  </w:style>
  <w:style w:type="paragraph" w:customStyle="1" w:styleId="186">
    <w:name w:val="表格"/>
    <w:basedOn w:val="1"/>
    <w:link w:val="187"/>
    <w:qFormat/>
    <w:uiPriority w:val="0"/>
    <w:pPr>
      <w:spacing w:line="360" w:lineRule="exact"/>
      <w:ind w:left="-10" w:leftChars="-10" w:right="-10" w:rightChars="-10"/>
    </w:pPr>
    <w:rPr>
      <w:rFonts w:ascii="Arial" w:hAnsi="Arial"/>
      <w:szCs w:val="21"/>
    </w:rPr>
  </w:style>
  <w:style w:type="character" w:customStyle="1" w:styleId="187">
    <w:name w:val="表格 Char"/>
    <w:basedOn w:val="87"/>
    <w:link w:val="186"/>
    <w:uiPriority w:val="0"/>
    <w:rPr>
      <w:rFonts w:ascii="Arial" w:hAnsi="Arial" w:eastAsia="宋体" w:cs="Times New Roman"/>
      <w:szCs w:val="21"/>
    </w:rPr>
  </w:style>
  <w:style w:type="paragraph" w:customStyle="1" w:styleId="188">
    <w:name w:val="表格（5号）"/>
    <w:basedOn w:val="1"/>
    <w:uiPriority w:val="0"/>
    <w:pPr>
      <w:spacing w:line="360" w:lineRule="exact"/>
      <w:ind w:left="-113" w:right="-113"/>
      <w:jc w:val="center"/>
    </w:pPr>
    <w:rPr>
      <w:rFonts w:ascii="宋体" w:hAnsi="宋体" w:cs="Courier New"/>
      <w:color w:val="000000"/>
      <w:sz w:val="18"/>
      <w:szCs w:val="20"/>
    </w:rPr>
  </w:style>
  <w:style w:type="paragraph" w:customStyle="1" w:styleId="189">
    <w:name w:val="样式3"/>
    <w:basedOn w:val="1"/>
    <w:uiPriority w:val="0"/>
    <w:pPr>
      <w:spacing w:beforeLines="10" w:afterLines="10" w:line="480" w:lineRule="auto"/>
      <w:jc w:val="center"/>
    </w:pPr>
    <w:rPr>
      <w:rFonts w:ascii="Arial" w:hAnsi="Arial"/>
      <w:sz w:val="24"/>
    </w:rPr>
  </w:style>
  <w:style w:type="paragraph" w:customStyle="1" w:styleId="190">
    <w:name w:val="框图"/>
    <w:basedOn w:val="1"/>
    <w:uiPriority w:val="0"/>
    <w:pPr>
      <w:jc w:val="center"/>
    </w:pPr>
    <w:rPr>
      <w:rFonts w:eastAsia="仿宋_GB2312"/>
      <w:szCs w:val="20"/>
    </w:rPr>
  </w:style>
  <w:style w:type="paragraph" w:customStyle="1" w:styleId="191">
    <w:name w:val="文本框"/>
    <w:basedOn w:val="78"/>
    <w:uiPriority w:val="0"/>
    <w:pPr>
      <w:spacing w:line="380" w:lineRule="exact"/>
      <w:ind w:firstLine="0" w:firstLineChars="0"/>
      <w:jc w:val="center"/>
    </w:pPr>
    <w:rPr>
      <w:rFonts w:ascii="宋体" w:hAnsi="宋体" w:cs="Times New Roman"/>
    </w:rPr>
  </w:style>
  <w:style w:type="character" w:customStyle="1" w:styleId="192">
    <w:name w:val="日期 Char"/>
    <w:basedOn w:val="87"/>
    <w:link w:val="51"/>
    <w:qFormat/>
    <w:uiPriority w:val="0"/>
    <w:rPr>
      <w:rFonts w:ascii="楷体_GB2312" w:hAnsi="Courier New" w:eastAsia="楷体_GB2312" w:cs="Times New Roman"/>
      <w:sz w:val="28"/>
      <w:szCs w:val="20"/>
    </w:rPr>
  </w:style>
  <w:style w:type="paragraph" w:customStyle="1" w:styleId="193">
    <w:name w:val="图框"/>
    <w:basedOn w:val="1"/>
    <w:uiPriority w:val="0"/>
    <w:pPr>
      <w:adjustRightInd w:val="0"/>
      <w:snapToGrid w:val="0"/>
      <w:jc w:val="center"/>
    </w:pPr>
    <w:rPr>
      <w:sz w:val="18"/>
    </w:rPr>
  </w:style>
  <w:style w:type="paragraph" w:customStyle="1" w:styleId="194">
    <w:name w:val="表中文字"/>
    <w:basedOn w:val="1"/>
    <w:qFormat/>
    <w:uiPriority w:val="0"/>
    <w:pPr>
      <w:snapToGrid w:val="0"/>
      <w:spacing w:line="400" w:lineRule="exact"/>
      <w:jc w:val="center"/>
    </w:pPr>
    <w:rPr>
      <w:rFonts w:ascii="Arial" w:hAnsi="Arial"/>
      <w:szCs w:val="20"/>
    </w:rPr>
  </w:style>
  <w:style w:type="character" w:customStyle="1" w:styleId="195">
    <w:name w:val="列表编号 2 Char"/>
    <w:basedOn w:val="87"/>
    <w:link w:val="18"/>
    <w:uiPriority w:val="0"/>
    <w:rPr>
      <w:rFonts w:eastAsia="宋体"/>
    </w:rPr>
  </w:style>
  <w:style w:type="paragraph" w:customStyle="1" w:styleId="196">
    <w:name w:val="标题3 Char Char Char Char Char Char1 Char"/>
    <w:basedOn w:val="1"/>
    <w:qFormat/>
    <w:uiPriority w:val="0"/>
    <w:pPr>
      <w:spacing w:afterLines="50" w:line="560" w:lineRule="exact"/>
    </w:pPr>
    <w:rPr>
      <w:rFonts w:eastAsia="黑体"/>
      <w:sz w:val="30"/>
      <w:szCs w:val="30"/>
    </w:rPr>
  </w:style>
  <w:style w:type="paragraph" w:customStyle="1" w:styleId="197">
    <w:name w:val="Char Char Char Char Char Char Char Char Char Char Char Char Char Char Char Char"/>
    <w:basedOn w:val="1"/>
    <w:next w:val="1"/>
    <w:qFormat/>
    <w:uiPriority w:val="0"/>
    <w:pPr>
      <w:tabs>
        <w:tab w:val="left" w:pos="885"/>
      </w:tabs>
      <w:spacing w:beforeLines="50" w:afterLines="100" w:line="360" w:lineRule="auto"/>
      <w:ind w:left="2210" w:hanging="748"/>
      <w:jc w:val="center"/>
    </w:pPr>
    <w:rPr>
      <w:kern w:val="0"/>
      <w:sz w:val="24"/>
    </w:rPr>
  </w:style>
  <w:style w:type="character" w:customStyle="1" w:styleId="198">
    <w:name w:val="正文文本缩进 2 Char"/>
    <w:basedOn w:val="87"/>
    <w:link w:val="52"/>
    <w:qFormat/>
    <w:uiPriority w:val="0"/>
    <w:rPr>
      <w:rFonts w:ascii="Times New Roman" w:hAnsi="Times New Roman" w:eastAsia="宋体" w:cs="Times New Roman"/>
      <w:szCs w:val="24"/>
    </w:rPr>
  </w:style>
  <w:style w:type="character" w:customStyle="1" w:styleId="199">
    <w:name w:val="批注文字 Char"/>
    <w:basedOn w:val="87"/>
    <w:link w:val="14"/>
    <w:qFormat/>
    <w:uiPriority w:val="0"/>
    <w:rPr>
      <w:rFonts w:ascii="Times New Roman" w:hAnsi="Times New Roman" w:eastAsia="宋体" w:cs="Times New Roman"/>
      <w:szCs w:val="24"/>
    </w:rPr>
  </w:style>
  <w:style w:type="character" w:customStyle="1" w:styleId="200">
    <w:name w:val="批注主题 Char"/>
    <w:basedOn w:val="199"/>
    <w:link w:val="13"/>
    <w:uiPriority w:val="0"/>
    <w:rPr>
      <w:rFonts w:ascii="Times New Roman" w:hAnsi="Times New Roman" w:eastAsia="宋体" w:cs="Times New Roman"/>
      <w:b/>
      <w:bCs/>
      <w:szCs w:val="24"/>
    </w:rPr>
  </w:style>
  <w:style w:type="character" w:customStyle="1" w:styleId="201">
    <w:name w:val="批注框文本 Char"/>
    <w:basedOn w:val="87"/>
    <w:link w:val="54"/>
    <w:qFormat/>
    <w:uiPriority w:val="99"/>
    <w:rPr>
      <w:rFonts w:ascii="Times New Roman" w:hAnsi="Times New Roman" w:eastAsia="宋体" w:cs="Times New Roman"/>
      <w:sz w:val="18"/>
      <w:szCs w:val="18"/>
    </w:rPr>
  </w:style>
  <w:style w:type="character" w:customStyle="1" w:styleId="202">
    <w:name w:val="正文首行缩进 Char"/>
    <w:basedOn w:val="160"/>
    <w:link w:val="16"/>
    <w:qFormat/>
    <w:uiPriority w:val="0"/>
    <w:rPr>
      <w:rFonts w:ascii="Times New Roman" w:hAnsi="Times New Roman" w:eastAsia="宋体" w:cs="Times New Roman"/>
      <w:sz w:val="24"/>
      <w:szCs w:val="24"/>
    </w:rPr>
  </w:style>
  <w:style w:type="paragraph" w:customStyle="1" w:styleId="203">
    <w:name w:val="表题"/>
    <w:basedOn w:val="1"/>
    <w:qFormat/>
    <w:uiPriority w:val="0"/>
    <w:pPr>
      <w:spacing w:beforeLines="50" w:afterLines="50" w:line="240" w:lineRule="atLeast"/>
      <w:jc w:val="center"/>
    </w:pPr>
    <w:rPr>
      <w:rFonts w:eastAsia="黑体"/>
      <w:sz w:val="24"/>
    </w:rPr>
  </w:style>
  <w:style w:type="paragraph" w:customStyle="1" w:styleId="204">
    <w:name w:val="表文"/>
    <w:basedOn w:val="1"/>
    <w:link w:val="206"/>
    <w:uiPriority w:val="0"/>
    <w:pPr>
      <w:spacing w:line="440" w:lineRule="exact"/>
      <w:jc w:val="center"/>
    </w:pPr>
    <w:rPr>
      <w:rFonts w:eastAsia="仿宋_GB2312"/>
    </w:rPr>
  </w:style>
  <w:style w:type="paragraph" w:customStyle="1" w:styleId="205">
    <w:name w:val="8 Char Char"/>
    <w:basedOn w:val="1"/>
    <w:semiHidden/>
    <w:uiPriority w:val="0"/>
    <w:pPr>
      <w:spacing w:line="360" w:lineRule="auto"/>
      <w:ind w:firstLine="480" w:firstLineChars="200"/>
    </w:pPr>
    <w:rPr>
      <w:kern w:val="10"/>
      <w:sz w:val="24"/>
    </w:rPr>
  </w:style>
  <w:style w:type="character" w:customStyle="1" w:styleId="206">
    <w:name w:val="表文 Char"/>
    <w:basedOn w:val="87"/>
    <w:link w:val="204"/>
    <w:qFormat/>
    <w:uiPriority w:val="0"/>
    <w:rPr>
      <w:rFonts w:ascii="Times New Roman" w:hAnsi="Times New Roman" w:eastAsia="仿宋_GB2312" w:cs="Times New Roman"/>
      <w:szCs w:val="24"/>
    </w:rPr>
  </w:style>
  <w:style w:type="paragraph" w:customStyle="1" w:styleId="207">
    <w:name w:val="样式 样式1 + 首行缩进:  2 字符"/>
    <w:basedOn w:val="78"/>
    <w:link w:val="208"/>
    <w:uiPriority w:val="0"/>
    <w:pPr>
      <w:spacing w:after="60" w:line="520" w:lineRule="exact"/>
      <w:ind w:firstLine="480"/>
    </w:pPr>
    <w:rPr>
      <w:rFonts w:ascii="宋体" w:hAnsi="宋体" w:cs="宋体"/>
      <w:kern w:val="0"/>
      <w:szCs w:val="20"/>
    </w:rPr>
  </w:style>
  <w:style w:type="character" w:customStyle="1" w:styleId="208">
    <w:name w:val="样式 样式1 + 首行缩进:  2 字符 Char"/>
    <w:basedOn w:val="165"/>
    <w:link w:val="207"/>
    <w:uiPriority w:val="0"/>
    <w:rPr>
      <w:rFonts w:ascii="宋体" w:hAnsi="宋体" w:eastAsia="宋体" w:cs="宋体"/>
      <w:kern w:val="0"/>
      <w:sz w:val="24"/>
      <w:szCs w:val="20"/>
    </w:rPr>
  </w:style>
  <w:style w:type="paragraph" w:customStyle="1" w:styleId="209">
    <w:name w:val="Char"/>
    <w:basedOn w:val="1"/>
    <w:uiPriority w:val="0"/>
  </w:style>
  <w:style w:type="paragraph" w:customStyle="1" w:styleId="210">
    <w:name w:val="引言"/>
    <w:basedOn w:val="1"/>
    <w:next w:val="1"/>
    <w:qFormat/>
    <w:uiPriority w:val="0"/>
    <w:pPr>
      <w:spacing w:line="480" w:lineRule="auto"/>
      <w:ind w:firstLine="480"/>
      <w:jc w:val="left"/>
    </w:pPr>
    <w:rPr>
      <w:rFonts w:ascii="宋体" w:hAnsi="宋体"/>
      <w:bCs/>
      <w:kern w:val="0"/>
      <w:szCs w:val="21"/>
    </w:rPr>
  </w:style>
  <w:style w:type="character" w:customStyle="1" w:styleId="211">
    <w:name w:val="Placeholder Text"/>
    <w:basedOn w:val="87"/>
    <w:semiHidden/>
    <w:qFormat/>
    <w:uiPriority w:val="99"/>
    <w:rPr>
      <w:color w:val="808080"/>
    </w:rPr>
  </w:style>
  <w:style w:type="paragraph" w:customStyle="1" w:styleId="212">
    <w:name w:val="表头2"/>
    <w:basedOn w:val="167"/>
    <w:qFormat/>
    <w:uiPriority w:val="0"/>
    <w:pPr>
      <w:keepNext/>
      <w:snapToGrid w:val="0"/>
      <w:spacing w:before="60" w:line="400" w:lineRule="atLeast"/>
    </w:pPr>
    <w:rPr>
      <w:rFonts w:ascii="Times New Roman" w:hAnsi="Times New Roman"/>
      <w:kern w:val="2"/>
      <w:sz w:val="24"/>
      <w:szCs w:val="24"/>
      <w:lang w:val="en-US" w:eastAsia="zh-CN"/>
    </w:rPr>
  </w:style>
  <w:style w:type="paragraph" w:customStyle="1" w:styleId="213">
    <w:name w:val="表、图名"/>
    <w:basedOn w:val="1"/>
    <w:link w:val="214"/>
    <w:qFormat/>
    <w:uiPriority w:val="0"/>
    <w:pPr>
      <w:jc w:val="center"/>
      <w:textAlignment w:val="baseline"/>
    </w:pPr>
    <w:rPr>
      <w:bCs/>
      <w:kern w:val="0"/>
      <w:sz w:val="18"/>
      <w:szCs w:val="18"/>
    </w:rPr>
  </w:style>
  <w:style w:type="character" w:customStyle="1" w:styleId="214">
    <w:name w:val="表、图名 Char"/>
    <w:basedOn w:val="87"/>
    <w:link w:val="213"/>
    <w:qFormat/>
    <w:uiPriority w:val="0"/>
    <w:rPr>
      <w:rFonts w:ascii="Times New Roman" w:hAnsi="Times New Roman" w:eastAsia="宋体" w:cs="Times New Roman"/>
      <w:bCs/>
      <w:kern w:val="0"/>
      <w:sz w:val="18"/>
      <w:szCs w:val="18"/>
    </w:rPr>
  </w:style>
  <w:style w:type="paragraph" w:customStyle="1" w:styleId="215">
    <w:name w:val="标题111 Char Char Char Char Char Char Char"/>
    <w:basedOn w:val="1"/>
    <w:uiPriority w:val="0"/>
    <w:pPr>
      <w:spacing w:before="60" w:line="460" w:lineRule="atLeast"/>
      <w:ind w:firstLine="200" w:firstLineChars="200"/>
      <w:jc w:val="left"/>
    </w:pPr>
    <w:rPr>
      <w:rFonts w:ascii="宋体" w:hAnsi="宋体" w:cs="宋体"/>
      <w:sz w:val="24"/>
    </w:rPr>
  </w:style>
  <w:style w:type="paragraph" w:customStyle="1" w:styleId="216">
    <w:name w:val="Char Char Char Char"/>
    <w:basedOn w:val="1"/>
    <w:qFormat/>
    <w:uiPriority w:val="0"/>
    <w:pPr>
      <w:spacing w:line="360" w:lineRule="auto"/>
      <w:ind w:firstLine="480" w:firstLineChars="200"/>
      <w:jc w:val="left"/>
    </w:pPr>
    <w:rPr>
      <w:sz w:val="24"/>
    </w:rPr>
  </w:style>
  <w:style w:type="character" w:customStyle="1" w:styleId="217">
    <w:name w:val="标题 Char"/>
    <w:basedOn w:val="87"/>
    <w:link w:val="86"/>
    <w:uiPriority w:val="0"/>
    <w:rPr>
      <w:rFonts w:ascii="Arial" w:hAnsi="Arial" w:eastAsia="宋体" w:cs="Arial"/>
      <w:b/>
      <w:bCs/>
      <w:sz w:val="32"/>
      <w:szCs w:val="32"/>
    </w:rPr>
  </w:style>
  <w:style w:type="paragraph" w:customStyle="1" w:styleId="218">
    <w:name w:val="标题2"/>
    <w:basedOn w:val="1"/>
    <w:next w:val="1"/>
    <w:qFormat/>
    <w:uiPriority w:val="0"/>
    <w:pPr>
      <w:spacing w:beforeLines="50" w:afterLines="50" w:line="360" w:lineRule="auto"/>
      <w:ind w:firstLine="480" w:firstLineChars="200"/>
      <w:jc w:val="left"/>
      <w:outlineLvl w:val="1"/>
    </w:pPr>
    <w:rPr>
      <w:b/>
      <w:sz w:val="30"/>
      <w:szCs w:val="30"/>
    </w:rPr>
  </w:style>
  <w:style w:type="character" w:customStyle="1" w:styleId="219">
    <w:name w:val="正文文本缩进 Char"/>
    <w:basedOn w:val="87"/>
    <w:link w:val="36"/>
    <w:uiPriority w:val="0"/>
    <w:rPr>
      <w:rFonts w:ascii="Times New Roman" w:hAnsi="Times New Roman" w:eastAsia="宋体" w:cs="Times New Roman"/>
      <w:sz w:val="24"/>
      <w:szCs w:val="24"/>
    </w:rPr>
  </w:style>
  <w:style w:type="paragraph" w:customStyle="1" w:styleId="220">
    <w:name w:val="样式5"/>
    <w:basedOn w:val="2"/>
    <w:uiPriority w:val="0"/>
    <w:pPr>
      <w:pageBreakBefore/>
      <w:numPr>
        <w:numId w:val="0"/>
      </w:numPr>
      <w:tabs>
        <w:tab w:val="clear" w:pos="294"/>
        <w:tab w:val="clear" w:pos="720"/>
        <w:tab w:val="clear" w:pos="1080"/>
        <w:tab w:val="clear" w:pos="1440"/>
      </w:tabs>
      <w:adjustRightInd/>
      <w:snapToGrid/>
      <w:spacing w:before="0" w:beforeLines="0" w:after="480" w:afterLines="0" w:line="480" w:lineRule="auto"/>
      <w:jc w:val="both"/>
    </w:pPr>
    <w:rPr>
      <w:rFonts w:ascii="黑体" w:hAnsi="Times New Roman" w:eastAsia="黑体"/>
      <w:bCs/>
      <w:sz w:val="32"/>
      <w:szCs w:val="28"/>
    </w:rPr>
  </w:style>
  <w:style w:type="paragraph" w:customStyle="1" w:styleId="221">
    <w:name w:val="样式6"/>
    <w:uiPriority w:val="0"/>
    <w:pPr>
      <w:spacing w:line="360" w:lineRule="auto"/>
      <w:jc w:val="center"/>
    </w:pPr>
    <w:rPr>
      <w:rFonts w:ascii="黑体" w:hAnsi="Times New Roman" w:eastAsia="宋体" w:cs="Times New Roman"/>
      <w:b/>
      <w:color w:val="000000"/>
      <w:kern w:val="0"/>
      <w:sz w:val="36"/>
      <w:szCs w:val="30"/>
      <w:lang w:val="en-US" w:eastAsia="zh-CN" w:bidi="ar-SA"/>
    </w:rPr>
  </w:style>
  <w:style w:type="paragraph" w:customStyle="1" w:styleId="222">
    <w:name w:val="样式7"/>
    <w:uiPriority w:val="0"/>
    <w:pPr>
      <w:jc w:val="center"/>
    </w:pPr>
    <w:rPr>
      <w:rFonts w:ascii="Times New Roman" w:hAnsi="Times New Roman" w:eastAsia="宋体" w:cs="Times New Roman"/>
      <w:bCs/>
      <w:kern w:val="2"/>
      <w:sz w:val="21"/>
      <w:szCs w:val="30"/>
      <w:lang w:val="en-US" w:eastAsia="zh-CN" w:bidi="ar-SA"/>
    </w:rPr>
  </w:style>
  <w:style w:type="character" w:customStyle="1" w:styleId="223">
    <w:name w:val="正文文本缩进 3 Char"/>
    <w:basedOn w:val="87"/>
    <w:link w:val="71"/>
    <w:uiPriority w:val="0"/>
    <w:rPr>
      <w:rFonts w:ascii="Times New Roman" w:hAnsi="Times New Roman" w:eastAsia="宋体" w:cs="Times New Roman"/>
      <w:sz w:val="28"/>
      <w:szCs w:val="24"/>
    </w:rPr>
  </w:style>
  <w:style w:type="paragraph" w:customStyle="1" w:styleId="224">
    <w:name w:val="表格标题"/>
    <w:basedOn w:val="17"/>
    <w:link w:val="780"/>
    <w:uiPriority w:val="0"/>
    <w:pPr>
      <w:spacing w:after="120" w:line="240" w:lineRule="auto"/>
      <w:ind w:firstLine="0" w:firstLineChars="0"/>
      <w:jc w:val="both"/>
    </w:pPr>
    <w:rPr>
      <w:rFonts w:ascii="Times New Roman" w:hAnsi="Times New Roman" w:eastAsia="宋体" w:cs="Times New Roman"/>
      <w:sz w:val="21"/>
      <w:szCs w:val="24"/>
    </w:rPr>
  </w:style>
  <w:style w:type="paragraph" w:customStyle="1" w:styleId="225">
    <w:name w:val="xl40"/>
    <w:basedOn w:val="1"/>
    <w:qFormat/>
    <w:uiPriority w:val="0"/>
    <w:pPr>
      <w:widowControl/>
      <w:pBdr>
        <w:bottom w:val="single" w:color="auto" w:sz="4" w:space="0"/>
      </w:pBdr>
      <w:spacing w:before="100" w:beforeAutospacing="1" w:after="100" w:afterAutospacing="1" w:line="360" w:lineRule="auto"/>
      <w:ind w:firstLine="480" w:firstLineChars="200"/>
      <w:jc w:val="center"/>
    </w:pPr>
    <w:rPr>
      <w:rFonts w:eastAsia="Arial Unicode MS"/>
      <w:kern w:val="0"/>
      <w:sz w:val="24"/>
    </w:rPr>
  </w:style>
  <w:style w:type="paragraph" w:customStyle="1" w:styleId="226">
    <w:name w:val="表文字"/>
    <w:basedOn w:val="1"/>
    <w:uiPriority w:val="0"/>
    <w:pPr>
      <w:topLinePunct/>
      <w:adjustRightInd w:val="0"/>
      <w:spacing w:line="240" w:lineRule="exact"/>
      <w:ind w:firstLine="480" w:firstLineChars="200"/>
      <w:jc w:val="center"/>
      <w:textAlignment w:val="baseline"/>
    </w:pPr>
    <w:rPr>
      <w:sz w:val="24"/>
      <w:szCs w:val="21"/>
    </w:rPr>
  </w:style>
  <w:style w:type="paragraph" w:customStyle="1" w:styleId="227">
    <w:name w:val="样式 标题 3 + 段前: 6 磅"/>
    <w:basedOn w:val="5"/>
    <w:qFormat/>
    <w:uiPriority w:val="0"/>
    <w:pPr>
      <w:numPr>
        <w:numId w:val="0"/>
      </w:numPr>
      <w:spacing w:before="0" w:beforeLines="0" w:after="0" w:afterLines="0" w:line="415" w:lineRule="auto"/>
    </w:pPr>
    <w:rPr>
      <w:rFonts w:ascii="Arial" w:hAnsi="Arial" w:cs="Arial"/>
      <w:b/>
      <w:bCs/>
      <w:sz w:val="28"/>
      <w:szCs w:val="20"/>
    </w:rPr>
  </w:style>
  <w:style w:type="paragraph" w:customStyle="1" w:styleId="228">
    <w:name w:val="样式 首行缩进:  2 字符"/>
    <w:basedOn w:val="1"/>
    <w:link w:val="547"/>
    <w:qFormat/>
    <w:uiPriority w:val="0"/>
    <w:pPr>
      <w:spacing w:line="360" w:lineRule="auto"/>
      <w:ind w:firstLine="480" w:firstLineChars="200"/>
      <w:jc w:val="left"/>
    </w:pPr>
    <w:rPr>
      <w:rFonts w:ascii="宋体" w:hAnsi="宋体"/>
      <w:sz w:val="24"/>
      <w:szCs w:val="18"/>
    </w:rPr>
  </w:style>
  <w:style w:type="paragraph" w:customStyle="1" w:styleId="229">
    <w:name w:val="简单回函地址"/>
    <w:basedOn w:val="1"/>
    <w:qFormat/>
    <w:uiPriority w:val="0"/>
    <w:pPr>
      <w:spacing w:line="360" w:lineRule="auto"/>
      <w:ind w:firstLine="480" w:firstLineChars="200"/>
      <w:jc w:val="left"/>
    </w:pPr>
    <w:rPr>
      <w:sz w:val="24"/>
    </w:rPr>
  </w:style>
  <w:style w:type="character" w:customStyle="1" w:styleId="230">
    <w:name w:val="text2"/>
    <w:basedOn w:val="87"/>
    <w:uiPriority w:val="0"/>
  </w:style>
  <w:style w:type="paragraph" w:customStyle="1" w:styleId="231">
    <w:name w:val="图表目录1"/>
    <w:basedOn w:val="74"/>
    <w:qFormat/>
    <w:uiPriority w:val="0"/>
    <w:pPr>
      <w:spacing w:beforeLines="50" w:line="360" w:lineRule="auto"/>
      <w:ind w:left="0" w:leftChars="0" w:firstLine="811" w:firstLineChars="400"/>
      <w:jc w:val="center"/>
    </w:pPr>
    <w:rPr>
      <w:rFonts w:eastAsia="黑体"/>
      <w:b/>
      <w:bCs/>
      <w:spacing w:val="-4"/>
      <w:sz w:val="24"/>
      <w:szCs w:val="24"/>
    </w:rPr>
  </w:style>
  <w:style w:type="paragraph" w:customStyle="1" w:styleId="232">
    <w:name w:val="Char Char Char Char Char Char Char Char Char Char Char Char Char Char Char Char1"/>
    <w:basedOn w:val="1"/>
    <w:uiPriority w:val="0"/>
    <w:pPr>
      <w:spacing w:line="360" w:lineRule="auto"/>
      <w:ind w:firstLine="480" w:firstLineChars="200"/>
      <w:jc w:val="left"/>
    </w:pPr>
    <w:rPr>
      <w:sz w:val="24"/>
    </w:rPr>
  </w:style>
  <w:style w:type="paragraph" w:customStyle="1" w:styleId="233">
    <w:name w:val="Char2"/>
    <w:basedOn w:val="1"/>
    <w:qFormat/>
    <w:uiPriority w:val="0"/>
    <w:pPr>
      <w:spacing w:line="360" w:lineRule="auto"/>
      <w:ind w:firstLine="480" w:firstLineChars="200"/>
      <w:jc w:val="left"/>
    </w:pPr>
    <w:rPr>
      <w:rFonts w:ascii="Tahoma" w:hAnsi="Tahoma"/>
      <w:sz w:val="24"/>
      <w:szCs w:val="20"/>
    </w:rPr>
  </w:style>
  <w:style w:type="paragraph" w:customStyle="1" w:styleId="234">
    <w:name w:val="样式 标题 2H2节标题 1.1节标题 1.1 Char + 非加粗 首行缩进:  0 厘米"/>
    <w:basedOn w:val="3"/>
    <w:uiPriority w:val="0"/>
    <w:pPr>
      <w:numPr>
        <w:numId w:val="0"/>
      </w:numPr>
      <w:tabs>
        <w:tab w:val="left" w:pos="720"/>
      </w:tabs>
      <w:adjustRightInd/>
      <w:spacing w:before="0" w:beforeLines="0" w:after="0" w:afterLines="0" w:line="560" w:lineRule="exact"/>
      <w:textAlignment w:val="baseline"/>
    </w:pPr>
    <w:rPr>
      <w:rFonts w:ascii="黑体" w:hAnsi="Times New Roman" w:eastAsia="黑体" w:cs="宋体"/>
      <w:b w:val="0"/>
      <w:color w:val="000000"/>
      <w:kern w:val="0"/>
      <w:sz w:val="30"/>
      <w:szCs w:val="30"/>
    </w:rPr>
  </w:style>
  <w:style w:type="paragraph" w:customStyle="1" w:styleId="235">
    <w:name w:val="正文(首行缩进)"/>
    <w:basedOn w:val="1"/>
    <w:link w:val="333"/>
    <w:uiPriority w:val="0"/>
    <w:pPr>
      <w:spacing w:line="360" w:lineRule="auto"/>
      <w:ind w:firstLine="540" w:firstLineChars="225"/>
      <w:jc w:val="left"/>
    </w:pPr>
    <w:rPr>
      <w:snapToGrid w:val="0"/>
      <w:color w:val="000000"/>
      <w:kern w:val="0"/>
      <w:sz w:val="24"/>
    </w:rPr>
  </w:style>
  <w:style w:type="character" w:customStyle="1" w:styleId="236">
    <w:name w:val="textbig1"/>
    <w:basedOn w:val="87"/>
    <w:uiPriority w:val="0"/>
    <w:rPr>
      <w:sz w:val="18"/>
      <w:szCs w:val="18"/>
    </w:rPr>
  </w:style>
  <w:style w:type="character" w:customStyle="1" w:styleId="237">
    <w:name w:val="t11"/>
    <w:basedOn w:val="87"/>
    <w:uiPriority w:val="0"/>
    <w:rPr>
      <w:color w:val="000066"/>
      <w:sz w:val="18"/>
      <w:szCs w:val="18"/>
    </w:rPr>
  </w:style>
  <w:style w:type="paragraph" w:customStyle="1" w:styleId="238">
    <w:name w:val="Char Char Char"/>
    <w:basedOn w:val="1"/>
    <w:uiPriority w:val="0"/>
    <w:pPr>
      <w:spacing w:line="360" w:lineRule="auto"/>
      <w:ind w:firstLine="200" w:firstLineChars="200"/>
      <w:jc w:val="left"/>
    </w:pPr>
    <w:rPr>
      <w:rFonts w:ascii="宋体" w:hAnsi="宋体" w:cs="宋体"/>
      <w:sz w:val="24"/>
    </w:rPr>
  </w:style>
  <w:style w:type="paragraph" w:customStyle="1" w:styleId="239">
    <w:name w:val="表格内字体"/>
    <w:basedOn w:val="1"/>
    <w:uiPriority w:val="0"/>
    <w:pPr>
      <w:spacing w:line="360" w:lineRule="auto"/>
      <w:ind w:firstLine="480" w:firstLineChars="200"/>
      <w:jc w:val="center"/>
    </w:pPr>
    <w:rPr>
      <w:rFonts w:ascii="宋体" w:cs="宋体"/>
      <w:sz w:val="24"/>
      <w:szCs w:val="20"/>
    </w:rPr>
  </w:style>
  <w:style w:type="paragraph" w:customStyle="1" w:styleId="240">
    <w:name w:val="正文表格"/>
    <w:basedOn w:val="1"/>
    <w:qFormat/>
    <w:uiPriority w:val="0"/>
    <w:pPr>
      <w:keepNext/>
      <w:keepLines/>
      <w:tabs>
        <w:tab w:val="center" w:pos="6804"/>
      </w:tabs>
      <w:overflowPunct w:val="0"/>
      <w:adjustRightInd w:val="0"/>
      <w:spacing w:before="80" w:line="360" w:lineRule="auto"/>
      <w:ind w:firstLine="480" w:firstLineChars="200"/>
      <w:jc w:val="center"/>
      <w:textAlignment w:val="bottom"/>
    </w:pPr>
    <w:rPr>
      <w:kern w:val="0"/>
      <w:sz w:val="24"/>
      <w:szCs w:val="20"/>
    </w:rPr>
  </w:style>
  <w:style w:type="paragraph" w:customStyle="1" w:styleId="241">
    <w:name w:val="标题 2 + Times New Roman1"/>
    <w:basedOn w:val="3"/>
    <w:uiPriority w:val="0"/>
    <w:pPr>
      <w:numPr>
        <w:numId w:val="0"/>
      </w:numPr>
      <w:adjustRightInd/>
      <w:spacing w:before="0" w:beforeLines="0" w:after="0" w:afterLines="0" w:line="416" w:lineRule="auto"/>
      <w:ind w:firstLine="480" w:firstLineChars="200"/>
    </w:pPr>
    <w:rPr>
      <w:rFonts w:ascii="黑体" w:hAnsi="Times New Roman" w:eastAsia="黑体" w:cs="Arial"/>
      <w:color w:val="000000"/>
      <w:spacing w:val="6"/>
      <w:kern w:val="0"/>
      <w:sz w:val="32"/>
      <w:szCs w:val="32"/>
    </w:rPr>
  </w:style>
  <w:style w:type="paragraph" w:customStyle="1" w:styleId="242">
    <w:name w:val="正文小四缩"/>
    <w:basedOn w:val="1"/>
    <w:qFormat/>
    <w:uiPriority w:val="0"/>
    <w:pPr>
      <w:adjustRightInd w:val="0"/>
      <w:spacing w:before="120" w:line="420" w:lineRule="atLeast"/>
      <w:ind w:firstLine="510" w:firstLineChars="200"/>
      <w:jc w:val="left"/>
      <w:textAlignment w:val="baseline"/>
    </w:pPr>
    <w:rPr>
      <w:rFonts w:ascii="宋体"/>
      <w:bCs/>
      <w:kern w:val="0"/>
      <w:sz w:val="24"/>
      <w:szCs w:val="20"/>
    </w:rPr>
  </w:style>
  <w:style w:type="paragraph" w:customStyle="1" w:styleId="243">
    <w:name w:val="正文表标题"/>
    <w:next w:val="6"/>
    <w:uiPriority w:val="0"/>
    <w:pPr>
      <w:jc w:val="center"/>
    </w:pPr>
    <w:rPr>
      <w:rFonts w:ascii="黑体" w:hAnsi="Times New Roman" w:eastAsia="黑体" w:cs="Times New Roman"/>
      <w:kern w:val="0"/>
      <w:sz w:val="21"/>
      <w:szCs w:val="20"/>
      <w:lang w:val="en-US" w:eastAsia="zh-CN" w:bidi="ar-SA"/>
    </w:rPr>
  </w:style>
  <w:style w:type="paragraph" w:customStyle="1" w:styleId="244">
    <w:name w:val="目次、标准名称标题"/>
    <w:basedOn w:val="1"/>
    <w:next w:val="6"/>
    <w:qFormat/>
    <w:uiPriority w:val="0"/>
    <w:pPr>
      <w:widowControl/>
      <w:shd w:val="clear" w:color="FFFFFF" w:fill="FFFFFF"/>
      <w:spacing w:before="640" w:after="560" w:line="460" w:lineRule="exact"/>
      <w:ind w:firstLine="480" w:firstLineChars="200"/>
      <w:jc w:val="center"/>
      <w:outlineLvl w:val="0"/>
    </w:pPr>
    <w:rPr>
      <w:rFonts w:ascii="黑体" w:eastAsia="黑体"/>
      <w:kern w:val="0"/>
      <w:sz w:val="32"/>
      <w:szCs w:val="20"/>
    </w:rPr>
  </w:style>
  <w:style w:type="paragraph" w:customStyle="1" w:styleId="245">
    <w:name w:val="标准书眉_奇数页"/>
    <w:next w:val="1"/>
    <w:uiPriority w:val="0"/>
    <w:pPr>
      <w:tabs>
        <w:tab w:val="center" w:pos="4154"/>
        <w:tab w:val="right" w:pos="8306"/>
      </w:tabs>
      <w:spacing w:after="120"/>
      <w:jc w:val="right"/>
    </w:pPr>
    <w:rPr>
      <w:rFonts w:ascii="Times New Roman" w:hAnsi="Times New Roman" w:eastAsia="宋体" w:cs="Times New Roman"/>
      <w:kern w:val="0"/>
      <w:sz w:val="21"/>
      <w:szCs w:val="20"/>
      <w:lang w:val="en-US" w:eastAsia="zh-CN" w:bidi="ar-SA"/>
    </w:rPr>
  </w:style>
  <w:style w:type="paragraph" w:customStyle="1" w:styleId="246">
    <w:name w:val="默认段落字体 Para Char"/>
    <w:basedOn w:val="1"/>
    <w:next w:val="1"/>
    <w:qFormat/>
    <w:uiPriority w:val="0"/>
    <w:pPr>
      <w:spacing w:line="360" w:lineRule="auto"/>
      <w:ind w:firstLine="200" w:firstLineChars="200"/>
      <w:jc w:val="left"/>
    </w:pPr>
    <w:rPr>
      <w:rFonts w:ascii="宋体" w:hAnsi="宋体" w:cs="宋体"/>
      <w:sz w:val="24"/>
    </w:rPr>
  </w:style>
  <w:style w:type="paragraph" w:customStyle="1" w:styleId="247">
    <w:name w:val="3级标题"/>
    <w:basedOn w:val="5"/>
    <w:next w:val="5"/>
    <w:uiPriority w:val="0"/>
    <w:pPr>
      <w:numPr>
        <w:numId w:val="0"/>
      </w:numPr>
      <w:snapToGrid w:val="0"/>
      <w:spacing w:before="60" w:beforeLines="0" w:after="0" w:afterLines="0" w:line="460" w:lineRule="atLeast"/>
    </w:pPr>
    <w:rPr>
      <w:rFonts w:ascii="Arial" w:hAnsi="Arial" w:cs="Arial"/>
      <w:b/>
    </w:rPr>
  </w:style>
  <w:style w:type="paragraph" w:customStyle="1" w:styleId="248">
    <w:name w:val="表格头1"/>
    <w:basedOn w:val="1"/>
    <w:uiPriority w:val="0"/>
    <w:pPr>
      <w:spacing w:before="60" w:line="360" w:lineRule="atLeast"/>
      <w:ind w:firstLine="480" w:firstLineChars="200"/>
      <w:jc w:val="center"/>
    </w:pPr>
    <w:rPr>
      <w:b/>
      <w:sz w:val="24"/>
      <w:szCs w:val="21"/>
    </w:rPr>
  </w:style>
  <w:style w:type="paragraph" w:customStyle="1" w:styleId="249">
    <w:name w:val="正文调整"/>
    <w:basedOn w:val="1"/>
    <w:link w:val="250"/>
    <w:qFormat/>
    <w:uiPriority w:val="0"/>
    <w:pPr>
      <w:spacing w:before="60" w:line="460" w:lineRule="atLeast"/>
      <w:ind w:firstLine="200" w:firstLineChars="200"/>
      <w:jc w:val="left"/>
    </w:pPr>
    <w:rPr>
      <w:sz w:val="24"/>
    </w:rPr>
  </w:style>
  <w:style w:type="character" w:customStyle="1" w:styleId="250">
    <w:name w:val="正文调整 Char"/>
    <w:basedOn w:val="87"/>
    <w:link w:val="249"/>
    <w:qFormat/>
    <w:uiPriority w:val="0"/>
    <w:rPr>
      <w:rFonts w:ascii="Times New Roman" w:hAnsi="Times New Roman" w:eastAsia="宋体" w:cs="Times New Roman"/>
      <w:sz w:val="24"/>
      <w:szCs w:val="24"/>
    </w:rPr>
  </w:style>
  <w:style w:type="character" w:customStyle="1" w:styleId="251">
    <w:name w:val="css1"/>
    <w:basedOn w:val="87"/>
    <w:qFormat/>
    <w:uiPriority w:val="0"/>
    <w:rPr>
      <w:rFonts w:hint="default" w:ascii="Verdana" w:hAnsi="Verdana"/>
      <w:color w:val="666666"/>
      <w:sz w:val="18"/>
      <w:szCs w:val="18"/>
    </w:rPr>
  </w:style>
  <w:style w:type="paragraph" w:customStyle="1" w:styleId="252">
    <w:name w:val="默认段落字体 Para Char Char Char Char"/>
    <w:basedOn w:val="1"/>
    <w:qFormat/>
    <w:uiPriority w:val="0"/>
    <w:pPr>
      <w:spacing w:beforeLines="50" w:afterLines="50" w:line="360" w:lineRule="auto"/>
      <w:ind w:firstLine="480" w:firstLineChars="200"/>
      <w:jc w:val="left"/>
    </w:pPr>
    <w:rPr>
      <w:rFonts w:eastAsia="黑体"/>
      <w:sz w:val="30"/>
    </w:rPr>
  </w:style>
  <w:style w:type="paragraph" w:customStyle="1" w:styleId="253">
    <w:name w:val="前言、引言标题"/>
    <w:next w:val="1"/>
    <w:qFormat/>
    <w:uiPriority w:val="0"/>
    <w:pPr>
      <w:shd w:val="clear" w:color="FFFFFF" w:fill="FFFFFF"/>
      <w:spacing w:before="640" w:after="560"/>
      <w:ind w:left="1619" w:hanging="1619"/>
      <w:jc w:val="center"/>
      <w:outlineLvl w:val="0"/>
    </w:pPr>
    <w:rPr>
      <w:rFonts w:ascii="黑体" w:hAnsi="Times New Roman" w:eastAsia="黑体" w:cs="Times New Roman"/>
      <w:kern w:val="0"/>
      <w:sz w:val="32"/>
      <w:szCs w:val="20"/>
      <w:lang w:val="en-US" w:eastAsia="zh-CN" w:bidi="ar-SA"/>
    </w:rPr>
  </w:style>
  <w:style w:type="paragraph" w:customStyle="1" w:styleId="254">
    <w:name w:val="一级条标题"/>
    <w:next w:val="6"/>
    <w:uiPriority w:val="0"/>
    <w:pPr>
      <w:outlineLvl w:val="2"/>
    </w:pPr>
    <w:rPr>
      <w:rFonts w:ascii="Times New Roman" w:hAnsi="Times New Roman" w:eastAsia="黑体" w:cs="Times New Roman"/>
      <w:kern w:val="0"/>
      <w:sz w:val="21"/>
      <w:szCs w:val="20"/>
      <w:lang w:val="en-US" w:eastAsia="zh-CN" w:bidi="ar-SA"/>
    </w:rPr>
  </w:style>
  <w:style w:type="paragraph" w:customStyle="1" w:styleId="255">
    <w:name w:val="二级条标题"/>
    <w:basedOn w:val="254"/>
    <w:next w:val="6"/>
    <w:qFormat/>
    <w:uiPriority w:val="0"/>
  </w:style>
  <w:style w:type="paragraph" w:customStyle="1" w:styleId="256">
    <w:name w:val="实施日期"/>
    <w:basedOn w:val="1"/>
    <w:qFormat/>
    <w:uiPriority w:val="0"/>
    <w:pPr>
      <w:framePr w:w="4000" w:h="473" w:hRule="exact" w:vSpace="180" w:wrap="around" w:vAnchor="margin" w:hAnchor="margin" w:xAlign="right" w:y="13511" w:anchorLock="1"/>
      <w:widowControl/>
      <w:spacing w:line="360" w:lineRule="auto"/>
      <w:ind w:firstLine="480" w:firstLineChars="200"/>
      <w:jc w:val="right"/>
    </w:pPr>
    <w:rPr>
      <w:rFonts w:eastAsia="黑体"/>
      <w:kern w:val="0"/>
      <w:sz w:val="28"/>
      <w:szCs w:val="20"/>
    </w:rPr>
  </w:style>
  <w:style w:type="paragraph" w:customStyle="1" w:styleId="257">
    <w:name w:val="图表脚注"/>
    <w:next w:val="6"/>
    <w:uiPriority w:val="0"/>
    <w:pPr>
      <w:ind w:left="300" w:leftChars="200" w:hanging="100" w:hangingChars="100"/>
      <w:jc w:val="both"/>
    </w:pPr>
    <w:rPr>
      <w:rFonts w:ascii="宋体" w:hAnsi="Times New Roman" w:eastAsia="宋体" w:cs="Times New Roman"/>
      <w:kern w:val="0"/>
      <w:sz w:val="18"/>
      <w:szCs w:val="20"/>
      <w:lang w:val="en-US" w:eastAsia="zh-CN" w:bidi="ar-SA"/>
    </w:rPr>
  </w:style>
  <w:style w:type="character" w:customStyle="1" w:styleId="258">
    <w:name w:val="font_diary_size"/>
    <w:basedOn w:val="87"/>
    <w:uiPriority w:val="0"/>
  </w:style>
  <w:style w:type="character" w:customStyle="1" w:styleId="259">
    <w:name w:val="正文文本 3 Char"/>
    <w:basedOn w:val="87"/>
    <w:link w:val="33"/>
    <w:qFormat/>
    <w:uiPriority w:val="0"/>
    <w:rPr>
      <w:rFonts w:ascii="Times New Roman" w:hAnsi="Times New Roman" w:eastAsia="宋体" w:cs="Times New Roman"/>
      <w:sz w:val="16"/>
      <w:szCs w:val="16"/>
    </w:rPr>
  </w:style>
  <w:style w:type="paragraph" w:customStyle="1" w:styleId="260">
    <w:name w:val="表"/>
    <w:basedOn w:val="1"/>
    <w:uiPriority w:val="0"/>
    <w:pPr>
      <w:snapToGrid w:val="0"/>
      <w:spacing w:line="360" w:lineRule="auto"/>
      <w:ind w:firstLine="480" w:firstLineChars="200"/>
      <w:jc w:val="center"/>
    </w:pPr>
    <w:rPr>
      <w:spacing w:val="2"/>
      <w:sz w:val="24"/>
      <w:szCs w:val="20"/>
    </w:rPr>
  </w:style>
  <w:style w:type="paragraph" w:customStyle="1" w:styleId="261">
    <w:name w:val="Char Char1 Char Char Char Char Char Char Char Char Char Char Char Char Char Char Char Char Char Char Char Char1 Char"/>
    <w:basedOn w:val="1"/>
    <w:uiPriority w:val="0"/>
    <w:pPr>
      <w:spacing w:line="360" w:lineRule="auto"/>
      <w:ind w:firstLine="200" w:firstLineChars="200"/>
      <w:jc w:val="left"/>
    </w:pPr>
    <w:rPr>
      <w:rFonts w:ascii="宋体" w:hAnsi="宋体" w:cs="宋体"/>
      <w:sz w:val="24"/>
    </w:rPr>
  </w:style>
  <w:style w:type="character" w:customStyle="1" w:styleId="262">
    <w:name w:val="c1"/>
    <w:basedOn w:val="87"/>
    <w:uiPriority w:val="0"/>
    <w:rPr>
      <w:rFonts w:hint="default" w:ascii="ˎ̥" w:hAnsi="ˎ̥"/>
      <w:color w:val="000000"/>
      <w:sz w:val="21"/>
      <w:szCs w:val="21"/>
      <w:u w:val="none"/>
    </w:rPr>
  </w:style>
  <w:style w:type="paragraph" w:customStyle="1" w:styleId="263">
    <w:name w:val="正文-宋4 Char"/>
    <w:basedOn w:val="1"/>
    <w:link w:val="264"/>
    <w:qFormat/>
    <w:uiPriority w:val="0"/>
    <w:pPr>
      <w:widowControl/>
      <w:spacing w:line="360" w:lineRule="auto"/>
      <w:ind w:firstLine="200" w:firstLineChars="200"/>
      <w:jc w:val="left"/>
    </w:pPr>
    <w:rPr>
      <w:rFonts w:ascii="宋体" w:hAnsi="宋体" w:cs="宋体"/>
      <w:spacing w:val="20"/>
      <w:sz w:val="28"/>
      <w:szCs w:val="28"/>
    </w:rPr>
  </w:style>
  <w:style w:type="character" w:customStyle="1" w:styleId="264">
    <w:name w:val="正文-宋4 Char Char"/>
    <w:basedOn w:val="87"/>
    <w:link w:val="263"/>
    <w:uiPriority w:val="0"/>
    <w:rPr>
      <w:rFonts w:ascii="宋体" w:hAnsi="宋体" w:eastAsia="宋体" w:cs="宋体"/>
      <w:spacing w:val="20"/>
      <w:sz w:val="28"/>
      <w:szCs w:val="28"/>
    </w:rPr>
  </w:style>
  <w:style w:type="paragraph" w:customStyle="1" w:styleId="265">
    <w:name w:val="密级编号"/>
    <w:basedOn w:val="1"/>
    <w:qFormat/>
    <w:uiPriority w:val="0"/>
    <w:pPr>
      <w:adjustRightInd w:val="0"/>
      <w:spacing w:line="360" w:lineRule="auto"/>
      <w:ind w:firstLine="480" w:firstLineChars="200"/>
      <w:jc w:val="center"/>
      <w:textAlignment w:val="baseline"/>
    </w:pPr>
    <w:rPr>
      <w:rFonts w:ascii="仿宋_GB2312" w:eastAsia="仿宋_GB2312"/>
      <w:kern w:val="0"/>
      <w:sz w:val="24"/>
      <w:szCs w:val="20"/>
    </w:rPr>
  </w:style>
  <w:style w:type="paragraph" w:customStyle="1" w:styleId="266">
    <w:name w:val="正文-宋4 Char Char Char Char Char"/>
    <w:basedOn w:val="1"/>
    <w:link w:val="267"/>
    <w:qFormat/>
    <w:uiPriority w:val="0"/>
    <w:pPr>
      <w:widowControl/>
      <w:spacing w:line="360" w:lineRule="auto"/>
      <w:ind w:firstLine="200" w:firstLineChars="200"/>
      <w:jc w:val="left"/>
    </w:pPr>
    <w:rPr>
      <w:rFonts w:ascii="宋体" w:hAnsi="宋体" w:cs="宋体"/>
      <w:spacing w:val="20"/>
      <w:sz w:val="28"/>
      <w:szCs w:val="28"/>
    </w:rPr>
  </w:style>
  <w:style w:type="character" w:customStyle="1" w:styleId="267">
    <w:name w:val="正文-宋4 Char Char Char Char Char Char"/>
    <w:basedOn w:val="87"/>
    <w:link w:val="266"/>
    <w:qFormat/>
    <w:uiPriority w:val="0"/>
    <w:rPr>
      <w:rFonts w:ascii="宋体" w:hAnsi="宋体" w:eastAsia="宋体" w:cs="宋体"/>
      <w:spacing w:val="20"/>
      <w:sz w:val="28"/>
      <w:szCs w:val="28"/>
    </w:rPr>
  </w:style>
  <w:style w:type="paragraph" w:customStyle="1" w:styleId="268">
    <w:name w:val="表格文字"/>
    <w:basedOn w:val="1"/>
    <w:link w:val="476"/>
    <w:qFormat/>
    <w:uiPriority w:val="0"/>
    <w:pPr>
      <w:adjustRightInd w:val="0"/>
      <w:snapToGrid w:val="0"/>
      <w:spacing w:line="360" w:lineRule="auto"/>
      <w:ind w:firstLine="480" w:firstLineChars="200"/>
      <w:jc w:val="center"/>
      <w:textAlignment w:val="center"/>
    </w:pPr>
    <w:rPr>
      <w:sz w:val="24"/>
      <w:szCs w:val="20"/>
    </w:rPr>
  </w:style>
  <w:style w:type="paragraph" w:customStyle="1" w:styleId="269">
    <w:name w:val="正文-宋4 Char Char Char"/>
    <w:basedOn w:val="1"/>
    <w:link w:val="270"/>
    <w:uiPriority w:val="0"/>
    <w:pPr>
      <w:widowControl/>
      <w:spacing w:line="360" w:lineRule="auto"/>
      <w:ind w:firstLine="200" w:firstLineChars="200"/>
      <w:jc w:val="left"/>
    </w:pPr>
    <w:rPr>
      <w:rFonts w:ascii="宋体" w:hAnsi="宋体" w:cs="宋体"/>
      <w:spacing w:val="20"/>
      <w:sz w:val="28"/>
      <w:szCs w:val="28"/>
    </w:rPr>
  </w:style>
  <w:style w:type="character" w:customStyle="1" w:styleId="270">
    <w:name w:val="正文-宋4 Char Char Char Char"/>
    <w:basedOn w:val="87"/>
    <w:link w:val="269"/>
    <w:qFormat/>
    <w:uiPriority w:val="0"/>
    <w:rPr>
      <w:rFonts w:ascii="宋体" w:hAnsi="宋体" w:eastAsia="宋体" w:cs="宋体"/>
      <w:spacing w:val="20"/>
      <w:sz w:val="28"/>
      <w:szCs w:val="28"/>
    </w:rPr>
  </w:style>
  <w:style w:type="paragraph" w:customStyle="1" w:styleId="271">
    <w:name w:val="表左"/>
    <w:basedOn w:val="1"/>
    <w:uiPriority w:val="0"/>
    <w:pPr>
      <w:spacing w:line="300" w:lineRule="exact"/>
      <w:ind w:firstLine="108" w:firstLineChars="200"/>
      <w:jc w:val="left"/>
    </w:pPr>
    <w:rPr>
      <w:kern w:val="0"/>
      <w:sz w:val="24"/>
      <w:szCs w:val="21"/>
    </w:rPr>
  </w:style>
  <w:style w:type="paragraph" w:customStyle="1" w:styleId="272">
    <w:name w:val="正文1"/>
    <w:basedOn w:val="1"/>
    <w:next w:val="1"/>
    <w:link w:val="805"/>
    <w:qFormat/>
    <w:uiPriority w:val="0"/>
    <w:pPr>
      <w:snapToGrid w:val="0"/>
      <w:spacing w:line="270" w:lineRule="exact"/>
      <w:ind w:firstLine="480" w:firstLineChars="200"/>
      <w:jc w:val="center"/>
    </w:pPr>
    <w:rPr>
      <w:spacing w:val="8"/>
      <w:kern w:val="21"/>
      <w:sz w:val="24"/>
      <w:szCs w:val="20"/>
    </w:rPr>
  </w:style>
  <w:style w:type="paragraph" w:customStyle="1" w:styleId="273">
    <w:name w:val="xl24"/>
    <w:basedOn w:val="1"/>
    <w:qFormat/>
    <w:uiPriority w:val="0"/>
    <w:pPr>
      <w:widowControl/>
      <w:spacing w:before="100" w:beforeAutospacing="1" w:after="100" w:afterAutospacing="1" w:line="360" w:lineRule="auto"/>
      <w:ind w:firstLine="480" w:firstLineChars="200"/>
      <w:jc w:val="center"/>
    </w:pPr>
    <w:rPr>
      <w:rFonts w:ascii="Arial Unicode MS" w:hAnsi="Arial Unicode MS" w:eastAsia="Arial Unicode MS" w:cs="Arial Unicode MS"/>
      <w:kern w:val="0"/>
      <w:sz w:val="24"/>
    </w:rPr>
  </w:style>
  <w:style w:type="paragraph" w:customStyle="1" w:styleId="274">
    <w:name w:val="1 Char Char Char Char Char Char Char Char Char Char Char Char Char Char Char Char Char Char Char Char Char Char"/>
    <w:basedOn w:val="1"/>
    <w:uiPriority w:val="0"/>
    <w:pPr>
      <w:spacing w:line="360" w:lineRule="auto"/>
      <w:ind w:firstLine="480" w:firstLineChars="200"/>
      <w:jc w:val="left"/>
    </w:pPr>
    <w:rPr>
      <w:sz w:val="24"/>
    </w:rPr>
  </w:style>
  <w:style w:type="paragraph" w:customStyle="1" w:styleId="275">
    <w:name w:val="样式 正文首行缩进 2 + (符号) 宋体"/>
    <w:basedOn w:val="57"/>
    <w:link w:val="277"/>
    <w:uiPriority w:val="0"/>
    <w:pPr>
      <w:spacing w:after="0"/>
      <w:ind w:left="0" w:leftChars="0" w:firstLine="200"/>
    </w:pPr>
    <w:rPr>
      <w:rFonts w:ascii="宋体"/>
    </w:rPr>
  </w:style>
  <w:style w:type="character" w:customStyle="1" w:styleId="276">
    <w:name w:val="正文首行缩进 2 Char"/>
    <w:basedOn w:val="219"/>
    <w:link w:val="57"/>
    <w:uiPriority w:val="0"/>
    <w:rPr>
      <w:rFonts w:ascii="Times New Roman" w:hAnsi="Times New Roman" w:eastAsia="宋体" w:cs="Times New Roman"/>
      <w:sz w:val="24"/>
      <w:szCs w:val="24"/>
    </w:rPr>
  </w:style>
  <w:style w:type="character" w:customStyle="1" w:styleId="277">
    <w:name w:val="样式 正文首行缩进 2 + (符号) 宋体 Char"/>
    <w:basedOn w:val="87"/>
    <w:link w:val="275"/>
    <w:uiPriority w:val="0"/>
    <w:rPr>
      <w:rFonts w:ascii="宋体" w:hAnsi="Times New Roman" w:eastAsia="宋体" w:cs="Times New Roman"/>
      <w:sz w:val="24"/>
      <w:szCs w:val="24"/>
    </w:rPr>
  </w:style>
  <w:style w:type="paragraph" w:customStyle="1" w:styleId="278">
    <w:name w:val="Char Char Char Char Char Char Char"/>
    <w:basedOn w:val="1"/>
    <w:uiPriority w:val="0"/>
    <w:pPr>
      <w:widowControl/>
      <w:spacing w:after="160" w:line="240" w:lineRule="exact"/>
      <w:ind w:firstLine="480" w:firstLineChars="200"/>
      <w:jc w:val="left"/>
    </w:pPr>
    <w:rPr>
      <w:rFonts w:ascii="Arial" w:hAnsi="Arial" w:eastAsia="Times New Roman" w:cs="Verdana"/>
      <w:b/>
      <w:kern w:val="0"/>
      <w:sz w:val="24"/>
      <w:lang w:eastAsia="en-US"/>
    </w:rPr>
  </w:style>
  <w:style w:type="paragraph" w:customStyle="1" w:styleId="279">
    <w:name w:val="编制正文"/>
    <w:basedOn w:val="1"/>
    <w:qFormat/>
    <w:uiPriority w:val="0"/>
    <w:pPr>
      <w:tabs>
        <w:tab w:val="left" w:pos="8280"/>
      </w:tabs>
      <w:autoSpaceDE w:val="0"/>
      <w:autoSpaceDN w:val="0"/>
      <w:adjustRightInd w:val="0"/>
      <w:spacing w:afterLines="100" w:line="560" w:lineRule="exact"/>
      <w:ind w:right="210" w:rightChars="100" w:firstLine="520" w:firstLineChars="200"/>
      <w:jc w:val="left"/>
    </w:pPr>
    <w:rPr>
      <w:rFonts w:ascii="宋体" w:hAnsi="宋体" w:cs="宋体"/>
      <w:color w:val="000000"/>
      <w:spacing w:val="10"/>
      <w:sz w:val="24"/>
    </w:rPr>
  </w:style>
  <w:style w:type="paragraph" w:customStyle="1" w:styleId="280">
    <w:name w:val="1正文段落"/>
    <w:basedOn w:val="1"/>
    <w:link w:val="787"/>
    <w:uiPriority w:val="0"/>
    <w:pPr>
      <w:spacing w:line="360" w:lineRule="auto"/>
      <w:ind w:firstLine="480" w:firstLineChars="200"/>
      <w:jc w:val="left"/>
    </w:pPr>
    <w:rPr>
      <w:snapToGrid w:val="0"/>
      <w:kern w:val="0"/>
      <w:sz w:val="24"/>
    </w:rPr>
  </w:style>
  <w:style w:type="paragraph" w:customStyle="1" w:styleId="281">
    <w:name w:val="表中正文"/>
    <w:basedOn w:val="1"/>
    <w:qFormat/>
    <w:uiPriority w:val="0"/>
    <w:pPr>
      <w:tabs>
        <w:tab w:val="left" w:pos="958"/>
        <w:tab w:val="left" w:pos="7320"/>
        <w:tab w:val="left" w:pos="8160"/>
      </w:tabs>
      <w:adjustRightInd w:val="0"/>
      <w:spacing w:line="360" w:lineRule="atLeast"/>
      <w:ind w:right="113" w:firstLine="480" w:firstLineChars="200"/>
      <w:jc w:val="center"/>
      <w:textAlignment w:val="baseline"/>
    </w:pPr>
    <w:rPr>
      <w:rFonts w:ascii="宋体" w:hAnsi="宋体"/>
      <w:spacing w:val="6"/>
      <w:kern w:val="20"/>
      <w:sz w:val="24"/>
    </w:rPr>
  </w:style>
  <w:style w:type="paragraph" w:customStyle="1" w:styleId="282">
    <w:name w:val="默认段落字体 Para Char Char Char Char Char Char Char"/>
    <w:basedOn w:val="1"/>
    <w:semiHidden/>
    <w:uiPriority w:val="0"/>
    <w:pPr>
      <w:spacing w:line="360" w:lineRule="auto"/>
      <w:ind w:firstLine="200" w:firstLineChars="200"/>
      <w:jc w:val="left"/>
    </w:pPr>
    <w:rPr>
      <w:rFonts w:ascii="宋体" w:hAnsi="宋体" w:cs="宋体"/>
      <w:sz w:val="24"/>
    </w:rPr>
  </w:style>
  <w:style w:type="paragraph" w:customStyle="1" w:styleId="283">
    <w:name w:val="样式 样式 正文首行缩进 2 + (符号) 宋体 + (符号) 宋体 + (符号) 宋体 首行缩进:  2 字符"/>
    <w:basedOn w:val="1"/>
    <w:qFormat/>
    <w:uiPriority w:val="0"/>
    <w:pPr>
      <w:spacing w:line="480" w:lineRule="auto"/>
      <w:ind w:firstLine="464" w:firstLineChars="200"/>
      <w:jc w:val="left"/>
    </w:pPr>
    <w:rPr>
      <w:rFonts w:ascii="宋体" w:hAnsi="宋体" w:cs="宋体"/>
      <w:spacing w:val="-4"/>
      <w:sz w:val="24"/>
    </w:rPr>
  </w:style>
  <w:style w:type="paragraph" w:customStyle="1" w:styleId="284">
    <w:name w:val="样式 题注 + 黑体 小四 加粗"/>
    <w:basedOn w:val="25"/>
    <w:link w:val="285"/>
    <w:uiPriority w:val="0"/>
    <w:pPr>
      <w:spacing w:line="360" w:lineRule="auto"/>
      <w:ind w:firstLine="480" w:firstLineChars="200"/>
      <w:jc w:val="center"/>
    </w:pPr>
    <w:rPr>
      <w:rFonts w:ascii="黑体" w:hAnsi="黑体"/>
      <w:b/>
      <w:bCs/>
      <w:sz w:val="24"/>
    </w:rPr>
  </w:style>
  <w:style w:type="character" w:customStyle="1" w:styleId="285">
    <w:name w:val="样式 题注 + 黑体 小四 加粗 Char"/>
    <w:basedOn w:val="87"/>
    <w:link w:val="284"/>
    <w:uiPriority w:val="0"/>
    <w:rPr>
      <w:rFonts w:ascii="黑体" w:hAnsi="黑体" w:eastAsia="黑体" w:cs="Arial"/>
      <w:b/>
      <w:bCs/>
      <w:sz w:val="24"/>
      <w:szCs w:val="20"/>
    </w:rPr>
  </w:style>
  <w:style w:type="paragraph" w:customStyle="1" w:styleId="286">
    <w:name w:val="样式 正文首行缩进 2 + (符号) 宋体 + (符号) 宋体"/>
    <w:basedOn w:val="275"/>
    <w:link w:val="287"/>
    <w:qFormat/>
    <w:uiPriority w:val="0"/>
  </w:style>
  <w:style w:type="character" w:customStyle="1" w:styleId="287">
    <w:name w:val="样式 正文首行缩进 2 + (符号) 宋体 + (符号) 宋体 Char Char"/>
    <w:basedOn w:val="277"/>
    <w:link w:val="286"/>
    <w:uiPriority w:val="0"/>
    <w:rPr>
      <w:rFonts w:ascii="宋体" w:hAnsi="Times New Roman" w:eastAsia="宋体" w:cs="Times New Roman"/>
      <w:sz w:val="24"/>
      <w:szCs w:val="24"/>
    </w:rPr>
  </w:style>
  <w:style w:type="table" w:customStyle="1" w:styleId="288">
    <w:name w:val="表格样式1"/>
    <w:basedOn w:val="131"/>
    <w:uiPriority w:val="0"/>
    <w:pPr>
      <w:adjustRightInd w:val="0"/>
      <w:spacing w:line="360" w:lineRule="exact"/>
      <w:jc w:val="center"/>
      <w:textAlignment w:val="center"/>
    </w:pPr>
    <w:rPr>
      <w:rFonts w:ascii="宋体"/>
      <w:szCs w:val="21"/>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0" w:type="dxa"/>
        <w:bottom w:w="0" w:type="dxa"/>
        <w:right w:w="0" w:type="dxa"/>
      </w:tblCellMar>
    </w:tblPr>
    <w:tcPr>
      <w:tcMar>
        <w:left w:w="0" w:type="dxa"/>
        <w:right w:w="0" w:type="dxa"/>
      </w:tcMar>
      <w:vAlign w:val="center"/>
    </w:tcPr>
    <w:tblStylePr w:type="firstRow">
      <w:pPr>
        <w:jc w:val="center"/>
      </w:pPr>
      <w:rPr>
        <w:rFonts w:eastAsia="宋体"/>
        <w:b w:val="0"/>
        <w:bCs/>
        <w:color w:val="auto"/>
        <w:sz w:val="21"/>
      </w:rPr>
      <w:tblPr>
        <w:tblLayout w:type="fixed"/>
      </w:tblPr>
      <w:tcPr>
        <w:tcBorders>
          <w:tl2br w:val="nil"/>
          <w:tr2bl w:val="nil"/>
        </w:tcBorders>
        <w:shd w:val="pct20" w:color="000000" w:fill="FFFFFF"/>
      </w:tcPr>
    </w:tblStylePr>
    <w:tblStylePr w:type="band1Horz">
      <w:rPr>
        <w:color w:val="auto"/>
      </w:rPr>
      <w:tblPr>
        <w:tblLayout w:type="fixed"/>
      </w:tblPr>
      <w:tcPr>
        <w:tcBorders>
          <w:tl2br w:val="nil"/>
          <w:tr2bl w:val="nil"/>
        </w:tcBorders>
        <w:shd w:val="pct5" w:color="000000" w:fill="FFFFFF"/>
      </w:tcPr>
    </w:tblStylePr>
    <w:tblStylePr w:type="band2Horz">
      <w:rPr>
        <w:color w:val="auto"/>
      </w:rPr>
      <w:tblPr>
        <w:tblLayout w:type="fixed"/>
      </w:tblPr>
      <w:tcPr>
        <w:tcBorders>
          <w:tl2br w:val="nil"/>
          <w:tr2bl w:val="nil"/>
        </w:tcBorders>
        <w:shd w:val="pct20" w:color="000000" w:fill="FFFFFF"/>
      </w:tcPr>
    </w:tblStylePr>
  </w:style>
  <w:style w:type="character" w:customStyle="1" w:styleId="289">
    <w:name w:val="题注 Char"/>
    <w:basedOn w:val="87"/>
    <w:link w:val="25"/>
    <w:qFormat/>
    <w:uiPriority w:val="0"/>
    <w:rPr>
      <w:rFonts w:ascii="Arial" w:hAnsi="Arial" w:eastAsia="黑体" w:cs="Arial"/>
      <w:sz w:val="20"/>
      <w:szCs w:val="20"/>
    </w:rPr>
  </w:style>
  <w:style w:type="table" w:customStyle="1" w:styleId="290">
    <w:name w:val="自定义1"/>
    <w:basedOn w:val="141"/>
    <w:uiPriority w:val="0"/>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cPr>
      <w:shd w:val="clear" w:color="auto" w:fill="auto"/>
    </w:tcPr>
    <w:tblStylePr w:type="firstRow">
      <w:tblPr>
        <w:tblLayout w:type="fixed"/>
      </w:tblPr>
      <w:tcPr>
        <w:tcBorders>
          <w:bottom w:val="single" w:color="000000" w:sz="12" w:space="0"/>
          <w:tl2br w:val="nil"/>
          <w:tr2bl w:val="nil"/>
        </w:tcBorders>
      </w:tcPr>
    </w:tblStylePr>
    <w:tblStylePr w:type="lastRow">
      <w:rPr>
        <w:b/>
        <w:bCs/>
      </w:rPr>
      <w:tblPr>
        <w:tblLayout w:type="fixed"/>
      </w:tblPr>
      <w:tcPr>
        <w:tcBorders>
          <w:tl2br w:val="nil"/>
          <w:tr2bl w:val="nil"/>
        </w:tcBorders>
      </w:tcPr>
    </w:tblStylePr>
    <w:tblStylePr w:type="lastCol">
      <w:rPr>
        <w:b/>
        <w:b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character" w:customStyle="1" w:styleId="291">
    <w:name w:val="样式5 Char"/>
    <w:basedOn w:val="158"/>
    <w:qFormat/>
    <w:uiPriority w:val="0"/>
    <w:rPr>
      <w:rFonts w:ascii="宋体" w:hAnsi="宋体" w:eastAsia="仿宋_GB2312" w:cs="Arial"/>
      <w:bCs w:val="0"/>
      <w:kern w:val="2"/>
      <w:sz w:val="21"/>
      <w:szCs w:val="21"/>
      <w:lang w:val="en-US" w:eastAsia="zh-CN" w:bidi="ar-SA"/>
    </w:rPr>
  </w:style>
  <w:style w:type="paragraph" w:customStyle="1" w:styleId="292">
    <w:name w:val="样式 标题 2 + 黑色"/>
    <w:basedOn w:val="3"/>
    <w:next w:val="57"/>
    <w:link w:val="293"/>
    <w:qFormat/>
    <w:uiPriority w:val="0"/>
    <w:pPr>
      <w:numPr>
        <w:numId w:val="0"/>
      </w:numPr>
      <w:adjustRightInd/>
      <w:spacing w:before="0" w:beforeLines="0" w:after="0" w:afterLines="0"/>
    </w:pPr>
    <w:rPr>
      <w:rFonts w:ascii="黑体" w:hAnsi="Times New Roman" w:eastAsia="黑体" w:cs="Arial"/>
      <w:bCs/>
      <w:color w:val="000000"/>
      <w:kern w:val="18"/>
      <w:sz w:val="30"/>
      <w:szCs w:val="30"/>
    </w:rPr>
  </w:style>
  <w:style w:type="character" w:customStyle="1" w:styleId="293">
    <w:name w:val="样式 标题 2 + 黑色 Char"/>
    <w:basedOn w:val="87"/>
    <w:link w:val="292"/>
    <w:qFormat/>
    <w:uiPriority w:val="0"/>
    <w:rPr>
      <w:rFonts w:ascii="黑体" w:hAnsi="Times New Roman" w:eastAsia="黑体" w:cs="Arial"/>
      <w:b/>
      <w:bCs/>
      <w:color w:val="000000"/>
      <w:kern w:val="18"/>
      <w:sz w:val="30"/>
      <w:szCs w:val="30"/>
    </w:rPr>
  </w:style>
  <w:style w:type="paragraph" w:customStyle="1" w:styleId="294">
    <w:name w:val="样式 正文首行缩进 2 + 黑体 加粗"/>
    <w:basedOn w:val="57"/>
    <w:next w:val="57"/>
    <w:qFormat/>
    <w:uiPriority w:val="0"/>
    <w:pPr>
      <w:spacing w:after="0"/>
      <w:ind w:left="0" w:leftChars="0" w:firstLine="200"/>
    </w:pPr>
    <w:rPr>
      <w:rFonts w:ascii="宋体" w:hAnsi="黑体"/>
      <w:bCs/>
    </w:rPr>
  </w:style>
  <w:style w:type="paragraph" w:customStyle="1" w:styleId="295">
    <w:name w:val="样式 居中 首行缩进:  0 字符 Char Char"/>
    <w:basedOn w:val="1"/>
    <w:next w:val="1"/>
    <w:link w:val="296"/>
    <w:uiPriority w:val="0"/>
    <w:pPr>
      <w:tabs>
        <w:tab w:val="left" w:pos="9128"/>
      </w:tabs>
      <w:snapToGrid w:val="0"/>
      <w:spacing w:line="360" w:lineRule="auto"/>
      <w:ind w:firstLine="480" w:firstLineChars="200"/>
      <w:jc w:val="center"/>
    </w:pPr>
    <w:rPr>
      <w:rFonts w:ascii="宋体" w:hAnsi="宋体"/>
      <w:color w:val="FF0000"/>
      <w:sz w:val="18"/>
      <w:szCs w:val="18"/>
    </w:rPr>
  </w:style>
  <w:style w:type="character" w:customStyle="1" w:styleId="296">
    <w:name w:val="样式 居中 首行缩进:  0 字符 Char Char Char"/>
    <w:basedOn w:val="87"/>
    <w:link w:val="295"/>
    <w:uiPriority w:val="0"/>
    <w:rPr>
      <w:rFonts w:ascii="宋体" w:hAnsi="宋体" w:eastAsia="宋体" w:cs="Times New Roman"/>
      <w:color w:val="FF0000"/>
      <w:sz w:val="18"/>
      <w:szCs w:val="18"/>
    </w:rPr>
  </w:style>
  <w:style w:type="paragraph" w:customStyle="1" w:styleId="297">
    <w:name w:val="二级无标题条"/>
    <w:basedOn w:val="1"/>
    <w:uiPriority w:val="0"/>
    <w:pPr>
      <w:spacing w:line="360" w:lineRule="auto"/>
      <w:ind w:firstLine="480" w:firstLineChars="200"/>
      <w:jc w:val="left"/>
    </w:pPr>
    <w:rPr>
      <w:sz w:val="24"/>
    </w:rPr>
  </w:style>
  <w:style w:type="character" w:customStyle="1" w:styleId="298">
    <w:name w:val="样式 居中 首行缩进:  0 字符 Char"/>
    <w:basedOn w:val="87"/>
    <w:uiPriority w:val="0"/>
    <w:rPr>
      <w:rFonts w:ascii="宋体" w:hAnsi="宋体" w:eastAsia="宋体" w:cs="Arial"/>
      <w:kern w:val="2"/>
      <w:sz w:val="21"/>
      <w:szCs w:val="21"/>
      <w:lang w:val="en-US" w:eastAsia="zh-CN" w:bidi="ar-SA"/>
    </w:rPr>
  </w:style>
  <w:style w:type="paragraph" w:customStyle="1" w:styleId="299">
    <w:name w:val="样式 正文文本缩进 3 +"/>
    <w:basedOn w:val="71"/>
    <w:uiPriority w:val="0"/>
    <w:pPr>
      <w:spacing w:line="560" w:lineRule="exact"/>
      <w:ind w:firstLine="200"/>
      <w:textAlignment w:val="auto"/>
    </w:pPr>
    <w:rPr>
      <w:kern w:val="0"/>
    </w:rPr>
  </w:style>
  <w:style w:type="paragraph" w:customStyle="1" w:styleId="300">
    <w:name w:val="样式 行距: 固定值 30 磅"/>
    <w:basedOn w:val="1"/>
    <w:uiPriority w:val="0"/>
    <w:pPr>
      <w:spacing w:line="600" w:lineRule="exact"/>
      <w:ind w:firstLine="560" w:firstLineChars="200"/>
      <w:jc w:val="left"/>
    </w:pPr>
    <w:rPr>
      <w:rFonts w:ascii="宋体" w:cs="宋体"/>
      <w:sz w:val="24"/>
      <w:szCs w:val="21"/>
    </w:rPr>
  </w:style>
  <w:style w:type="paragraph" w:customStyle="1" w:styleId="301">
    <w:name w:val="Char Char Char Char Char Char Char Char Char Char"/>
    <w:basedOn w:val="1"/>
    <w:next w:val="1"/>
    <w:uiPriority w:val="0"/>
    <w:pPr>
      <w:spacing w:line="360" w:lineRule="auto"/>
      <w:ind w:firstLine="200" w:firstLineChars="200"/>
      <w:jc w:val="left"/>
    </w:pPr>
    <w:rPr>
      <w:rFonts w:ascii="宋体" w:hAnsi="宋体" w:cs="宋体"/>
      <w:sz w:val="24"/>
    </w:rPr>
  </w:style>
  <w:style w:type="paragraph" w:customStyle="1" w:styleId="302">
    <w:name w:val="4"/>
    <w:basedOn w:val="1"/>
    <w:next w:val="17"/>
    <w:uiPriority w:val="0"/>
    <w:pPr>
      <w:spacing w:line="360" w:lineRule="auto"/>
      <w:jc w:val="center"/>
    </w:pPr>
    <w:rPr>
      <w:rFonts w:eastAsia="方正仿宋简体"/>
      <w:b/>
      <w:w w:val="80"/>
      <w:sz w:val="48"/>
    </w:rPr>
  </w:style>
  <w:style w:type="paragraph" w:customStyle="1" w:styleId="303">
    <w:name w:val="表底说明"/>
    <w:basedOn w:val="1"/>
    <w:link w:val="304"/>
    <w:uiPriority w:val="0"/>
    <w:pPr>
      <w:spacing w:line="360" w:lineRule="auto"/>
      <w:ind w:firstLine="480" w:firstLineChars="200"/>
      <w:jc w:val="left"/>
    </w:pPr>
    <w:rPr>
      <w:sz w:val="18"/>
    </w:rPr>
  </w:style>
  <w:style w:type="character" w:customStyle="1" w:styleId="304">
    <w:name w:val="表底说明 Char"/>
    <w:basedOn w:val="87"/>
    <w:link w:val="303"/>
    <w:uiPriority w:val="0"/>
    <w:rPr>
      <w:rFonts w:ascii="Times New Roman" w:hAnsi="Times New Roman" w:eastAsia="宋体" w:cs="Times New Roman"/>
      <w:sz w:val="18"/>
      <w:szCs w:val="24"/>
    </w:rPr>
  </w:style>
  <w:style w:type="paragraph" w:customStyle="1" w:styleId="305">
    <w:name w:val="Char Char Char Char Char Char1 Char"/>
    <w:basedOn w:val="1"/>
    <w:uiPriority w:val="0"/>
    <w:pPr>
      <w:spacing w:line="360" w:lineRule="auto"/>
      <w:ind w:firstLine="480" w:firstLineChars="200"/>
      <w:jc w:val="left"/>
    </w:pPr>
    <w:rPr>
      <w:sz w:val="24"/>
    </w:rPr>
  </w:style>
  <w:style w:type="character" w:customStyle="1" w:styleId="306">
    <w:name w:val="t1"/>
    <w:basedOn w:val="87"/>
    <w:uiPriority w:val="0"/>
    <w:rPr>
      <w:rFonts w:hint="default" w:ascii="ˎ̥" w:hAnsi="ˎ̥"/>
      <w:color w:val="auto"/>
      <w:sz w:val="52"/>
      <w:szCs w:val="21"/>
    </w:rPr>
  </w:style>
  <w:style w:type="character" w:customStyle="1" w:styleId="307">
    <w:name w:val="hangju"/>
    <w:basedOn w:val="87"/>
    <w:uiPriority w:val="0"/>
  </w:style>
  <w:style w:type="paragraph" w:customStyle="1" w:styleId="308">
    <w:name w:val="Char Char Char1 Char Char Char Char Char Char Char"/>
    <w:basedOn w:val="1"/>
    <w:qFormat/>
    <w:uiPriority w:val="0"/>
    <w:pPr>
      <w:adjustRightInd w:val="0"/>
      <w:spacing w:line="312" w:lineRule="auto"/>
      <w:ind w:firstLine="480" w:firstLineChars="200"/>
      <w:jc w:val="left"/>
      <w:textAlignment w:val="baseline"/>
    </w:pPr>
    <w:rPr>
      <w:rFonts w:ascii="Tahoma" w:hAnsi="Tahoma"/>
      <w:kern w:val="0"/>
      <w:sz w:val="24"/>
      <w:szCs w:val="20"/>
    </w:rPr>
  </w:style>
  <w:style w:type="paragraph" w:customStyle="1" w:styleId="309">
    <w:name w:val="xl60"/>
    <w:basedOn w:val="1"/>
    <w:qFormat/>
    <w:uiPriority w:val="0"/>
    <w:pPr>
      <w:widowControl/>
      <w:pBdr>
        <w:left w:val="single" w:color="auto" w:sz="8" w:space="0"/>
        <w:right w:val="single" w:color="auto" w:sz="4" w:space="0"/>
      </w:pBdr>
      <w:spacing w:before="100" w:beforeAutospacing="1" w:after="100" w:afterAutospacing="1" w:line="360" w:lineRule="auto"/>
      <w:ind w:firstLine="480" w:firstLineChars="200"/>
      <w:jc w:val="center"/>
      <w:textAlignment w:val="top"/>
    </w:pPr>
    <w:rPr>
      <w:kern w:val="0"/>
      <w:sz w:val="24"/>
    </w:rPr>
  </w:style>
  <w:style w:type="paragraph" w:customStyle="1" w:styleId="310">
    <w:name w:val="样式 标题 3 + 首行缩进:  0.74 厘米"/>
    <w:basedOn w:val="5"/>
    <w:qFormat/>
    <w:uiPriority w:val="0"/>
    <w:pPr>
      <w:numPr>
        <w:numId w:val="0"/>
      </w:numPr>
      <w:spacing w:before="0" w:beforeLines="0" w:after="0" w:afterLines="0"/>
      <w:ind w:firstLine="420"/>
    </w:pPr>
    <w:rPr>
      <w:rFonts w:ascii="Arial" w:hAnsi="Arial" w:cs="宋体"/>
      <w:b/>
      <w:bCs/>
      <w:sz w:val="28"/>
      <w:szCs w:val="20"/>
    </w:rPr>
  </w:style>
  <w:style w:type="paragraph" w:customStyle="1" w:styleId="311">
    <w:name w:val="表格小四"/>
    <w:basedOn w:val="1"/>
    <w:qFormat/>
    <w:uiPriority w:val="0"/>
    <w:pPr>
      <w:adjustRightInd w:val="0"/>
      <w:snapToGrid w:val="0"/>
      <w:spacing w:beforeLines="20" w:afterLines="20" w:line="360" w:lineRule="auto"/>
      <w:ind w:firstLine="480" w:firstLineChars="200"/>
      <w:jc w:val="center"/>
    </w:pPr>
    <w:rPr>
      <w:rFonts w:ascii="宋体" w:hAnsi="宋体"/>
      <w:color w:val="000000"/>
      <w:spacing w:val="6"/>
      <w:sz w:val="24"/>
      <w:szCs w:val="21"/>
    </w:rPr>
  </w:style>
  <w:style w:type="paragraph" w:customStyle="1" w:styleId="312">
    <w:name w:val="样式 标题 1 + 三号"/>
    <w:basedOn w:val="2"/>
    <w:qFormat/>
    <w:uiPriority w:val="0"/>
    <w:pPr>
      <w:pageBreakBefore/>
      <w:numPr>
        <w:numId w:val="0"/>
      </w:numPr>
      <w:tabs>
        <w:tab w:val="clear" w:pos="294"/>
        <w:tab w:val="clear" w:pos="720"/>
        <w:tab w:val="clear" w:pos="1080"/>
        <w:tab w:val="clear" w:pos="1440"/>
      </w:tabs>
      <w:adjustRightInd/>
      <w:snapToGrid/>
      <w:spacing w:before="0" w:beforeLines="0" w:after="330" w:afterLines="0" w:line="240" w:lineRule="exact"/>
      <w:jc w:val="both"/>
    </w:pPr>
    <w:rPr>
      <w:rFonts w:ascii="Times New Roman" w:hAnsi="Times New Roman"/>
      <w:bCs/>
      <w:szCs w:val="44"/>
    </w:rPr>
  </w:style>
  <w:style w:type="paragraph" w:customStyle="1" w:styleId="313">
    <w:name w:val="样式 行距: 1.5 倍行距"/>
    <w:basedOn w:val="1"/>
    <w:uiPriority w:val="0"/>
    <w:pPr>
      <w:tabs>
        <w:tab w:val="left" w:pos="630"/>
      </w:tabs>
      <w:spacing w:line="360" w:lineRule="auto"/>
      <w:ind w:firstLine="480" w:firstLineChars="200"/>
      <w:jc w:val="left"/>
    </w:pPr>
    <w:rPr>
      <w:rFonts w:ascii="宋体" w:hAnsi="宋体"/>
      <w:color w:val="000000"/>
      <w:sz w:val="24"/>
      <w:szCs w:val="20"/>
    </w:rPr>
  </w:style>
  <w:style w:type="paragraph" w:customStyle="1" w:styleId="314">
    <w:name w:val="Char Char 字元 字元 字元 Char Char Char Char"/>
    <w:basedOn w:val="1"/>
    <w:uiPriority w:val="0"/>
    <w:pPr>
      <w:adjustRightInd w:val="0"/>
      <w:spacing w:line="360" w:lineRule="auto"/>
      <w:ind w:firstLine="480" w:firstLineChars="200"/>
      <w:jc w:val="left"/>
    </w:pPr>
    <w:rPr>
      <w:kern w:val="0"/>
      <w:sz w:val="24"/>
      <w:szCs w:val="20"/>
    </w:rPr>
  </w:style>
  <w:style w:type="table" w:customStyle="1" w:styleId="315">
    <w:name w:val="表格样式2"/>
    <w:basedOn w:val="106"/>
    <w:uiPriority w:val="0"/>
    <w:pPr>
      <w:jc w:val="center"/>
    </w:pPr>
    <w:rPr>
      <w:rFonts w:ascii="宋体"/>
      <w:sz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rPr>
      <w:jc w:val="center"/>
    </w:trPr>
    <w:tcPr>
      <w:shd w:val="clear" w:color="auto" w:fill="auto"/>
      <w:vAlign w:val="center"/>
    </w:tcPr>
  </w:style>
  <w:style w:type="paragraph" w:customStyle="1" w:styleId="316">
    <w:name w:val="Char Char Char Char Char Char Char Char Char Char Char Char Char"/>
    <w:basedOn w:val="1"/>
    <w:qFormat/>
    <w:uiPriority w:val="0"/>
    <w:pPr>
      <w:spacing w:line="360" w:lineRule="auto"/>
      <w:ind w:firstLine="480" w:firstLineChars="200"/>
      <w:jc w:val="left"/>
    </w:pPr>
    <w:rPr>
      <w:sz w:val="24"/>
    </w:rPr>
  </w:style>
  <w:style w:type="paragraph" w:customStyle="1" w:styleId="317">
    <w:name w:val="正文段落（宋旭峰）"/>
    <w:basedOn w:val="1"/>
    <w:link w:val="318"/>
    <w:qFormat/>
    <w:uiPriority w:val="0"/>
    <w:pPr>
      <w:spacing w:line="360" w:lineRule="auto"/>
      <w:ind w:firstLine="200" w:firstLineChars="200"/>
      <w:jc w:val="left"/>
    </w:pPr>
    <w:rPr>
      <w:snapToGrid w:val="0"/>
      <w:kern w:val="0"/>
      <w:sz w:val="24"/>
    </w:rPr>
  </w:style>
  <w:style w:type="character" w:customStyle="1" w:styleId="318">
    <w:name w:val="正文段落（宋旭峰） Char"/>
    <w:basedOn w:val="87"/>
    <w:link w:val="317"/>
    <w:uiPriority w:val="0"/>
    <w:rPr>
      <w:rFonts w:ascii="Times New Roman" w:hAnsi="Times New Roman" w:eastAsia="宋体" w:cs="Times New Roman"/>
      <w:snapToGrid w:val="0"/>
      <w:kern w:val="0"/>
      <w:sz w:val="24"/>
      <w:szCs w:val="24"/>
    </w:rPr>
  </w:style>
  <w:style w:type="paragraph" w:customStyle="1" w:styleId="319">
    <w:name w:val="表、图名宋旭峰"/>
    <w:basedOn w:val="1"/>
    <w:qFormat/>
    <w:uiPriority w:val="0"/>
    <w:pPr>
      <w:spacing w:beforeLines="50" w:line="240" w:lineRule="atLeast"/>
      <w:ind w:firstLine="422" w:firstLineChars="200"/>
      <w:jc w:val="left"/>
    </w:pPr>
    <w:rPr>
      <w:rFonts w:ascii="黑体" w:eastAsia="黑体"/>
      <w:b/>
      <w:color w:val="000000"/>
      <w:sz w:val="24"/>
      <w:szCs w:val="21"/>
    </w:rPr>
  </w:style>
  <w:style w:type="paragraph" w:customStyle="1" w:styleId="320">
    <w:name w:val="正文(首行缩进)宋旭峰"/>
    <w:basedOn w:val="4"/>
    <w:link w:val="321"/>
    <w:uiPriority w:val="0"/>
    <w:pPr>
      <w:spacing w:beforeLines="50" w:afterLines="50" w:line="360" w:lineRule="auto"/>
      <w:ind w:firstLine="480"/>
      <w:contextualSpacing/>
      <w:jc w:val="left"/>
    </w:pPr>
    <w:rPr>
      <w:bCs/>
      <w:snapToGrid w:val="0"/>
      <w:kern w:val="0"/>
      <w:sz w:val="24"/>
    </w:rPr>
  </w:style>
  <w:style w:type="character" w:customStyle="1" w:styleId="321">
    <w:name w:val="正文(首行缩进)宋旭峰 Char Char"/>
    <w:basedOn w:val="87"/>
    <w:link w:val="320"/>
    <w:qFormat/>
    <w:uiPriority w:val="0"/>
    <w:rPr>
      <w:rFonts w:ascii="Times New Roman" w:hAnsi="Times New Roman" w:eastAsia="宋体" w:cs="Times New Roman"/>
      <w:bCs/>
      <w:snapToGrid w:val="0"/>
      <w:kern w:val="0"/>
      <w:sz w:val="24"/>
      <w:szCs w:val="24"/>
    </w:rPr>
  </w:style>
  <w:style w:type="paragraph" w:customStyle="1" w:styleId="322">
    <w:name w:val="表体宋旭峰"/>
    <w:basedOn w:val="1"/>
    <w:uiPriority w:val="0"/>
    <w:pPr>
      <w:overflowPunct w:val="0"/>
      <w:adjustRightInd w:val="0"/>
      <w:spacing w:line="280" w:lineRule="exact"/>
      <w:ind w:left="-4" w:leftChars="-51" w:hanging="103" w:hangingChars="51"/>
      <w:jc w:val="center"/>
      <w:textAlignment w:val="baseline"/>
    </w:pPr>
    <w:rPr>
      <w:rFonts w:hAnsi="宋体" w:cs="Courier New"/>
      <w:snapToGrid w:val="0"/>
      <w:color w:val="000000"/>
      <w:spacing w:val="-4"/>
      <w:kern w:val="24"/>
      <w:sz w:val="24"/>
      <w:szCs w:val="21"/>
      <w:lang w:val="zh-CN"/>
    </w:rPr>
  </w:style>
  <w:style w:type="paragraph" w:customStyle="1" w:styleId="323">
    <w:name w:val="xl35"/>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324">
    <w:name w:val="custom_unionstyle"/>
    <w:basedOn w:val="1"/>
    <w:uiPriority w:val="0"/>
    <w:pPr>
      <w:widowControl/>
      <w:spacing w:before="100" w:beforeAutospacing="1" w:after="100" w:afterAutospacing="1" w:line="360" w:lineRule="auto"/>
      <w:ind w:firstLine="480" w:firstLineChars="200"/>
      <w:jc w:val="left"/>
    </w:pPr>
    <w:rPr>
      <w:rFonts w:ascii="宋体" w:hAnsi="宋体" w:cs="宋体"/>
      <w:kern w:val="0"/>
      <w:sz w:val="24"/>
    </w:rPr>
  </w:style>
  <w:style w:type="character" w:customStyle="1" w:styleId="325">
    <w:name w:val="keyword1"/>
    <w:basedOn w:val="87"/>
    <w:qFormat/>
    <w:uiPriority w:val="0"/>
    <w:rPr>
      <w:color w:val="FF0000"/>
    </w:rPr>
  </w:style>
  <w:style w:type="paragraph" w:customStyle="1" w:styleId="326">
    <w:name w:val="表体"/>
    <w:basedOn w:val="1"/>
    <w:uiPriority w:val="0"/>
    <w:pPr>
      <w:overflowPunct w:val="0"/>
      <w:adjustRightInd w:val="0"/>
      <w:spacing w:line="240" w:lineRule="atLeast"/>
      <w:ind w:left="-57" w:right="-57" w:firstLine="480" w:firstLineChars="200"/>
      <w:jc w:val="center"/>
      <w:textAlignment w:val="baseline"/>
    </w:pPr>
    <w:rPr>
      <w:rFonts w:ascii="黑体" w:eastAsia="黑体"/>
      <w:color w:val="000080"/>
      <w:kern w:val="24"/>
      <w:sz w:val="24"/>
      <w:szCs w:val="20"/>
    </w:rPr>
  </w:style>
  <w:style w:type="paragraph" w:customStyle="1" w:styleId="327">
    <w:name w:val="表格内容"/>
    <w:basedOn w:val="1"/>
    <w:link w:val="965"/>
    <w:uiPriority w:val="0"/>
    <w:pPr>
      <w:spacing w:line="280" w:lineRule="exact"/>
      <w:ind w:firstLine="6" w:firstLineChars="200"/>
      <w:jc w:val="center"/>
    </w:pPr>
    <w:rPr>
      <w:rFonts w:ascii="宋体" w:hAnsi="宋体" w:cs="Arial Unicode MS"/>
      <w:bCs/>
      <w:color w:val="000000"/>
      <w:sz w:val="18"/>
    </w:rPr>
  </w:style>
  <w:style w:type="paragraph" w:customStyle="1" w:styleId="328">
    <w:name w:val="font10"/>
    <w:basedOn w:val="1"/>
    <w:uiPriority w:val="0"/>
    <w:pPr>
      <w:widowControl/>
      <w:jc w:val="center"/>
    </w:pPr>
    <w:rPr>
      <w:rFonts w:hint="eastAsia" w:ascii="宋体" w:hAnsi="宋体" w:eastAsia="黑体" w:cs="Arial Unicode MS"/>
      <w:kern w:val="0"/>
      <w:sz w:val="32"/>
    </w:rPr>
  </w:style>
  <w:style w:type="paragraph" w:customStyle="1" w:styleId="329">
    <w:name w:val="正文王"/>
    <w:basedOn w:val="46"/>
    <w:uiPriority w:val="0"/>
    <w:pPr>
      <w:spacing w:line="440" w:lineRule="exact"/>
      <w:ind w:firstLine="480" w:firstLineChars="200"/>
      <w:jc w:val="left"/>
    </w:pPr>
    <w:rPr>
      <w:rFonts w:ascii="Arial" w:hAnsi="Arial"/>
      <w:snapToGrid w:val="0"/>
      <w:kern w:val="0"/>
      <w:sz w:val="24"/>
    </w:rPr>
  </w:style>
  <w:style w:type="paragraph" w:customStyle="1" w:styleId="330">
    <w:name w:val="基准页眉样式"/>
    <w:basedOn w:val="17"/>
    <w:uiPriority w:val="0"/>
    <w:pPr>
      <w:spacing w:after="120" w:line="240" w:lineRule="auto"/>
      <w:ind w:firstLine="0" w:firstLineChars="0"/>
      <w:jc w:val="both"/>
    </w:pPr>
    <w:rPr>
      <w:rFonts w:ascii="Times New Roman" w:hAnsi="Times New Roman" w:eastAsia="宋体" w:cs="Times New Roman"/>
      <w:sz w:val="21"/>
      <w:szCs w:val="24"/>
    </w:rPr>
  </w:style>
  <w:style w:type="paragraph" w:customStyle="1" w:styleId="331">
    <w:name w:val="基准页脚样式"/>
    <w:basedOn w:val="17"/>
    <w:uiPriority w:val="0"/>
    <w:pPr>
      <w:spacing w:after="120" w:line="240" w:lineRule="auto"/>
      <w:ind w:firstLine="0" w:firstLineChars="0"/>
      <w:jc w:val="both"/>
    </w:pPr>
    <w:rPr>
      <w:rFonts w:ascii="Times New Roman" w:hAnsi="Times New Roman" w:eastAsia="宋体" w:cs="Times New Roman"/>
      <w:sz w:val="21"/>
      <w:szCs w:val="24"/>
    </w:rPr>
  </w:style>
  <w:style w:type="paragraph" w:customStyle="1" w:styleId="332">
    <w:name w:val="Char Char Char Char Char Char Char Char Char"/>
    <w:basedOn w:val="1"/>
    <w:semiHidden/>
    <w:uiPriority w:val="0"/>
    <w:pPr>
      <w:spacing w:line="360" w:lineRule="auto"/>
      <w:ind w:firstLine="480" w:firstLineChars="200"/>
      <w:jc w:val="left"/>
    </w:pPr>
    <w:rPr>
      <w:sz w:val="24"/>
    </w:rPr>
  </w:style>
  <w:style w:type="character" w:customStyle="1" w:styleId="333">
    <w:name w:val="正文(首行缩进) Char"/>
    <w:basedOn w:val="87"/>
    <w:link w:val="235"/>
    <w:uiPriority w:val="0"/>
    <w:rPr>
      <w:rFonts w:ascii="Times New Roman" w:hAnsi="Times New Roman" w:eastAsia="宋体" w:cs="Times New Roman"/>
      <w:snapToGrid w:val="0"/>
      <w:color w:val="000000"/>
      <w:kern w:val="0"/>
      <w:sz w:val="24"/>
      <w:szCs w:val="24"/>
    </w:rPr>
  </w:style>
  <w:style w:type="paragraph" w:customStyle="1" w:styleId="334">
    <w:name w:val="xl29"/>
    <w:basedOn w:val="1"/>
    <w:uiPriority w:val="0"/>
    <w:pPr>
      <w:widowControl/>
      <w:spacing w:before="100" w:after="100" w:line="360" w:lineRule="auto"/>
      <w:ind w:firstLine="480" w:firstLineChars="200"/>
      <w:jc w:val="center"/>
    </w:pPr>
    <w:rPr>
      <w:kern w:val="0"/>
      <w:sz w:val="24"/>
      <w:szCs w:val="20"/>
    </w:rPr>
  </w:style>
  <w:style w:type="paragraph" w:customStyle="1" w:styleId="335">
    <w:name w:val="表中"/>
    <w:uiPriority w:val="0"/>
    <w:pPr>
      <w:spacing w:line="320" w:lineRule="exact"/>
      <w:ind w:left="-605" w:leftChars="-288" w:firstLine="605" w:firstLineChars="336"/>
      <w:jc w:val="center"/>
    </w:pPr>
    <w:rPr>
      <w:rFonts w:ascii="Times New Roman" w:hAnsi="Times New Roman" w:eastAsia="宋体" w:cs="Times New Roman"/>
      <w:kern w:val="44"/>
      <w:sz w:val="18"/>
      <w:szCs w:val="20"/>
      <w:lang w:val="en-US" w:eastAsia="zh-CN" w:bidi="ar-SA"/>
    </w:rPr>
  </w:style>
  <w:style w:type="paragraph" w:customStyle="1" w:styleId="336">
    <w:name w:val="缩进"/>
    <w:basedOn w:val="1"/>
    <w:link w:val="337"/>
    <w:uiPriority w:val="0"/>
    <w:pPr>
      <w:spacing w:line="360" w:lineRule="auto"/>
      <w:ind w:firstLine="200" w:firstLineChars="200"/>
      <w:jc w:val="left"/>
    </w:pPr>
    <w:rPr>
      <w:sz w:val="24"/>
    </w:rPr>
  </w:style>
  <w:style w:type="character" w:customStyle="1" w:styleId="337">
    <w:name w:val="缩进 Char"/>
    <w:basedOn w:val="87"/>
    <w:link w:val="336"/>
    <w:uiPriority w:val="0"/>
    <w:rPr>
      <w:rFonts w:ascii="Times New Roman" w:hAnsi="Times New Roman" w:eastAsia="宋体" w:cs="Times New Roman"/>
      <w:sz w:val="24"/>
      <w:szCs w:val="24"/>
    </w:rPr>
  </w:style>
  <w:style w:type="paragraph" w:customStyle="1" w:styleId="338">
    <w:name w:val="表头1"/>
    <w:basedOn w:val="1"/>
    <w:next w:val="1"/>
    <w:link w:val="340"/>
    <w:uiPriority w:val="0"/>
    <w:pPr>
      <w:tabs>
        <w:tab w:val="left" w:pos="605"/>
      </w:tabs>
      <w:adjustRightInd w:val="0"/>
      <w:snapToGrid w:val="0"/>
      <w:spacing w:line="360" w:lineRule="auto"/>
      <w:ind w:firstLine="480" w:firstLineChars="200"/>
      <w:jc w:val="center"/>
    </w:pPr>
    <w:rPr>
      <w:rFonts w:eastAsia="黑体"/>
      <w:kern w:val="0"/>
      <w:sz w:val="24"/>
      <w:szCs w:val="21"/>
    </w:rPr>
  </w:style>
  <w:style w:type="paragraph" w:customStyle="1" w:styleId="339">
    <w:name w:val="目录"/>
    <w:basedOn w:val="1"/>
    <w:semiHidden/>
    <w:uiPriority w:val="0"/>
    <w:pPr>
      <w:tabs>
        <w:tab w:val="right" w:leader="dot" w:pos="8505"/>
      </w:tabs>
      <w:overflowPunct w:val="0"/>
      <w:adjustRightInd w:val="0"/>
      <w:spacing w:line="360" w:lineRule="auto"/>
      <w:ind w:left="568" w:right="851" w:hanging="284" w:firstLineChars="200"/>
      <w:jc w:val="left"/>
      <w:textAlignment w:val="baseline"/>
    </w:pPr>
    <w:rPr>
      <w:kern w:val="0"/>
      <w:sz w:val="28"/>
      <w:szCs w:val="20"/>
    </w:rPr>
  </w:style>
  <w:style w:type="character" w:customStyle="1" w:styleId="340">
    <w:name w:val="表头1 Char"/>
    <w:basedOn w:val="87"/>
    <w:link w:val="338"/>
    <w:uiPriority w:val="0"/>
    <w:rPr>
      <w:rFonts w:ascii="Times New Roman" w:hAnsi="Times New Roman" w:eastAsia="黑体" w:cs="Times New Roman"/>
      <w:kern w:val="0"/>
      <w:sz w:val="24"/>
      <w:szCs w:val="21"/>
    </w:rPr>
  </w:style>
  <w:style w:type="paragraph" w:customStyle="1" w:styleId="341">
    <w:name w:val="正文新"/>
    <w:basedOn w:val="46"/>
    <w:qFormat/>
    <w:uiPriority w:val="0"/>
    <w:pPr>
      <w:spacing w:line="300" w:lineRule="auto"/>
      <w:ind w:firstLine="510" w:firstLineChars="200"/>
      <w:jc w:val="left"/>
    </w:pPr>
    <w:rPr>
      <w:rFonts w:hAnsi="Arial"/>
      <w:snapToGrid w:val="0"/>
      <w:kern w:val="0"/>
      <w:sz w:val="24"/>
    </w:rPr>
  </w:style>
  <w:style w:type="paragraph" w:customStyle="1" w:styleId="342">
    <w:name w:val="基准标题"/>
    <w:basedOn w:val="17"/>
    <w:next w:val="17"/>
    <w:uiPriority w:val="0"/>
    <w:pPr>
      <w:spacing w:after="120" w:line="240" w:lineRule="auto"/>
      <w:ind w:firstLine="0" w:firstLineChars="0"/>
      <w:jc w:val="both"/>
    </w:pPr>
    <w:rPr>
      <w:rFonts w:ascii="Times New Roman" w:hAnsi="Times New Roman" w:eastAsia="宋体" w:cs="Times New Roman"/>
      <w:sz w:val="21"/>
      <w:szCs w:val="24"/>
    </w:rPr>
  </w:style>
  <w:style w:type="paragraph" w:customStyle="1" w:styleId="343">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344">
    <w:name w:val="xl2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rFonts w:ascii="Arial Unicode MS" w:hAnsi="Arial Unicode MS" w:eastAsia="Arial Unicode MS" w:cs="Arial Unicode MS"/>
      <w:kern w:val="0"/>
      <w:sz w:val="20"/>
      <w:szCs w:val="20"/>
    </w:rPr>
  </w:style>
  <w:style w:type="paragraph" w:customStyle="1" w:styleId="345">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eastAsia="Arial Unicode MS"/>
      <w:kern w:val="0"/>
      <w:sz w:val="24"/>
    </w:rPr>
  </w:style>
  <w:style w:type="paragraph" w:customStyle="1" w:styleId="346">
    <w:name w:val="xl28"/>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347">
    <w:name w:val="xl30"/>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ind w:firstLine="200" w:firstLineChars="200"/>
      <w:jc w:val="center"/>
      <w:textAlignment w:val="center"/>
    </w:pPr>
    <w:rPr>
      <w:rFonts w:ascii="宋体" w:eastAsia="Arial Unicode MS"/>
      <w:kern w:val="0"/>
      <w:sz w:val="20"/>
      <w:szCs w:val="20"/>
    </w:rPr>
  </w:style>
  <w:style w:type="paragraph" w:customStyle="1" w:styleId="348">
    <w:name w:val="xl3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rFonts w:ascii="宋体" w:eastAsia="Arial Unicode MS"/>
      <w:kern w:val="0"/>
      <w:sz w:val="24"/>
    </w:rPr>
  </w:style>
  <w:style w:type="paragraph" w:customStyle="1" w:styleId="349">
    <w:name w:val="xl32"/>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350">
    <w:name w:val="xl3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351">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eastAsia="Arial Unicode MS"/>
      <w:kern w:val="0"/>
      <w:sz w:val="20"/>
      <w:szCs w:val="20"/>
    </w:rPr>
  </w:style>
  <w:style w:type="paragraph" w:customStyle="1" w:styleId="352">
    <w:name w:val="xl36"/>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line="360" w:lineRule="auto"/>
      <w:ind w:firstLine="200" w:firstLineChars="200"/>
      <w:jc w:val="left"/>
      <w:textAlignment w:val="center"/>
    </w:pPr>
    <w:rPr>
      <w:rFonts w:ascii="Arial Unicode MS" w:hAnsi="Arial Unicode MS" w:eastAsia="Arial Unicode MS" w:cs="Arial Unicode MS"/>
      <w:kern w:val="0"/>
      <w:sz w:val="24"/>
    </w:rPr>
  </w:style>
  <w:style w:type="paragraph" w:customStyle="1" w:styleId="353">
    <w:name w:val="xl37"/>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354">
    <w:name w:val="xl3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eastAsia="Arial Unicode MS"/>
      <w:kern w:val="0"/>
      <w:sz w:val="20"/>
      <w:szCs w:val="20"/>
    </w:rPr>
  </w:style>
  <w:style w:type="paragraph" w:customStyle="1" w:styleId="355">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rFonts w:ascii="Arial Unicode MS" w:hAnsi="Arial Unicode MS" w:eastAsia="Arial Unicode MS" w:cs="Arial Unicode MS"/>
      <w:kern w:val="0"/>
      <w:sz w:val="20"/>
      <w:szCs w:val="20"/>
    </w:rPr>
  </w:style>
  <w:style w:type="paragraph" w:customStyle="1" w:styleId="356">
    <w:name w:val="xl41"/>
    <w:basedOn w:val="1"/>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357">
    <w:name w:val="xl42"/>
    <w:basedOn w:val="1"/>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358">
    <w:name w:val="xl43"/>
    <w:basedOn w:val="1"/>
    <w:uiPriority w:val="0"/>
    <w:pPr>
      <w:widowControl/>
      <w:pBdr>
        <w:top w:val="single" w:color="auto" w:sz="8" w:space="0"/>
        <w:left w:val="single" w:color="auto" w:sz="4" w:space="0"/>
        <w:bottom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359">
    <w:name w:val="xl4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top"/>
    </w:pPr>
    <w:rPr>
      <w:rFonts w:ascii="Arial Unicode MS" w:hAnsi="Arial Unicode MS" w:eastAsia="Arial Unicode MS" w:cs="Arial Unicode MS"/>
      <w:kern w:val="0"/>
      <w:sz w:val="20"/>
      <w:szCs w:val="20"/>
    </w:rPr>
  </w:style>
  <w:style w:type="paragraph" w:customStyle="1" w:styleId="360">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eastAsia="Arial Unicode MS"/>
      <w:kern w:val="0"/>
      <w:sz w:val="20"/>
      <w:szCs w:val="20"/>
    </w:rPr>
  </w:style>
  <w:style w:type="paragraph" w:customStyle="1" w:styleId="361">
    <w:name w:val="xl46"/>
    <w:basedOn w:val="1"/>
    <w:uiPriority w:val="0"/>
    <w:pPr>
      <w:widowControl/>
      <w:pBdr>
        <w:top w:val="single" w:color="auto" w:sz="4" w:space="0"/>
        <w:left w:val="single" w:color="auto" w:sz="8"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362">
    <w:name w:val="xl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pPr>
    <w:rPr>
      <w:rFonts w:ascii="Arial Unicode MS" w:hAnsi="Arial Unicode MS" w:eastAsia="Arial Unicode MS" w:cs="Arial Unicode MS"/>
      <w:kern w:val="0"/>
      <w:sz w:val="24"/>
    </w:rPr>
  </w:style>
  <w:style w:type="paragraph" w:customStyle="1" w:styleId="363">
    <w:name w:val="xl2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right"/>
    </w:pPr>
    <w:rPr>
      <w:rFonts w:ascii="Arial Unicode MS" w:hAnsi="Arial Unicode MS" w:eastAsia="Arial Unicode MS" w:cs="Arial Unicode MS"/>
      <w:kern w:val="0"/>
      <w:sz w:val="24"/>
    </w:rPr>
  </w:style>
  <w:style w:type="paragraph" w:customStyle="1" w:styleId="364">
    <w:name w:val="表格中"/>
    <w:basedOn w:val="1"/>
    <w:qFormat/>
    <w:uiPriority w:val="0"/>
    <w:pPr>
      <w:spacing w:line="280" w:lineRule="exact"/>
      <w:ind w:firstLine="480" w:firstLineChars="200"/>
      <w:jc w:val="center"/>
    </w:pPr>
    <w:rPr>
      <w:rFonts w:ascii="宋体"/>
      <w:sz w:val="18"/>
    </w:rPr>
  </w:style>
  <w:style w:type="paragraph" w:customStyle="1" w:styleId="365">
    <w:name w:val="表内文字小"/>
    <w:basedOn w:val="1"/>
    <w:uiPriority w:val="0"/>
    <w:pPr>
      <w:adjustRightInd w:val="0"/>
      <w:spacing w:line="360" w:lineRule="auto"/>
      <w:ind w:firstLine="480" w:firstLineChars="200"/>
      <w:jc w:val="center"/>
    </w:pPr>
    <w:rPr>
      <w:rFonts w:ascii="宋体" w:hAnsi="Times"/>
      <w:sz w:val="24"/>
      <w:szCs w:val="21"/>
    </w:rPr>
  </w:style>
  <w:style w:type="paragraph" w:customStyle="1" w:styleId="366">
    <w:name w:val="Char Char1 Char"/>
    <w:basedOn w:val="1"/>
    <w:uiPriority w:val="0"/>
    <w:pPr>
      <w:spacing w:line="360" w:lineRule="auto"/>
      <w:ind w:firstLine="480" w:firstLineChars="200"/>
      <w:jc w:val="left"/>
    </w:pPr>
    <w:rPr>
      <w:sz w:val="24"/>
    </w:rPr>
  </w:style>
  <w:style w:type="character" w:customStyle="1" w:styleId="367">
    <w:name w:val="标题 4 Char Char Char"/>
    <w:basedOn w:val="87"/>
    <w:qFormat/>
    <w:uiPriority w:val="0"/>
    <w:rPr>
      <w:rFonts w:eastAsia="宋体"/>
      <w:b/>
      <w:bCs/>
      <w:kern w:val="2"/>
      <w:sz w:val="24"/>
      <w:szCs w:val="28"/>
      <w:lang w:val="en-US" w:eastAsia="zh-CN" w:bidi="ar-SA"/>
    </w:rPr>
  </w:style>
  <w:style w:type="character" w:customStyle="1" w:styleId="368">
    <w:name w:val="正文(首行缩进) Char1"/>
    <w:basedOn w:val="87"/>
    <w:uiPriority w:val="0"/>
    <w:rPr>
      <w:rFonts w:eastAsia="宋体"/>
      <w:color w:val="000000"/>
      <w:sz w:val="24"/>
      <w:szCs w:val="24"/>
      <w:lang w:val="en-US" w:eastAsia="zh-CN" w:bidi="ar-SA"/>
    </w:rPr>
  </w:style>
  <w:style w:type="paragraph" w:customStyle="1" w:styleId="369">
    <w:name w:val="myformat_content Char"/>
    <w:basedOn w:val="1"/>
    <w:qFormat/>
    <w:uiPriority w:val="0"/>
    <w:pPr>
      <w:spacing w:beforeLines="50" w:afterLines="50" w:line="360" w:lineRule="exact"/>
      <w:ind w:firstLine="480" w:firstLineChars="200"/>
      <w:jc w:val="left"/>
    </w:pPr>
    <w:rPr>
      <w:sz w:val="24"/>
    </w:rPr>
  </w:style>
  <w:style w:type="paragraph" w:customStyle="1" w:styleId="370">
    <w:name w:val="表头 Char Char"/>
    <w:basedOn w:val="1"/>
    <w:uiPriority w:val="0"/>
    <w:pPr>
      <w:adjustRightInd w:val="0"/>
      <w:spacing w:line="240" w:lineRule="exact"/>
      <w:ind w:firstLine="480" w:firstLineChars="200"/>
      <w:jc w:val="left"/>
      <w:textAlignment w:val="baseline"/>
    </w:pPr>
    <w:rPr>
      <w:rFonts w:ascii="黑体" w:hAnsi="宋体" w:eastAsia="黑体" w:cs="宋体"/>
      <w:b/>
      <w:bCs/>
      <w:kern w:val="0"/>
      <w:sz w:val="24"/>
      <w:szCs w:val="21"/>
    </w:rPr>
  </w:style>
  <w:style w:type="character" w:customStyle="1" w:styleId="371">
    <w:name w:val="heading1 Char"/>
    <w:basedOn w:val="87"/>
    <w:qFormat/>
    <w:uiPriority w:val="0"/>
    <w:rPr>
      <w:rFonts w:eastAsia="宋体"/>
      <w:b/>
      <w:bCs/>
      <w:kern w:val="44"/>
      <w:sz w:val="44"/>
      <w:szCs w:val="44"/>
      <w:lang w:val="en-US" w:eastAsia="zh-CN" w:bidi="ar-SA"/>
    </w:rPr>
  </w:style>
  <w:style w:type="character" w:customStyle="1" w:styleId="372">
    <w:name w:val="aa11"/>
    <w:basedOn w:val="87"/>
    <w:uiPriority w:val="0"/>
  </w:style>
  <w:style w:type="paragraph" w:customStyle="1" w:styleId="373">
    <w:name w:val="样式 正文首行缩进 + 首行缩进:  1 字符"/>
    <w:basedOn w:val="16"/>
    <w:qFormat/>
    <w:uiPriority w:val="0"/>
    <w:pPr>
      <w:spacing w:after="0" w:line="440" w:lineRule="exact"/>
      <w:ind w:firstLine="200" w:firstLineChars="200"/>
      <w:jc w:val="left"/>
    </w:pPr>
    <w:rPr>
      <w:rFonts w:cs="宋体"/>
      <w:spacing w:val="6"/>
      <w:sz w:val="24"/>
    </w:rPr>
  </w:style>
  <w:style w:type="paragraph" w:customStyle="1" w:styleId="374">
    <w:name w:val="表格式"/>
    <w:basedOn w:val="67"/>
    <w:uiPriority w:val="0"/>
    <w:pPr>
      <w:spacing w:beforeLines="50" w:afterLines="50" w:line="200" w:lineRule="exact"/>
      <w:ind w:left="0" w:firstLine="0" w:firstLineChars="0"/>
      <w:jc w:val="center"/>
    </w:pPr>
    <w:rPr>
      <w:szCs w:val="20"/>
    </w:rPr>
  </w:style>
  <w:style w:type="character" w:customStyle="1" w:styleId="375">
    <w:name w:val="HTML 预设格式 Char"/>
    <w:basedOn w:val="87"/>
    <w:link w:val="82"/>
    <w:uiPriority w:val="0"/>
    <w:rPr>
      <w:rFonts w:ascii="黑体" w:hAnsi="Courier New" w:eastAsia="黑体" w:cs="黑体"/>
      <w:color w:val="5EAC01"/>
      <w:kern w:val="0"/>
      <w:sz w:val="20"/>
      <w:szCs w:val="20"/>
    </w:rPr>
  </w:style>
  <w:style w:type="paragraph" w:customStyle="1" w:styleId="376">
    <w:name w:val="样式"/>
    <w:basedOn w:val="1"/>
    <w:next w:val="46"/>
    <w:uiPriority w:val="0"/>
    <w:pPr>
      <w:spacing w:line="360" w:lineRule="auto"/>
      <w:ind w:firstLine="480" w:firstLineChars="200"/>
      <w:jc w:val="left"/>
    </w:pPr>
    <w:rPr>
      <w:rFonts w:ascii="宋体" w:hAnsi="Courier New" w:cs="宋体"/>
      <w:sz w:val="24"/>
      <w:szCs w:val="21"/>
    </w:rPr>
  </w:style>
  <w:style w:type="paragraph" w:customStyle="1" w:styleId="377">
    <w:name w:val="报告表格"/>
    <w:basedOn w:val="1"/>
    <w:qFormat/>
    <w:uiPriority w:val="0"/>
    <w:pPr>
      <w:autoSpaceDE w:val="0"/>
      <w:autoSpaceDN w:val="0"/>
      <w:adjustRightInd w:val="0"/>
      <w:spacing w:before="40" w:after="40" w:line="360" w:lineRule="auto"/>
      <w:ind w:firstLine="480" w:firstLineChars="200"/>
      <w:jc w:val="center"/>
      <w:textAlignment w:val="baseline"/>
    </w:pPr>
    <w:rPr>
      <w:kern w:val="0"/>
      <w:sz w:val="24"/>
      <w:szCs w:val="20"/>
    </w:rPr>
  </w:style>
  <w:style w:type="paragraph" w:customStyle="1" w:styleId="378">
    <w:name w:val="样式 正文首行缩进 + 首行缩进:  2 字符1"/>
    <w:basedOn w:val="16"/>
    <w:uiPriority w:val="0"/>
    <w:pPr>
      <w:spacing w:after="0" w:line="360" w:lineRule="auto"/>
      <w:ind w:firstLine="480" w:firstLineChars="200"/>
      <w:jc w:val="left"/>
    </w:pPr>
    <w:rPr>
      <w:sz w:val="24"/>
    </w:rPr>
  </w:style>
  <w:style w:type="paragraph" w:customStyle="1" w:styleId="379">
    <w:name w:val="正文位子1"/>
    <w:basedOn w:val="17"/>
    <w:uiPriority w:val="0"/>
    <w:pPr>
      <w:spacing w:after="120" w:line="240" w:lineRule="auto"/>
      <w:ind w:firstLine="0" w:firstLineChars="0"/>
      <w:jc w:val="both"/>
    </w:pPr>
    <w:rPr>
      <w:rFonts w:ascii="Times New Roman" w:hAnsi="Times New Roman" w:eastAsia="宋体" w:cs="Times New Roman"/>
      <w:sz w:val="21"/>
      <w:szCs w:val="24"/>
    </w:rPr>
  </w:style>
  <w:style w:type="paragraph" w:customStyle="1" w:styleId="380">
    <w:name w:val="二级标题 Char Char Char"/>
    <w:basedOn w:val="1"/>
    <w:next w:val="1"/>
    <w:uiPriority w:val="0"/>
    <w:pPr>
      <w:spacing w:line="529" w:lineRule="exact"/>
      <w:ind w:firstLine="200" w:firstLineChars="200"/>
      <w:jc w:val="left"/>
    </w:pPr>
    <w:rPr>
      <w:rFonts w:ascii="宋体" w:hAnsi="宋体" w:cs="宋体"/>
      <w:sz w:val="24"/>
    </w:rPr>
  </w:style>
  <w:style w:type="paragraph" w:customStyle="1" w:styleId="381">
    <w:name w:val="表格内容格式"/>
    <w:basedOn w:val="1"/>
    <w:uiPriority w:val="0"/>
    <w:pPr>
      <w:adjustRightInd w:val="0"/>
      <w:spacing w:line="240" w:lineRule="atLeast"/>
      <w:ind w:firstLine="480" w:firstLineChars="200"/>
      <w:jc w:val="left"/>
      <w:textAlignment w:val="baseline"/>
    </w:pPr>
    <w:rPr>
      <w:rFonts w:ascii="宋体" w:hAnsi="宋体"/>
      <w:snapToGrid w:val="0"/>
      <w:color w:val="000000"/>
      <w:kern w:val="0"/>
      <w:sz w:val="24"/>
      <w:szCs w:val="20"/>
    </w:rPr>
  </w:style>
  <w:style w:type="paragraph" w:customStyle="1" w:styleId="382">
    <w:name w:val="zw"/>
    <w:basedOn w:val="1"/>
    <w:uiPriority w:val="0"/>
    <w:pPr>
      <w:widowControl/>
      <w:spacing w:before="30" w:line="360" w:lineRule="auto"/>
      <w:ind w:left="100" w:right="100" w:firstLine="480" w:firstLineChars="200"/>
      <w:jc w:val="left"/>
    </w:pPr>
    <w:rPr>
      <w:rFonts w:ascii="方正书宋简体" w:hAnsi="宋体" w:eastAsia="方正书宋简体"/>
      <w:color w:val="000000"/>
      <w:kern w:val="0"/>
      <w:sz w:val="24"/>
      <w:szCs w:val="21"/>
    </w:rPr>
  </w:style>
  <w:style w:type="paragraph" w:customStyle="1" w:styleId="383">
    <w:name w:val="项目"/>
    <w:basedOn w:val="1"/>
    <w:link w:val="620"/>
    <w:uiPriority w:val="0"/>
    <w:pPr>
      <w:tabs>
        <w:tab w:val="left" w:pos="907"/>
      </w:tabs>
      <w:adjustRightInd w:val="0"/>
      <w:spacing w:line="360" w:lineRule="atLeast"/>
      <w:ind w:firstLine="624" w:firstLineChars="200"/>
      <w:jc w:val="left"/>
      <w:textAlignment w:val="baseline"/>
    </w:pPr>
    <w:rPr>
      <w:sz w:val="24"/>
    </w:rPr>
  </w:style>
  <w:style w:type="character" w:customStyle="1" w:styleId="384">
    <w:name w:val="副标题 Char"/>
    <w:basedOn w:val="87"/>
    <w:link w:val="65"/>
    <w:uiPriority w:val="0"/>
    <w:rPr>
      <w:rFonts w:ascii="Arial" w:hAnsi="Arial" w:eastAsia="宋体" w:cs="Arial"/>
      <w:b/>
      <w:bCs/>
      <w:kern w:val="28"/>
      <w:sz w:val="32"/>
      <w:szCs w:val="32"/>
    </w:rPr>
  </w:style>
  <w:style w:type="paragraph" w:customStyle="1" w:styleId="385">
    <w:name w:val="表头名称"/>
    <w:basedOn w:val="4"/>
    <w:qFormat/>
    <w:uiPriority w:val="0"/>
    <w:pPr>
      <w:autoSpaceDE w:val="0"/>
      <w:autoSpaceDN w:val="0"/>
      <w:adjustRightInd w:val="0"/>
      <w:spacing w:line="520" w:lineRule="exact"/>
      <w:ind w:firstLine="480"/>
      <w:jc w:val="left"/>
      <w:textAlignment w:val="baseline"/>
    </w:pPr>
    <w:rPr>
      <w:rFonts w:ascii="黑体" w:eastAsia="黑体"/>
      <w:b/>
      <w:kern w:val="0"/>
      <w:sz w:val="24"/>
      <w:szCs w:val="20"/>
    </w:rPr>
  </w:style>
  <w:style w:type="paragraph" w:customStyle="1" w:styleId="386">
    <w:name w:val="5"/>
    <w:basedOn w:val="1"/>
    <w:next w:val="46"/>
    <w:uiPriority w:val="0"/>
    <w:pPr>
      <w:widowControl/>
      <w:adjustRightInd w:val="0"/>
      <w:spacing w:before="100" w:beforeAutospacing="1" w:after="100" w:afterAutospacing="1" w:line="312" w:lineRule="auto"/>
      <w:ind w:firstLine="480" w:firstLineChars="200"/>
      <w:jc w:val="left"/>
      <w:textAlignment w:val="baseline"/>
    </w:pPr>
    <w:rPr>
      <w:color w:val="000000"/>
      <w:kern w:val="0"/>
      <w:sz w:val="18"/>
      <w:szCs w:val="18"/>
    </w:rPr>
  </w:style>
  <w:style w:type="character" w:customStyle="1" w:styleId="387">
    <w:name w:val="grame"/>
    <w:basedOn w:val="87"/>
    <w:qFormat/>
    <w:uiPriority w:val="0"/>
  </w:style>
  <w:style w:type="paragraph" w:customStyle="1" w:styleId="388">
    <w:name w:val="Char Char Char Char Char Char Char1"/>
    <w:basedOn w:val="1"/>
    <w:uiPriority w:val="0"/>
    <w:pPr>
      <w:widowControl/>
      <w:spacing w:after="160" w:line="240" w:lineRule="exact"/>
      <w:ind w:firstLine="480" w:firstLineChars="200"/>
      <w:jc w:val="left"/>
    </w:pPr>
    <w:rPr>
      <w:sz w:val="24"/>
      <w:szCs w:val="20"/>
    </w:rPr>
  </w:style>
  <w:style w:type="character" w:customStyle="1" w:styleId="389">
    <w:name w:val="javascript"/>
    <w:basedOn w:val="87"/>
    <w:uiPriority w:val="0"/>
  </w:style>
  <w:style w:type="character" w:customStyle="1" w:styleId="390">
    <w:name w:val="ta14"/>
    <w:basedOn w:val="87"/>
    <w:uiPriority w:val="0"/>
  </w:style>
  <w:style w:type="paragraph" w:customStyle="1" w:styleId="391">
    <w:name w:val="表格正文"/>
    <w:basedOn w:val="4"/>
    <w:link w:val="486"/>
    <w:uiPriority w:val="0"/>
    <w:pPr>
      <w:autoSpaceDE w:val="0"/>
      <w:autoSpaceDN w:val="0"/>
      <w:adjustRightInd w:val="0"/>
      <w:snapToGrid w:val="0"/>
      <w:spacing w:before="40" w:after="40" w:line="360" w:lineRule="auto"/>
      <w:ind w:firstLine="480"/>
      <w:jc w:val="left"/>
      <w:textAlignment w:val="bottom"/>
    </w:pPr>
    <w:rPr>
      <w:rFonts w:ascii="宋体"/>
      <w:bCs/>
      <w:kern w:val="24"/>
      <w:sz w:val="24"/>
      <w:szCs w:val="20"/>
    </w:rPr>
  </w:style>
  <w:style w:type="paragraph" w:customStyle="1" w:styleId="392">
    <w:name w:val="样式 标题 1H1PIM 1h1标题 1(章)一、1.标题 11)BHeading 1 - ctd1章节1..."/>
    <w:basedOn w:val="2"/>
    <w:uiPriority w:val="0"/>
    <w:pPr>
      <w:pageBreakBefore/>
      <w:numPr>
        <w:numId w:val="0"/>
      </w:numPr>
      <w:tabs>
        <w:tab w:val="clear" w:pos="294"/>
        <w:tab w:val="clear" w:pos="720"/>
        <w:tab w:val="clear" w:pos="1080"/>
        <w:tab w:val="clear" w:pos="1440"/>
      </w:tabs>
      <w:adjustRightInd/>
      <w:snapToGrid/>
      <w:spacing w:before="0" w:beforeLines="0" w:after="480" w:afterLines="0" w:line="480" w:lineRule="auto"/>
    </w:pPr>
    <w:rPr>
      <w:rFonts w:ascii="黑体" w:hAnsi="Times New Roman" w:eastAsia="黑体"/>
      <w:bCs/>
      <w:szCs w:val="44"/>
    </w:rPr>
  </w:style>
  <w:style w:type="character" w:customStyle="1" w:styleId="393">
    <w:name w:val="注释标题 Char"/>
    <w:basedOn w:val="87"/>
    <w:link w:val="20"/>
    <w:qFormat/>
    <w:uiPriority w:val="0"/>
    <w:rPr>
      <w:rFonts w:ascii="Times New Roman" w:hAnsi="Times New Roman" w:eastAsia="宋体" w:cs="Times New Roman"/>
      <w:sz w:val="24"/>
      <w:szCs w:val="20"/>
    </w:rPr>
  </w:style>
  <w:style w:type="paragraph" w:customStyle="1" w:styleId="394">
    <w:name w:val="样式 标题 3条标题1.1.1BSH-3BT33h33rd levelH3l3CT二级节名标题 3 Cha..."/>
    <w:basedOn w:val="5"/>
    <w:uiPriority w:val="0"/>
    <w:pPr>
      <w:numPr>
        <w:numId w:val="0"/>
      </w:numPr>
      <w:spacing w:before="0" w:beforeLines="0" w:after="0" w:afterLines="0" w:line="360" w:lineRule="auto"/>
    </w:pPr>
    <w:rPr>
      <w:rFonts w:ascii="Arial" w:hAnsi="Arial" w:cs="宋体"/>
      <w:b/>
      <w:bCs/>
      <w:sz w:val="28"/>
      <w:szCs w:val="20"/>
    </w:rPr>
  </w:style>
  <w:style w:type="paragraph" w:customStyle="1" w:styleId="395">
    <w:name w:val="通州正文"/>
    <w:next w:val="1"/>
    <w:qFormat/>
    <w:uiPriority w:val="0"/>
    <w:pPr>
      <w:spacing w:line="360" w:lineRule="auto"/>
      <w:ind w:firstLine="480"/>
    </w:pPr>
    <w:rPr>
      <w:rFonts w:ascii="宋体" w:hAnsi="宋体" w:eastAsia="宋体" w:cs="Times New Roman"/>
      <w:kern w:val="2"/>
      <w:sz w:val="24"/>
      <w:szCs w:val="24"/>
      <w:lang w:val="en-US" w:eastAsia="zh-CN" w:bidi="ar-SA"/>
    </w:rPr>
  </w:style>
  <w:style w:type="character" w:customStyle="1" w:styleId="396">
    <w:name w:val="L4 Char Char Char Char"/>
    <w:basedOn w:val="87"/>
    <w:uiPriority w:val="0"/>
    <w:rPr>
      <w:rFonts w:ascii="Arial" w:hAnsi="Arial" w:eastAsia="黑体" w:cs="Arial"/>
      <w:b/>
      <w:bCs/>
      <w:kern w:val="2"/>
      <w:sz w:val="28"/>
      <w:szCs w:val="28"/>
    </w:rPr>
  </w:style>
  <w:style w:type="character" w:customStyle="1" w:styleId="397">
    <w:name w:val="Book Title"/>
    <w:basedOn w:val="87"/>
    <w:qFormat/>
    <w:uiPriority w:val="33"/>
    <w:rPr>
      <w:b/>
      <w:smallCaps/>
      <w:spacing w:val="5"/>
    </w:rPr>
  </w:style>
  <w:style w:type="paragraph" w:customStyle="1" w:styleId="398">
    <w:name w:val="正文文本2"/>
    <w:basedOn w:val="1"/>
    <w:uiPriority w:val="0"/>
    <w:pPr>
      <w:autoSpaceDE w:val="0"/>
      <w:autoSpaceDN w:val="0"/>
      <w:adjustRightInd w:val="0"/>
      <w:snapToGrid w:val="0"/>
      <w:spacing w:line="360" w:lineRule="auto"/>
      <w:ind w:firstLine="480" w:firstLineChars="200"/>
      <w:jc w:val="left"/>
    </w:pPr>
    <w:rPr>
      <w:rFonts w:ascii="宋体"/>
      <w:sz w:val="24"/>
      <w:szCs w:val="20"/>
    </w:rPr>
  </w:style>
  <w:style w:type="character" w:customStyle="1" w:styleId="399">
    <w:name w:val="txt4"/>
    <w:basedOn w:val="87"/>
    <w:qFormat/>
    <w:uiPriority w:val="0"/>
  </w:style>
  <w:style w:type="paragraph" w:customStyle="1" w:styleId="400">
    <w:name w:val="段落"/>
    <w:basedOn w:val="1"/>
    <w:qFormat/>
    <w:uiPriority w:val="0"/>
    <w:pPr>
      <w:spacing w:line="360" w:lineRule="auto"/>
      <w:ind w:firstLine="200" w:firstLineChars="200"/>
      <w:jc w:val="left"/>
    </w:pPr>
    <w:rPr>
      <w:sz w:val="24"/>
    </w:rPr>
  </w:style>
  <w:style w:type="paragraph" w:customStyle="1" w:styleId="401">
    <w:name w:val="表注"/>
    <w:basedOn w:val="36"/>
    <w:uiPriority w:val="0"/>
    <w:pPr>
      <w:spacing w:after="0"/>
      <w:ind w:left="0" w:leftChars="0"/>
      <w:jc w:val="right"/>
    </w:pPr>
    <w:rPr>
      <w:rFonts w:ascii="Calibri" w:hAnsi="Calibri"/>
      <w:sz w:val="32"/>
      <w:szCs w:val="22"/>
    </w:rPr>
  </w:style>
  <w:style w:type="paragraph" w:customStyle="1" w:styleId="402">
    <w:name w:val="表格注"/>
    <w:basedOn w:val="1"/>
    <w:next w:val="1"/>
    <w:uiPriority w:val="0"/>
    <w:pPr>
      <w:spacing w:line="240" w:lineRule="exact"/>
      <w:ind w:firstLine="480" w:firstLineChars="200"/>
      <w:jc w:val="left"/>
    </w:pPr>
    <w:rPr>
      <w:sz w:val="18"/>
    </w:rPr>
  </w:style>
  <w:style w:type="paragraph" w:customStyle="1" w:styleId="403">
    <w:name w:val="表格1"/>
    <w:basedOn w:val="1"/>
    <w:link w:val="404"/>
    <w:qFormat/>
    <w:uiPriority w:val="0"/>
    <w:pPr>
      <w:spacing w:line="360" w:lineRule="auto"/>
      <w:ind w:firstLine="480" w:firstLineChars="200"/>
      <w:jc w:val="left"/>
    </w:pPr>
    <w:rPr>
      <w:sz w:val="24"/>
    </w:rPr>
  </w:style>
  <w:style w:type="character" w:customStyle="1" w:styleId="404">
    <w:name w:val="表格1 Char"/>
    <w:basedOn w:val="87"/>
    <w:link w:val="403"/>
    <w:uiPriority w:val="0"/>
    <w:rPr>
      <w:rFonts w:ascii="Times New Roman" w:hAnsi="Times New Roman" w:eastAsia="宋体" w:cs="Times New Roman"/>
      <w:sz w:val="24"/>
      <w:szCs w:val="24"/>
    </w:rPr>
  </w:style>
  <w:style w:type="paragraph" w:customStyle="1" w:styleId="405">
    <w:name w:val="左侧"/>
    <w:qFormat/>
    <w:uiPriority w:val="0"/>
    <w:pPr>
      <w:jc w:val="center"/>
    </w:pPr>
    <w:rPr>
      <w:rFonts w:ascii="Times New Roman" w:hAnsi="Times New Roman" w:eastAsia="宋体" w:cs="Times New Roman"/>
      <w:color w:val="000000"/>
      <w:kern w:val="0"/>
      <w:sz w:val="21"/>
      <w:szCs w:val="21"/>
      <w:lang w:val="en-US" w:eastAsia="zh-CN" w:bidi="ar-SA"/>
    </w:rPr>
  </w:style>
  <w:style w:type="paragraph" w:customStyle="1" w:styleId="406">
    <w:name w:val="左五"/>
    <w:basedOn w:val="1"/>
    <w:qFormat/>
    <w:uiPriority w:val="0"/>
    <w:pPr>
      <w:adjustRightInd w:val="0"/>
      <w:snapToGrid w:val="0"/>
      <w:spacing w:line="280" w:lineRule="exact"/>
      <w:ind w:firstLine="480" w:firstLineChars="200"/>
      <w:jc w:val="left"/>
    </w:pPr>
    <w:rPr>
      <w:rFonts w:ascii="宋体" w:hAnsi="Symusic"/>
      <w:color w:val="000000"/>
      <w:sz w:val="18"/>
    </w:rPr>
  </w:style>
  <w:style w:type="paragraph" w:customStyle="1" w:styleId="407">
    <w:name w:val="标题3+ Char"/>
    <w:basedOn w:val="5"/>
    <w:uiPriority w:val="0"/>
    <w:pPr>
      <w:numPr>
        <w:numId w:val="0"/>
      </w:numPr>
      <w:spacing w:before="0" w:beforeLines="0" w:after="0" w:afterLines="0" w:line="440" w:lineRule="exact"/>
      <w:ind w:firstLine="200" w:firstLineChars="200"/>
    </w:pPr>
    <w:rPr>
      <w:rFonts w:ascii="Arial" w:hAnsi="Arial" w:cs="Arial"/>
      <w:bCs/>
      <w:szCs w:val="28"/>
    </w:rPr>
  </w:style>
  <w:style w:type="paragraph" w:customStyle="1" w:styleId="408">
    <w:name w:val="Char Char Char Char Char Char Char Char Char Char Char Char Char Char Char Char Char Char Char"/>
    <w:basedOn w:val="1"/>
    <w:qFormat/>
    <w:uiPriority w:val="0"/>
    <w:pPr>
      <w:spacing w:line="360" w:lineRule="auto"/>
      <w:ind w:firstLine="480" w:firstLineChars="200"/>
      <w:jc w:val="left"/>
    </w:pPr>
    <w:rPr>
      <w:sz w:val="24"/>
    </w:rPr>
  </w:style>
  <w:style w:type="paragraph" w:customStyle="1" w:styleId="409">
    <w:name w:val="正文样式"/>
    <w:basedOn w:val="1"/>
    <w:link w:val="779"/>
    <w:uiPriority w:val="0"/>
    <w:pPr>
      <w:spacing w:line="360" w:lineRule="auto"/>
      <w:ind w:firstLine="480" w:firstLineChars="200"/>
      <w:jc w:val="left"/>
    </w:pPr>
    <w:rPr>
      <w:rFonts w:ascii="宋体" w:hAnsi="宋体"/>
      <w:color w:val="000000"/>
      <w:sz w:val="24"/>
    </w:rPr>
  </w:style>
  <w:style w:type="character" w:customStyle="1" w:styleId="410">
    <w:name w:val="t_tag"/>
    <w:basedOn w:val="87"/>
    <w:qFormat/>
    <w:uiPriority w:val="0"/>
  </w:style>
  <w:style w:type="character" w:customStyle="1" w:styleId="411">
    <w:name w:val="表头 Char2"/>
    <w:basedOn w:val="87"/>
    <w:uiPriority w:val="0"/>
    <w:rPr>
      <w:rFonts w:eastAsia="宋体"/>
      <w:sz w:val="21"/>
      <w:lang w:val="en-US" w:eastAsia="zh-CN"/>
    </w:rPr>
  </w:style>
  <w:style w:type="paragraph" w:customStyle="1" w:styleId="412">
    <w:name w:val="奇页页眉样式"/>
    <w:basedOn w:val="1"/>
    <w:uiPriority w:val="0"/>
    <w:pPr>
      <w:keepLines/>
      <w:widowControl/>
      <w:tabs>
        <w:tab w:val="center" w:pos="-18551"/>
        <w:tab w:val="right" w:pos="4320"/>
      </w:tabs>
      <w:spacing w:after="480" w:line="240" w:lineRule="atLeast"/>
      <w:ind w:firstLine="480" w:firstLineChars="200"/>
      <w:jc w:val="center"/>
    </w:pPr>
    <w:rPr>
      <w:rFonts w:ascii="Garamond" w:hAnsi="Garamond"/>
      <w:smallCaps/>
      <w:spacing w:val="15"/>
      <w:kern w:val="0"/>
      <w:sz w:val="24"/>
      <w:szCs w:val="20"/>
    </w:rPr>
  </w:style>
  <w:style w:type="paragraph" w:customStyle="1" w:styleId="413">
    <w:name w:val="默认段落字体 Para Char Char Char Char Char Char1 Char Char Char Char"/>
    <w:basedOn w:val="1"/>
    <w:qFormat/>
    <w:uiPriority w:val="0"/>
    <w:pPr>
      <w:spacing w:line="360" w:lineRule="auto"/>
      <w:ind w:firstLine="200" w:firstLineChars="200"/>
      <w:jc w:val="left"/>
    </w:pPr>
    <w:rPr>
      <w:rFonts w:ascii="宋体" w:hAnsi="宋体" w:cs="宋体"/>
      <w:sz w:val="24"/>
    </w:rPr>
  </w:style>
  <w:style w:type="paragraph" w:customStyle="1" w:styleId="414">
    <w:name w:val="标-7"/>
    <w:basedOn w:val="1"/>
    <w:uiPriority w:val="0"/>
    <w:pPr>
      <w:tabs>
        <w:tab w:val="left" w:pos="420"/>
      </w:tabs>
      <w:spacing w:before="120" w:line="360" w:lineRule="auto"/>
      <w:ind w:left="1701" w:hanging="425" w:firstLineChars="200"/>
      <w:jc w:val="left"/>
    </w:pPr>
    <w:rPr>
      <w:rFonts w:ascii="宋体"/>
      <w:sz w:val="24"/>
      <w:szCs w:val="20"/>
    </w:rPr>
  </w:style>
  <w:style w:type="paragraph" w:customStyle="1" w:styleId="415">
    <w:name w:val="BG1"/>
    <w:basedOn w:val="1"/>
    <w:qFormat/>
    <w:uiPriority w:val="0"/>
    <w:pPr>
      <w:spacing w:line="320" w:lineRule="exact"/>
      <w:ind w:firstLine="480" w:firstLineChars="200"/>
      <w:jc w:val="center"/>
    </w:pPr>
    <w:rPr>
      <w:rFonts w:ascii="宋体" w:hAnsi="宋体"/>
      <w:color w:val="0000FF"/>
      <w:sz w:val="24"/>
    </w:rPr>
  </w:style>
  <w:style w:type="paragraph" w:customStyle="1" w:styleId="416">
    <w:name w:val="font8"/>
    <w:basedOn w:val="1"/>
    <w:uiPriority w:val="0"/>
    <w:pPr>
      <w:widowControl/>
      <w:spacing w:before="100" w:beforeAutospacing="1" w:after="100" w:afterAutospacing="1" w:line="360" w:lineRule="auto"/>
      <w:ind w:firstLine="480" w:firstLineChars="200"/>
      <w:jc w:val="left"/>
    </w:pPr>
    <w:rPr>
      <w:rFonts w:ascii="宋体" w:eastAsia="Arial Unicode MS"/>
      <w:kern w:val="0"/>
      <w:sz w:val="22"/>
      <w:szCs w:val="22"/>
    </w:rPr>
  </w:style>
  <w:style w:type="paragraph" w:customStyle="1" w:styleId="417">
    <w:name w:val="项目符号1"/>
    <w:basedOn w:val="1"/>
    <w:qFormat/>
    <w:uiPriority w:val="0"/>
    <w:pPr>
      <w:tabs>
        <w:tab w:val="left" w:pos="907"/>
        <w:tab w:val="left" w:pos="935"/>
      </w:tabs>
      <w:snapToGrid w:val="0"/>
      <w:spacing w:before="120" w:after="120" w:line="312" w:lineRule="auto"/>
      <w:ind w:left="935" w:firstLine="624" w:firstLineChars="200"/>
      <w:jc w:val="left"/>
    </w:pPr>
    <w:rPr>
      <w:rFonts w:ascii="Arial" w:hAnsi="Arial" w:eastAsia="楷体_GB2312"/>
      <w:b/>
      <w:sz w:val="28"/>
      <w:szCs w:val="20"/>
    </w:rPr>
  </w:style>
  <w:style w:type="paragraph" w:customStyle="1" w:styleId="418">
    <w:name w:val="文-5"/>
    <w:basedOn w:val="1"/>
    <w:uiPriority w:val="0"/>
    <w:pPr>
      <w:tabs>
        <w:tab w:val="right" w:leader="dot" w:pos="8789"/>
      </w:tabs>
      <w:spacing w:before="120" w:line="360" w:lineRule="auto"/>
      <w:ind w:left="1276" w:firstLine="482" w:firstLineChars="200"/>
      <w:jc w:val="left"/>
    </w:pPr>
    <w:rPr>
      <w:rFonts w:ascii="宋体"/>
      <w:sz w:val="24"/>
      <w:szCs w:val="20"/>
    </w:rPr>
  </w:style>
  <w:style w:type="paragraph" w:customStyle="1" w:styleId="419">
    <w:name w:val="表内字"/>
    <w:basedOn w:val="46"/>
    <w:qFormat/>
    <w:uiPriority w:val="0"/>
    <w:pPr>
      <w:spacing w:line="300" w:lineRule="auto"/>
      <w:ind w:firstLine="480" w:firstLineChars="200"/>
      <w:jc w:val="center"/>
    </w:pPr>
    <w:rPr>
      <w:rFonts w:ascii="Arial" w:hAnsi="Arial"/>
      <w:snapToGrid w:val="0"/>
      <w:kern w:val="0"/>
    </w:rPr>
  </w:style>
  <w:style w:type="paragraph" w:customStyle="1" w:styleId="420">
    <w:name w:val="Char Char Char Char Char Char Char Char Char1 Char Char Char1 Char Char Char1 Char"/>
    <w:basedOn w:val="1"/>
    <w:next w:val="1"/>
    <w:uiPriority w:val="0"/>
    <w:pPr>
      <w:pBdr>
        <w:right w:val="single" w:color="auto" w:sz="12" w:space="4"/>
      </w:pBdr>
      <w:spacing w:line="360" w:lineRule="auto"/>
      <w:ind w:firstLine="200" w:firstLineChars="200"/>
      <w:jc w:val="left"/>
    </w:pPr>
    <w:rPr>
      <w:rFonts w:ascii="宋体" w:hAnsi="宋体" w:cs="宋体"/>
      <w:sz w:val="24"/>
    </w:rPr>
  </w:style>
  <w:style w:type="paragraph" w:customStyle="1" w:styleId="421">
    <w:name w:val="11"/>
    <w:basedOn w:val="17"/>
    <w:link w:val="422"/>
    <w:uiPriority w:val="0"/>
    <w:pPr>
      <w:spacing w:after="120" w:line="240" w:lineRule="auto"/>
      <w:ind w:firstLine="0" w:firstLineChars="0"/>
      <w:jc w:val="both"/>
    </w:pPr>
    <w:rPr>
      <w:rFonts w:ascii="Times New Roman" w:hAnsi="Times New Roman" w:eastAsia="宋体" w:cs="Times New Roman"/>
      <w:sz w:val="21"/>
      <w:szCs w:val="24"/>
    </w:rPr>
  </w:style>
  <w:style w:type="character" w:customStyle="1" w:styleId="422">
    <w:name w:val="11 Char"/>
    <w:basedOn w:val="87"/>
    <w:link w:val="421"/>
    <w:uiPriority w:val="0"/>
    <w:rPr>
      <w:rFonts w:ascii="Times New Roman" w:hAnsi="Times New Roman" w:eastAsia="宋体" w:cs="Times New Roman"/>
      <w:szCs w:val="24"/>
    </w:rPr>
  </w:style>
  <w:style w:type="paragraph" w:customStyle="1" w:styleId="423">
    <w:name w:val="正文文字缩进 21"/>
    <w:basedOn w:val="1"/>
    <w:next w:val="33"/>
    <w:qFormat/>
    <w:uiPriority w:val="0"/>
    <w:pPr>
      <w:spacing w:after="120" w:line="360" w:lineRule="auto"/>
      <w:ind w:firstLine="480" w:firstLineChars="200"/>
      <w:jc w:val="left"/>
    </w:pPr>
    <w:rPr>
      <w:sz w:val="16"/>
      <w:szCs w:val="20"/>
    </w:rPr>
  </w:style>
  <w:style w:type="paragraph" w:customStyle="1" w:styleId="424">
    <w:name w:val="样式 样式 标题 2H2节标题 1.1节标题 1.1 Char + 非加粗 首行缩进:  0 厘米 + 段前: 1 行1"/>
    <w:basedOn w:val="3"/>
    <w:uiPriority w:val="0"/>
    <w:pPr>
      <w:numPr>
        <w:numId w:val="0"/>
      </w:numPr>
      <w:adjustRightInd/>
      <w:spacing w:before="0" w:beforeLines="0" w:after="0" w:afterLines="0" w:line="240" w:lineRule="auto"/>
    </w:pPr>
    <w:rPr>
      <w:rFonts w:ascii="Arial" w:hAnsi="Arial" w:cs="Arial"/>
      <w:b w:val="0"/>
      <w:kern w:val="0"/>
      <w:szCs w:val="20"/>
    </w:rPr>
  </w:style>
  <w:style w:type="paragraph" w:customStyle="1" w:styleId="425">
    <w:name w:val="样式 样式 样式 样式 标题 2H2节标题 1.1节标题 1.1 Char + 非加粗 首行缩进:  0 厘米 + (中文) 黑..."/>
    <w:basedOn w:val="3"/>
    <w:next w:val="5"/>
    <w:uiPriority w:val="0"/>
    <w:pPr>
      <w:numPr>
        <w:numId w:val="0"/>
      </w:numPr>
      <w:adjustRightInd/>
      <w:spacing w:before="0" w:beforeLines="0" w:after="0" w:afterLines="0" w:line="240" w:lineRule="auto"/>
    </w:pPr>
    <w:rPr>
      <w:rFonts w:ascii="黑体" w:eastAsia="黑体" w:cs="Arial"/>
      <w:bCs/>
      <w:kern w:val="0"/>
      <w:sz w:val="30"/>
      <w:szCs w:val="30"/>
    </w:rPr>
  </w:style>
  <w:style w:type="paragraph" w:customStyle="1" w:styleId="426">
    <w:name w:val="表头标题"/>
    <w:basedOn w:val="1"/>
    <w:uiPriority w:val="0"/>
    <w:pPr>
      <w:spacing w:line="480" w:lineRule="exact"/>
      <w:ind w:firstLine="720" w:firstLineChars="343"/>
      <w:jc w:val="left"/>
    </w:pPr>
    <w:rPr>
      <w:rFonts w:ascii="宋体" w:hAnsi="宋体" w:eastAsia="黑体"/>
      <w:color w:val="000000"/>
      <w:sz w:val="24"/>
      <w:szCs w:val="21"/>
    </w:rPr>
  </w:style>
  <w:style w:type="character" w:customStyle="1" w:styleId="427">
    <w:name w:val="apple-style-span"/>
    <w:basedOn w:val="87"/>
    <w:uiPriority w:val="0"/>
  </w:style>
  <w:style w:type="paragraph" w:customStyle="1" w:styleId="428">
    <w:name w:val="正文01"/>
    <w:basedOn w:val="1"/>
    <w:uiPriority w:val="0"/>
    <w:pPr>
      <w:spacing w:before="60" w:line="460" w:lineRule="exact"/>
      <w:ind w:firstLine="200" w:firstLineChars="200"/>
      <w:jc w:val="left"/>
    </w:pPr>
    <w:rPr>
      <w:bCs/>
      <w:sz w:val="24"/>
    </w:rPr>
  </w:style>
  <w:style w:type="paragraph" w:customStyle="1" w:styleId="429">
    <w:name w:val="小表"/>
    <w:basedOn w:val="1"/>
    <w:semiHidden/>
    <w:uiPriority w:val="0"/>
    <w:pPr>
      <w:widowControl/>
      <w:overflowPunct w:val="0"/>
      <w:autoSpaceDE w:val="0"/>
      <w:autoSpaceDN w:val="0"/>
      <w:adjustRightInd w:val="0"/>
      <w:spacing w:line="360" w:lineRule="auto"/>
      <w:ind w:firstLine="480" w:firstLineChars="200"/>
      <w:jc w:val="center"/>
      <w:textAlignment w:val="bottom"/>
    </w:pPr>
    <w:rPr>
      <w:kern w:val="0"/>
      <w:sz w:val="24"/>
      <w:szCs w:val="20"/>
    </w:rPr>
  </w:style>
  <w:style w:type="paragraph" w:customStyle="1" w:styleId="430">
    <w:name w:val="样式 标题 3 + 段前: 0.5 行"/>
    <w:basedOn w:val="5"/>
    <w:uiPriority w:val="0"/>
    <w:pPr>
      <w:numPr>
        <w:numId w:val="0"/>
      </w:numPr>
      <w:spacing w:before="0" w:beforeLines="0" w:after="0" w:afterLines="0" w:line="500" w:lineRule="exact"/>
    </w:pPr>
    <w:rPr>
      <w:rFonts w:ascii="Arial" w:hAnsi="Arial" w:cs="宋体"/>
      <w:sz w:val="28"/>
      <w:szCs w:val="28"/>
    </w:rPr>
  </w:style>
  <w:style w:type="paragraph" w:customStyle="1" w:styleId="431">
    <w:name w:val="样式 标题 1标题 1 Char Char Char Char Char Char Char + 行距: 单倍行距"/>
    <w:basedOn w:val="2"/>
    <w:qFormat/>
    <w:uiPriority w:val="0"/>
    <w:pPr>
      <w:pageBreakBefore/>
      <w:widowControl/>
      <w:numPr>
        <w:numId w:val="0"/>
      </w:numPr>
      <w:tabs>
        <w:tab w:val="clear" w:pos="294"/>
        <w:tab w:val="clear" w:pos="720"/>
        <w:tab w:val="clear" w:pos="1080"/>
        <w:tab w:val="clear" w:pos="1440"/>
      </w:tabs>
      <w:adjustRightInd/>
      <w:snapToGrid/>
      <w:spacing w:before="0" w:beforeLines="0" w:after="330" w:afterLines="0" w:line="520" w:lineRule="exact"/>
    </w:pPr>
    <w:rPr>
      <w:rFonts w:cs="Arial"/>
      <w:sz w:val="30"/>
      <w:szCs w:val="20"/>
    </w:rPr>
  </w:style>
  <w:style w:type="character" w:customStyle="1" w:styleId="432">
    <w:name w:val="123YJ Char Char"/>
    <w:basedOn w:val="87"/>
    <w:uiPriority w:val="0"/>
    <w:rPr>
      <w:rFonts w:eastAsia="宋体"/>
      <w:kern w:val="2"/>
      <w:sz w:val="18"/>
      <w:szCs w:val="18"/>
      <w:lang w:val="en-US" w:eastAsia="zh-CN" w:bidi="ar-SA"/>
    </w:rPr>
  </w:style>
  <w:style w:type="paragraph" w:customStyle="1" w:styleId="433">
    <w:name w:val="正文（首行缩进两字） + 首行缩进:  2 字符1"/>
    <w:basedOn w:val="4"/>
    <w:next w:val="4"/>
    <w:qFormat/>
    <w:uiPriority w:val="0"/>
    <w:pPr>
      <w:tabs>
        <w:tab w:val="left" w:pos="945"/>
        <w:tab w:val="right" w:leader="dot" w:pos="1155"/>
        <w:tab w:val="left" w:pos="8715"/>
      </w:tabs>
      <w:adjustRightInd w:val="0"/>
      <w:snapToGrid w:val="0"/>
      <w:spacing w:line="360" w:lineRule="auto"/>
      <w:ind w:firstLine="480"/>
      <w:jc w:val="left"/>
    </w:pPr>
    <w:rPr>
      <w:rFonts w:ascii="宋体" w:hAnsi="宋体"/>
      <w:snapToGrid w:val="0"/>
      <w:kern w:val="0"/>
      <w:sz w:val="24"/>
      <w:szCs w:val="21"/>
    </w:rPr>
  </w:style>
  <w:style w:type="paragraph" w:customStyle="1" w:styleId="434">
    <w:name w:val="单位"/>
    <w:basedOn w:val="1"/>
    <w:uiPriority w:val="0"/>
    <w:pPr>
      <w:tabs>
        <w:tab w:val="right" w:pos="0"/>
      </w:tabs>
      <w:adjustRightInd w:val="0"/>
      <w:snapToGrid w:val="0"/>
      <w:spacing w:line="360" w:lineRule="auto"/>
      <w:ind w:firstLine="480" w:firstLineChars="200"/>
      <w:jc w:val="right"/>
    </w:pPr>
    <w:rPr>
      <w:rFonts w:ascii="宋体"/>
      <w:bCs/>
      <w:spacing w:val="10"/>
      <w:sz w:val="24"/>
    </w:rPr>
  </w:style>
  <w:style w:type="paragraph" w:customStyle="1" w:styleId="435">
    <w:name w:val="样式 列表 2 + 华文仿宋 居中"/>
    <w:basedOn w:val="38"/>
    <w:qFormat/>
    <w:uiPriority w:val="0"/>
    <w:pPr>
      <w:spacing w:line="240" w:lineRule="auto"/>
    </w:pPr>
    <w:rPr>
      <w:rFonts w:ascii="Times New Roman" w:hAnsi="Times New Roman" w:eastAsia="楷体_GB2312" w:cs="宋体"/>
      <w:sz w:val="24"/>
      <w:szCs w:val="21"/>
    </w:rPr>
  </w:style>
  <w:style w:type="paragraph" w:customStyle="1" w:styleId="436">
    <w:name w:val="正文 小四 行距: 1.5 倍行距"/>
    <w:basedOn w:val="1"/>
    <w:uiPriority w:val="0"/>
    <w:pPr>
      <w:spacing w:line="360" w:lineRule="auto"/>
      <w:ind w:firstLine="480" w:firstLineChars="200"/>
      <w:jc w:val="left"/>
    </w:pPr>
    <w:rPr>
      <w:sz w:val="24"/>
      <w:szCs w:val="20"/>
    </w:rPr>
  </w:style>
  <w:style w:type="paragraph" w:customStyle="1" w:styleId="437">
    <w:name w:val="Char1"/>
    <w:basedOn w:val="1"/>
    <w:qFormat/>
    <w:uiPriority w:val="0"/>
    <w:pPr>
      <w:jc w:val="center"/>
    </w:pPr>
    <w:rPr>
      <w:rFonts w:ascii="宋体" w:hAnsi="宋体" w:cs="宋体"/>
      <w:sz w:val="30"/>
    </w:rPr>
  </w:style>
  <w:style w:type="paragraph" w:customStyle="1" w:styleId="438">
    <w:name w:val="表标题"/>
    <w:basedOn w:val="6"/>
    <w:uiPriority w:val="0"/>
    <w:pPr>
      <w:numPr>
        <w:ilvl w:val="5"/>
        <w:numId w:val="0"/>
      </w:numPr>
      <w:tabs>
        <w:tab w:val="clear" w:pos="1152"/>
        <w:tab w:val="clear" w:pos="2940"/>
        <w:tab w:val="clear" w:pos="1044"/>
      </w:tabs>
      <w:overflowPunct w:val="0"/>
      <w:snapToGrid w:val="0"/>
      <w:spacing w:before="0" w:beforeLines="50" w:after="0" w:afterLines="0"/>
      <w:ind w:right="60" w:rightChars="60"/>
      <w:jc w:val="center"/>
    </w:pPr>
    <w:rPr>
      <w:rFonts w:ascii="宋体" w:hAnsi="宋体"/>
      <w:b w:val="0"/>
      <w:snapToGrid w:val="0"/>
      <w:color w:val="000000"/>
      <w:kern w:val="0"/>
      <w:szCs w:val="28"/>
    </w:rPr>
  </w:style>
  <w:style w:type="paragraph" w:customStyle="1" w:styleId="439">
    <w:name w:val="样式 样式  小四 黑色 居中 首行缩进:  2 字符 行距: 固定值 18 磅 + 首行缩进:  0.85 厘米"/>
    <w:basedOn w:val="1"/>
    <w:qFormat/>
    <w:uiPriority w:val="0"/>
    <w:pPr>
      <w:spacing w:after="156" w:line="360" w:lineRule="exact"/>
      <w:ind w:firstLine="480" w:firstLineChars="200"/>
      <w:jc w:val="center"/>
    </w:pPr>
    <w:rPr>
      <w:rFonts w:ascii="仿宋_GB2312" w:hAnsi="仿宋_GB2312" w:cs="宋体"/>
      <w:b/>
      <w:bCs/>
      <w:sz w:val="24"/>
      <w:szCs w:val="20"/>
    </w:rPr>
  </w:style>
  <w:style w:type="character" w:customStyle="1" w:styleId="440">
    <w:name w:val="表 头 Char"/>
    <w:basedOn w:val="87"/>
    <w:link w:val="441"/>
    <w:uiPriority w:val="0"/>
    <w:rPr>
      <w:rFonts w:eastAsia="黑体"/>
      <w:b/>
      <w:sz w:val="24"/>
      <w:szCs w:val="18"/>
    </w:rPr>
  </w:style>
  <w:style w:type="paragraph" w:customStyle="1" w:styleId="441">
    <w:name w:val="表 头"/>
    <w:basedOn w:val="1"/>
    <w:link w:val="440"/>
    <w:uiPriority w:val="0"/>
    <w:pPr>
      <w:tabs>
        <w:tab w:val="left" w:pos="1418"/>
      </w:tabs>
      <w:adjustRightInd w:val="0"/>
      <w:spacing w:line="400" w:lineRule="exact"/>
      <w:ind w:firstLine="480" w:firstLineChars="200"/>
      <w:jc w:val="center"/>
    </w:pPr>
    <w:rPr>
      <w:rFonts w:eastAsia="黑体" w:asciiTheme="minorHAnsi" w:hAnsiTheme="minorHAnsi" w:cstheme="minorBidi"/>
      <w:b/>
      <w:sz w:val="24"/>
      <w:szCs w:val="18"/>
    </w:rPr>
  </w:style>
  <w:style w:type="paragraph" w:customStyle="1" w:styleId="442">
    <w:name w:val="样式 标题 2节H2（一）Underrubrik1prop2Heading 2 HiddenHeading 2 C..."/>
    <w:basedOn w:val="3"/>
    <w:uiPriority w:val="0"/>
    <w:pPr>
      <w:numPr>
        <w:numId w:val="0"/>
      </w:numPr>
      <w:adjustRightInd/>
      <w:spacing w:before="0" w:beforeLines="0" w:after="50"/>
    </w:pPr>
    <w:rPr>
      <w:rFonts w:ascii="黑体" w:hAnsi="Times New Roman" w:eastAsia="黑体" w:cs="Arial"/>
      <w:kern w:val="0"/>
      <w:sz w:val="32"/>
      <w:szCs w:val="30"/>
    </w:rPr>
  </w:style>
  <w:style w:type="paragraph" w:customStyle="1" w:styleId="443">
    <w:name w:val="样式 样式 标题 2节H2（一）Underrubrik1prop2Heading 2 HiddenHeading 2 C... ..."/>
    <w:basedOn w:val="442"/>
    <w:qFormat/>
    <w:uiPriority w:val="0"/>
    <w:pPr>
      <w:spacing w:afterLines="0"/>
    </w:pPr>
    <w:rPr>
      <w:rFonts w:cs="宋体"/>
      <w:szCs w:val="20"/>
    </w:rPr>
  </w:style>
  <w:style w:type="paragraph" w:customStyle="1" w:styleId="444">
    <w:name w:val="样式 表注 + 首行缩进:  2 字符"/>
    <w:basedOn w:val="401"/>
    <w:uiPriority w:val="0"/>
    <w:pPr>
      <w:ind w:firstLine="640"/>
    </w:pPr>
    <w:rPr>
      <w:rFonts w:eastAsia="黑体" w:cs="宋体"/>
      <w:b/>
      <w:sz w:val="24"/>
      <w:szCs w:val="20"/>
    </w:rPr>
  </w:style>
  <w:style w:type="paragraph" w:customStyle="1" w:styleId="445">
    <w:name w:val="样式 样式1 + 非加粗 首行缩进:  1.55 厘米"/>
    <w:basedOn w:val="78"/>
    <w:qFormat/>
    <w:uiPriority w:val="0"/>
    <w:pPr>
      <w:widowControl/>
      <w:spacing w:line="240" w:lineRule="auto"/>
      <w:ind w:firstLine="880" w:firstLineChars="0"/>
      <w:jc w:val="center"/>
    </w:pPr>
    <w:rPr>
      <w:rFonts w:ascii="黑体" w:hAnsi="Times New Roman" w:eastAsia="黑体" w:cs="宋体"/>
      <w:b/>
      <w:kern w:val="44"/>
      <w:sz w:val="48"/>
      <w:szCs w:val="20"/>
    </w:rPr>
  </w:style>
  <w:style w:type="paragraph" w:customStyle="1" w:styleId="446">
    <w:name w:val="样式 样式4 + (符号) Arial 首行缩进:  4 字符"/>
    <w:basedOn w:val="157"/>
    <w:qFormat/>
    <w:uiPriority w:val="0"/>
    <w:pPr>
      <w:keepNext w:val="0"/>
      <w:keepLines w:val="0"/>
      <w:widowControl/>
      <w:numPr>
        <w:ilvl w:val="0"/>
      </w:numPr>
      <w:tabs>
        <w:tab w:val="clear" w:pos="1044"/>
      </w:tabs>
      <w:adjustRightInd/>
      <w:snapToGrid w:val="0"/>
      <w:spacing w:before="0" w:after="0" w:line="420" w:lineRule="auto"/>
      <w:ind w:firstLine="800" w:firstLineChars="800"/>
      <w:jc w:val="left"/>
      <w:outlineLvl w:val="9"/>
    </w:pPr>
    <w:rPr>
      <w:rFonts w:hAnsi="Arial" w:eastAsia="宋体" w:cs="宋体"/>
      <w:b/>
      <w:sz w:val="30"/>
    </w:rPr>
  </w:style>
  <w:style w:type="paragraph" w:customStyle="1" w:styleId="447">
    <w:name w:val="Quote"/>
    <w:basedOn w:val="1"/>
    <w:next w:val="1"/>
    <w:link w:val="448"/>
    <w:qFormat/>
    <w:uiPriority w:val="29"/>
    <w:pPr>
      <w:jc w:val="left"/>
    </w:pPr>
    <w:rPr>
      <w:i/>
      <w:iCs/>
      <w:color w:val="000000"/>
      <w:sz w:val="18"/>
    </w:rPr>
  </w:style>
  <w:style w:type="character" w:customStyle="1" w:styleId="448">
    <w:name w:val="引用 Char"/>
    <w:basedOn w:val="87"/>
    <w:link w:val="447"/>
    <w:qFormat/>
    <w:uiPriority w:val="29"/>
    <w:rPr>
      <w:rFonts w:ascii="Times New Roman" w:hAnsi="Times New Roman" w:eastAsia="宋体" w:cs="Times New Roman"/>
      <w:i/>
      <w:iCs/>
      <w:color w:val="000000"/>
      <w:sz w:val="18"/>
      <w:szCs w:val="24"/>
    </w:rPr>
  </w:style>
  <w:style w:type="paragraph" w:customStyle="1" w:styleId="449">
    <w:name w:val="Intense Quote"/>
    <w:basedOn w:val="1"/>
    <w:next w:val="1"/>
    <w:link w:val="450"/>
    <w:qFormat/>
    <w:uiPriority w:val="30"/>
    <w:pPr>
      <w:pBdr>
        <w:top w:val="thickThinSmallGap" w:color="auto" w:sz="12" w:space="1"/>
      </w:pBdr>
      <w:jc w:val="center"/>
    </w:pPr>
    <w:rPr>
      <w:bCs/>
      <w:iCs/>
      <w:sz w:val="18"/>
    </w:rPr>
  </w:style>
  <w:style w:type="character" w:customStyle="1" w:styleId="450">
    <w:name w:val="明显引用 Char"/>
    <w:basedOn w:val="87"/>
    <w:link w:val="449"/>
    <w:qFormat/>
    <w:uiPriority w:val="30"/>
    <w:rPr>
      <w:rFonts w:ascii="Times New Roman" w:hAnsi="Times New Roman" w:eastAsia="宋体" w:cs="Times New Roman"/>
      <w:bCs/>
      <w:iCs/>
      <w:sz w:val="18"/>
      <w:szCs w:val="24"/>
    </w:rPr>
  </w:style>
  <w:style w:type="paragraph" w:customStyle="1" w:styleId="451">
    <w:name w:val="附件"/>
    <w:basedOn w:val="1"/>
    <w:uiPriority w:val="0"/>
    <w:pPr>
      <w:numPr>
        <w:ilvl w:val="0"/>
        <w:numId w:val="10"/>
      </w:numPr>
      <w:tabs>
        <w:tab w:val="left" w:pos="840"/>
        <w:tab w:val="left" w:pos="1440"/>
      </w:tabs>
      <w:spacing w:line="360" w:lineRule="auto"/>
    </w:pPr>
    <w:rPr>
      <w:rFonts w:hAnsi="宋体" w:cs="宋体"/>
      <w:kern w:val="0"/>
      <w:sz w:val="24"/>
      <w:szCs w:val="20"/>
    </w:rPr>
  </w:style>
  <w:style w:type="paragraph" w:customStyle="1" w:styleId="452">
    <w:name w:val="图名"/>
    <w:basedOn w:val="1"/>
    <w:qFormat/>
    <w:uiPriority w:val="0"/>
    <w:pPr>
      <w:widowControl/>
      <w:snapToGrid w:val="0"/>
      <w:spacing w:after="156" w:afterLines="50" w:line="360" w:lineRule="auto"/>
      <w:ind w:left="420"/>
      <w:jc w:val="center"/>
    </w:pPr>
    <w:rPr>
      <w:rFonts w:ascii="宋体" w:hAnsi="Arial"/>
      <w:b/>
      <w:sz w:val="24"/>
    </w:rPr>
  </w:style>
  <w:style w:type="paragraph" w:customStyle="1" w:styleId="453">
    <w:name w:val="样式 样式 样式 样式 标题 2 + 段前: 0.25 行 段后: 0.25 行 + 段前: 0.25 行 段后: 0.25 行..."/>
    <w:basedOn w:val="1"/>
    <w:uiPriority w:val="0"/>
    <w:pPr>
      <w:keepNext/>
      <w:keepLines/>
      <w:tabs>
        <w:tab w:val="left" w:pos="360"/>
      </w:tabs>
      <w:adjustRightInd w:val="0"/>
      <w:snapToGrid w:val="0"/>
      <w:spacing w:beforeLines="25" w:afterLines="25" w:line="360" w:lineRule="auto"/>
      <w:ind w:firstLine="200"/>
      <w:jc w:val="left"/>
      <w:outlineLvl w:val="1"/>
    </w:pPr>
    <w:rPr>
      <w:rFonts w:ascii="Arial" w:hAnsi="Arial"/>
      <w:b/>
      <w:bCs/>
      <w:sz w:val="24"/>
      <w:szCs w:val="20"/>
    </w:rPr>
  </w:style>
  <w:style w:type="paragraph" w:customStyle="1" w:styleId="454">
    <w:name w:val="样式 表头 + 段前: 1 行"/>
    <w:basedOn w:val="167"/>
    <w:uiPriority w:val="0"/>
    <w:pPr>
      <w:tabs>
        <w:tab w:val="left" w:pos="540"/>
      </w:tabs>
      <w:spacing w:line="400" w:lineRule="exact"/>
    </w:pPr>
    <w:rPr>
      <w:rFonts w:eastAsia="黑体" w:cs="宋体"/>
      <w:bCs/>
      <w:color w:val="000000"/>
      <w:kern w:val="24"/>
      <w:sz w:val="24"/>
      <w:szCs w:val="20"/>
      <w:lang w:val="en-US" w:eastAsia="zh-CN"/>
    </w:rPr>
  </w:style>
  <w:style w:type="paragraph" w:customStyle="1" w:styleId="455">
    <w:name w:val="附图"/>
    <w:basedOn w:val="1"/>
    <w:uiPriority w:val="0"/>
    <w:pPr>
      <w:numPr>
        <w:ilvl w:val="0"/>
        <w:numId w:val="11"/>
      </w:numPr>
      <w:tabs>
        <w:tab w:val="left" w:pos="1320"/>
      </w:tabs>
      <w:spacing w:line="360" w:lineRule="auto"/>
      <w:ind w:firstLine="0"/>
    </w:pPr>
    <w:rPr>
      <w:color w:val="FF0000"/>
      <w:sz w:val="24"/>
      <w:szCs w:val="20"/>
    </w:rPr>
  </w:style>
  <w:style w:type="paragraph" w:customStyle="1" w:styleId="456">
    <w:name w:val="TOC Heading"/>
    <w:basedOn w:val="2"/>
    <w:next w:val="1"/>
    <w:unhideWhenUsed/>
    <w:qFormat/>
    <w:uiPriority w:val="0"/>
    <w:pPr>
      <w:widowControl/>
      <w:numPr>
        <w:numId w:val="0"/>
      </w:numPr>
      <w:tabs>
        <w:tab w:val="clear" w:pos="294"/>
        <w:tab w:val="clear" w:pos="720"/>
        <w:tab w:val="clear" w:pos="1080"/>
        <w:tab w:val="clear" w:pos="1440"/>
      </w:tabs>
      <w:adjustRightInd/>
      <w:snapToGrid/>
      <w:spacing w:before="0" w:beforeLines="0" w:after="0" w:afterLines="0" w:line="276" w:lineRule="auto"/>
      <w:jc w:val="left"/>
      <w:outlineLvl w:val="9"/>
    </w:pPr>
    <w:rPr>
      <w:rFonts w:ascii="Cambria" w:hAnsi="Cambria"/>
      <w:bCs/>
      <w:color w:val="365F91"/>
      <w:kern w:val="0"/>
      <w:sz w:val="28"/>
      <w:szCs w:val="28"/>
    </w:rPr>
  </w:style>
  <w:style w:type="paragraph" w:customStyle="1" w:styleId="457">
    <w:name w:val="正文小四"/>
    <w:basedOn w:val="1"/>
    <w:link w:val="458"/>
    <w:uiPriority w:val="0"/>
    <w:pPr>
      <w:spacing w:line="360" w:lineRule="auto"/>
      <w:ind w:firstLine="200" w:firstLineChars="200"/>
      <w:jc w:val="left"/>
    </w:pPr>
    <w:rPr>
      <w:sz w:val="24"/>
    </w:rPr>
  </w:style>
  <w:style w:type="character" w:customStyle="1" w:styleId="458">
    <w:name w:val="正文小四 Char"/>
    <w:link w:val="457"/>
    <w:locked/>
    <w:uiPriority w:val="0"/>
    <w:rPr>
      <w:rFonts w:ascii="Times New Roman" w:hAnsi="Times New Roman" w:eastAsia="宋体" w:cs="Times New Roman"/>
      <w:sz w:val="24"/>
      <w:szCs w:val="24"/>
    </w:rPr>
  </w:style>
  <w:style w:type="paragraph" w:customStyle="1" w:styleId="459">
    <w:name w:val="表格(另)"/>
    <w:basedOn w:val="186"/>
    <w:next w:val="1"/>
    <w:uiPriority w:val="0"/>
    <w:pPr>
      <w:spacing w:line="320" w:lineRule="exact"/>
      <w:ind w:left="-42" w:leftChars="-20" w:right="-42" w:rightChars="-20"/>
      <w:jc w:val="center"/>
    </w:pPr>
    <w:rPr>
      <w:rFonts w:eastAsia="Arial"/>
    </w:rPr>
  </w:style>
  <w:style w:type="paragraph" w:customStyle="1" w:styleId="460">
    <w:name w:val="图框文字"/>
    <w:basedOn w:val="1"/>
    <w:uiPriority w:val="0"/>
    <w:pPr>
      <w:jc w:val="center"/>
    </w:pPr>
    <w:rPr>
      <w:rFonts w:ascii="Arial" w:hAnsi="Arial"/>
    </w:rPr>
  </w:style>
  <w:style w:type="paragraph" w:customStyle="1" w:styleId="461">
    <w:name w:val="表格2"/>
    <w:basedOn w:val="186"/>
    <w:uiPriority w:val="0"/>
    <w:pPr>
      <w:spacing w:line="240" w:lineRule="auto"/>
      <w:ind w:left="0" w:leftChars="0" w:right="0" w:rightChars="0"/>
      <w:jc w:val="center"/>
    </w:pPr>
  </w:style>
  <w:style w:type="paragraph" w:customStyle="1" w:styleId="462">
    <w:name w:val="样式 四号 加粗 黑色 行距: 1.5 倍行距"/>
    <w:basedOn w:val="1"/>
    <w:uiPriority w:val="0"/>
    <w:pPr>
      <w:spacing w:line="360" w:lineRule="auto"/>
    </w:pPr>
    <w:rPr>
      <w:rFonts w:cs="宋体"/>
      <w:b/>
      <w:bCs/>
      <w:color w:val="000000"/>
      <w:sz w:val="28"/>
      <w:szCs w:val="20"/>
    </w:rPr>
  </w:style>
  <w:style w:type="paragraph" w:customStyle="1" w:styleId="463">
    <w:name w:val="zhang正文"/>
    <w:basedOn w:val="36"/>
    <w:link w:val="464"/>
    <w:uiPriority w:val="0"/>
    <w:pPr>
      <w:autoSpaceDE w:val="0"/>
      <w:autoSpaceDN w:val="0"/>
      <w:adjustRightInd w:val="0"/>
      <w:snapToGrid w:val="0"/>
      <w:spacing w:after="0"/>
      <w:ind w:left="0" w:leftChars="0" w:firstLine="472"/>
      <w:jc w:val="both"/>
    </w:pPr>
    <w:rPr>
      <w:rFonts w:ascii="宋体"/>
      <w:color w:val="00FF00"/>
      <w:spacing w:val="-2"/>
    </w:rPr>
  </w:style>
  <w:style w:type="character" w:customStyle="1" w:styleId="464">
    <w:name w:val="zhang正文 Char"/>
    <w:basedOn w:val="219"/>
    <w:link w:val="463"/>
    <w:qFormat/>
    <w:uiPriority w:val="0"/>
    <w:rPr>
      <w:rFonts w:ascii="宋体" w:hAnsi="Times New Roman" w:eastAsia="宋体" w:cs="Times New Roman"/>
      <w:color w:val="00FF00"/>
      <w:spacing w:val="-2"/>
      <w:sz w:val="24"/>
      <w:szCs w:val="24"/>
    </w:rPr>
  </w:style>
  <w:style w:type="paragraph" w:customStyle="1" w:styleId="465">
    <w:name w:val="Char1 Char Char Char"/>
    <w:basedOn w:val="1"/>
    <w:uiPriority w:val="0"/>
    <w:rPr>
      <w:szCs w:val="21"/>
    </w:rPr>
  </w:style>
  <w:style w:type="paragraph" w:customStyle="1" w:styleId="466">
    <w:name w:val="公正文"/>
    <w:basedOn w:val="4"/>
    <w:qFormat/>
    <w:uiPriority w:val="0"/>
    <w:pPr>
      <w:adjustRightInd w:val="0"/>
      <w:snapToGrid w:val="0"/>
      <w:spacing w:line="355" w:lineRule="auto"/>
      <w:ind w:firstLine="200"/>
    </w:pPr>
    <w:rPr>
      <w:rFonts w:ascii="宋体" w:hAnsi="宋体" w:eastAsia="仿宋_GB2312"/>
      <w:snapToGrid w:val="0"/>
      <w:kern w:val="0"/>
      <w:sz w:val="28"/>
      <w:szCs w:val="28"/>
    </w:rPr>
  </w:style>
  <w:style w:type="character" w:customStyle="1" w:styleId="467">
    <w:name w:val="textcontents"/>
    <w:basedOn w:val="87"/>
    <w:uiPriority w:val="0"/>
  </w:style>
  <w:style w:type="paragraph" w:customStyle="1" w:styleId="468">
    <w:name w:val="表格2（柞行）"/>
    <w:basedOn w:val="186"/>
    <w:qFormat/>
    <w:uiPriority w:val="0"/>
    <w:pPr>
      <w:spacing w:line="320" w:lineRule="exact"/>
      <w:ind w:left="-20" w:leftChars="-20" w:right="-20" w:rightChars="-20"/>
      <w:jc w:val="center"/>
    </w:pPr>
  </w:style>
  <w:style w:type="paragraph" w:customStyle="1" w:styleId="469">
    <w:name w:val="表格1(窄）"/>
    <w:basedOn w:val="1"/>
    <w:uiPriority w:val="0"/>
    <w:pPr>
      <w:spacing w:line="320" w:lineRule="exact"/>
      <w:ind w:left="-10" w:leftChars="-10" w:right="-10" w:rightChars="-10"/>
    </w:pPr>
    <w:rPr>
      <w:rFonts w:ascii="Arial" w:hAnsi="Arial"/>
      <w:kern w:val="0"/>
      <w:szCs w:val="21"/>
    </w:rPr>
  </w:style>
  <w:style w:type="character" w:customStyle="1" w:styleId="470">
    <w:name w:val="样式 样式1 + 黑色 Char"/>
    <w:basedOn w:val="165"/>
    <w:uiPriority w:val="0"/>
    <w:rPr>
      <w:rFonts w:ascii="宋体" w:hAnsi="宋体" w:eastAsia="宋体" w:cs="Times New Roman"/>
      <w:color w:val="000000"/>
      <w:kern w:val="2"/>
      <w:sz w:val="24"/>
      <w:szCs w:val="24"/>
      <w:shd w:val="clear" w:color="auto" w:fill="FFFFFF"/>
      <w:lang w:val="en-US" w:eastAsia="zh-CN" w:bidi="ar-SA"/>
    </w:rPr>
  </w:style>
  <w:style w:type="paragraph" w:customStyle="1" w:styleId="471">
    <w:name w:val="样式 表头 + Times New Roman 黑色"/>
    <w:basedOn w:val="167"/>
    <w:uiPriority w:val="0"/>
    <w:pPr>
      <w:spacing w:beforeLines="30" w:line="360" w:lineRule="auto"/>
      <w:ind w:left="-5" w:leftChars="-172" w:hanging="356" w:hangingChars="169"/>
    </w:pPr>
    <w:rPr>
      <w:rFonts w:ascii="宋体" w:hAnsi="宋体"/>
      <w:bCs/>
      <w:color w:val="000000"/>
      <w:sz w:val="21"/>
      <w:szCs w:val="24"/>
      <w:lang w:val="en-US" w:eastAsia="zh-CN"/>
    </w:rPr>
  </w:style>
  <w:style w:type="character" w:customStyle="1" w:styleId="472">
    <w:name w:val="四号 正文 Char"/>
    <w:basedOn w:val="87"/>
    <w:link w:val="473"/>
    <w:uiPriority w:val="0"/>
    <w:rPr>
      <w:rFonts w:eastAsia="宋体"/>
      <w:spacing w:val="6"/>
      <w:sz w:val="28"/>
    </w:rPr>
  </w:style>
  <w:style w:type="paragraph" w:customStyle="1" w:styleId="473">
    <w:name w:val="四号 正文"/>
    <w:basedOn w:val="1"/>
    <w:link w:val="472"/>
    <w:qFormat/>
    <w:uiPriority w:val="0"/>
    <w:pPr>
      <w:ind w:firstLine="584" w:firstLineChars="200"/>
    </w:pPr>
    <w:rPr>
      <w:rFonts w:asciiTheme="minorHAnsi" w:hAnsiTheme="minorHAnsi" w:cstheme="minorBidi"/>
      <w:spacing w:val="6"/>
      <w:sz w:val="28"/>
      <w:szCs w:val="22"/>
    </w:rPr>
  </w:style>
  <w:style w:type="paragraph" w:customStyle="1" w:styleId="474">
    <w:name w:val="Char11"/>
    <w:basedOn w:val="1"/>
    <w:uiPriority w:val="0"/>
    <w:rPr>
      <w:kern w:val="0"/>
      <w:sz w:val="28"/>
      <w:szCs w:val="20"/>
    </w:rPr>
  </w:style>
  <w:style w:type="paragraph" w:customStyle="1" w:styleId="475">
    <w:name w:val="样式 正文缩进"/>
    <w:basedOn w:val="4"/>
    <w:uiPriority w:val="0"/>
    <w:pPr>
      <w:spacing w:line="360" w:lineRule="auto"/>
      <w:ind w:firstLine="480"/>
      <w:jc w:val="left"/>
    </w:pPr>
    <w:rPr>
      <w:rFonts w:cs="宋体"/>
      <w:kern w:val="0"/>
      <w:sz w:val="24"/>
      <w:szCs w:val="20"/>
    </w:rPr>
  </w:style>
  <w:style w:type="character" w:customStyle="1" w:styleId="476">
    <w:name w:val="表格文字 Char"/>
    <w:basedOn w:val="87"/>
    <w:link w:val="268"/>
    <w:uiPriority w:val="0"/>
    <w:rPr>
      <w:rFonts w:ascii="Times New Roman" w:hAnsi="Times New Roman" w:eastAsia="宋体" w:cs="Times New Roman"/>
      <w:sz w:val="24"/>
      <w:szCs w:val="20"/>
    </w:rPr>
  </w:style>
  <w:style w:type="paragraph" w:customStyle="1" w:styleId="477">
    <w:name w:val="Char Char Char1"/>
    <w:basedOn w:val="1"/>
    <w:qFormat/>
    <w:uiPriority w:val="0"/>
    <w:pPr>
      <w:adjustRightInd w:val="0"/>
      <w:jc w:val="left"/>
    </w:pPr>
    <w:rPr>
      <w:rFonts w:ascii="黑体"/>
      <w:sz w:val="28"/>
      <w:szCs w:val="52"/>
    </w:rPr>
  </w:style>
  <w:style w:type="paragraph" w:customStyle="1" w:styleId="478">
    <w:name w:val="样式 正文缩进 + 首行缩进:  2 字符"/>
    <w:basedOn w:val="4"/>
    <w:link w:val="479"/>
    <w:qFormat/>
    <w:uiPriority w:val="0"/>
    <w:pPr>
      <w:tabs>
        <w:tab w:val="left" w:pos="2820"/>
      </w:tabs>
      <w:snapToGrid w:val="0"/>
      <w:spacing w:line="480" w:lineRule="atLeast"/>
      <w:ind w:firstLine="563"/>
    </w:pPr>
    <w:rPr>
      <w:rFonts w:ascii="宋体" w:cs="宋体"/>
      <w:sz w:val="28"/>
      <w:szCs w:val="28"/>
    </w:rPr>
  </w:style>
  <w:style w:type="character" w:customStyle="1" w:styleId="479">
    <w:name w:val="样式 正文缩进 + 首行缩进:  2 字符 Char"/>
    <w:basedOn w:val="87"/>
    <w:link w:val="478"/>
    <w:qFormat/>
    <w:uiPriority w:val="0"/>
    <w:rPr>
      <w:rFonts w:ascii="宋体" w:hAnsi="Times New Roman" w:eastAsia="宋体" w:cs="宋体"/>
      <w:sz w:val="28"/>
      <w:szCs w:val="28"/>
    </w:rPr>
  </w:style>
  <w:style w:type="paragraph" w:customStyle="1" w:styleId="480">
    <w:name w:val="样式 表头4号 + 小四"/>
    <w:basedOn w:val="1"/>
    <w:link w:val="481"/>
    <w:qFormat/>
    <w:uiPriority w:val="0"/>
    <w:pPr>
      <w:tabs>
        <w:tab w:val="left" w:pos="0"/>
      </w:tabs>
      <w:snapToGrid w:val="0"/>
      <w:spacing w:beforeLines="50"/>
      <w:jc w:val="center"/>
    </w:pPr>
    <w:rPr>
      <w:rFonts w:ascii="宋体" w:hAnsi="宋体"/>
      <w:b/>
      <w:sz w:val="28"/>
      <w:szCs w:val="28"/>
    </w:rPr>
  </w:style>
  <w:style w:type="character" w:customStyle="1" w:styleId="481">
    <w:name w:val="样式 表头4号 + 小四 Char"/>
    <w:basedOn w:val="87"/>
    <w:link w:val="480"/>
    <w:qFormat/>
    <w:uiPriority w:val="0"/>
    <w:rPr>
      <w:rFonts w:ascii="宋体" w:hAnsi="宋体" w:eastAsia="宋体" w:cs="Times New Roman"/>
      <w:b/>
      <w:sz w:val="28"/>
      <w:szCs w:val="28"/>
    </w:rPr>
  </w:style>
  <w:style w:type="paragraph" w:customStyle="1" w:styleId="482">
    <w:name w:val="p0"/>
    <w:basedOn w:val="1"/>
    <w:uiPriority w:val="0"/>
    <w:pPr>
      <w:widowControl/>
    </w:pPr>
    <w:rPr>
      <w:kern w:val="0"/>
      <w:szCs w:val="21"/>
    </w:rPr>
  </w:style>
  <w:style w:type="paragraph" w:customStyle="1" w:styleId="483">
    <w:name w:val="3 Char"/>
    <w:basedOn w:val="1"/>
    <w:next w:val="1"/>
    <w:qFormat/>
    <w:uiPriority w:val="0"/>
    <w:pPr>
      <w:spacing w:line="360" w:lineRule="auto"/>
      <w:ind w:firstLine="200" w:firstLineChars="200"/>
    </w:pPr>
    <w:rPr>
      <w:rFonts w:ascii="宋体" w:hAnsi="宋体" w:eastAsia="汉鼎简书宋" w:cs="宋体"/>
      <w:sz w:val="24"/>
    </w:rPr>
  </w:style>
  <w:style w:type="paragraph" w:customStyle="1" w:styleId="484">
    <w:name w:val="我的正文"/>
    <w:basedOn w:val="36"/>
    <w:link w:val="485"/>
    <w:uiPriority w:val="0"/>
    <w:pPr>
      <w:adjustRightInd w:val="0"/>
      <w:spacing w:after="0" w:line="480" w:lineRule="exact"/>
      <w:ind w:left="0" w:leftChars="0" w:firstLine="482"/>
      <w:jc w:val="both"/>
    </w:pPr>
    <w:rPr>
      <w:rFonts w:ascii="宋体" w:hAnsi="宋体"/>
      <w:szCs w:val="20"/>
    </w:rPr>
  </w:style>
  <w:style w:type="character" w:customStyle="1" w:styleId="485">
    <w:name w:val="我的正文 Char"/>
    <w:basedOn w:val="87"/>
    <w:link w:val="484"/>
    <w:qFormat/>
    <w:uiPriority w:val="0"/>
    <w:rPr>
      <w:rFonts w:ascii="宋体" w:hAnsi="宋体" w:eastAsia="宋体" w:cs="Times New Roman"/>
      <w:sz w:val="24"/>
      <w:szCs w:val="20"/>
    </w:rPr>
  </w:style>
  <w:style w:type="character" w:customStyle="1" w:styleId="486">
    <w:name w:val="表格正文 Char"/>
    <w:basedOn w:val="87"/>
    <w:link w:val="391"/>
    <w:uiPriority w:val="0"/>
    <w:rPr>
      <w:rFonts w:ascii="宋体" w:hAnsi="Times New Roman" w:eastAsia="宋体" w:cs="Times New Roman"/>
      <w:bCs/>
      <w:kern w:val="24"/>
      <w:sz w:val="24"/>
      <w:szCs w:val="20"/>
    </w:rPr>
  </w:style>
  <w:style w:type="table" w:customStyle="1" w:styleId="487">
    <w:name w:val="表格样式柯"/>
    <w:basedOn w:val="104"/>
    <w:uiPriority w:val="0"/>
    <w:pPr>
      <w:spacing w:line="280" w:lineRule="exact"/>
      <w:jc w:val="center"/>
    </w:pPr>
    <w:rPr>
      <w:rFonts w:ascii="Times New Roman" w:hAnsi="Times New Roman" w:eastAsia="宋体" w:cs="Times New Roman"/>
      <w:kern w:val="0"/>
      <w:szCs w:val="20"/>
    </w:rPr>
    <w:tblPr>
      <w:tblBorders>
        <w:top w:val="single" w:color="000000" w:sz="12" w:space="0"/>
        <w:bottom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cPr>
      <w:vAlign w:val="center"/>
    </w:tcPr>
  </w:style>
  <w:style w:type="character" w:customStyle="1" w:styleId="488">
    <w:name w:val="标题 2 Char Char"/>
    <w:basedOn w:val="87"/>
    <w:qFormat/>
    <w:uiPriority w:val="0"/>
    <w:rPr>
      <w:rFonts w:ascii="Arial" w:hAnsi="Arial" w:eastAsia="黑体" w:cs="Arial"/>
      <w:b/>
      <w:bCs/>
      <w:kern w:val="2"/>
      <w:sz w:val="28"/>
      <w:szCs w:val="30"/>
      <w:lang w:val="en-US" w:eastAsia="zh-CN" w:bidi="ar-SA"/>
    </w:rPr>
  </w:style>
  <w:style w:type="paragraph" w:customStyle="1" w:styleId="489">
    <w:name w:val="字元 字元"/>
    <w:basedOn w:val="1"/>
    <w:uiPriority w:val="0"/>
    <w:rPr>
      <w:sz w:val="24"/>
    </w:rPr>
  </w:style>
  <w:style w:type="character" w:customStyle="1" w:styleId="490">
    <w:name w:val="Char Char4"/>
    <w:basedOn w:val="87"/>
    <w:qFormat/>
    <w:uiPriority w:val="0"/>
    <w:rPr>
      <w:rFonts w:ascii="Arial" w:hAnsi="Arial" w:eastAsia="黑体" w:cs="Times New Roman"/>
      <w:b/>
      <w:bCs/>
      <w:sz w:val="28"/>
      <w:szCs w:val="30"/>
    </w:rPr>
  </w:style>
  <w:style w:type="character" w:customStyle="1" w:styleId="491">
    <w:name w:val="正文11 Char Char"/>
    <w:basedOn w:val="87"/>
    <w:uiPriority w:val="0"/>
    <w:rPr>
      <w:rFonts w:ascii="Arial" w:hAnsi="Arial" w:eastAsia="宋体"/>
      <w:kern w:val="2"/>
      <w:sz w:val="24"/>
      <w:szCs w:val="24"/>
      <w:lang w:val="en-US" w:eastAsia="zh-CN" w:bidi="ar-SA"/>
    </w:rPr>
  </w:style>
  <w:style w:type="paragraph" w:customStyle="1" w:styleId="492">
    <w:name w:val="默认段落字体 Para Char Char Char Char Char Char Char Char Char Char"/>
    <w:basedOn w:val="5"/>
    <w:qFormat/>
    <w:uiPriority w:val="0"/>
    <w:pPr>
      <w:numPr>
        <w:ilvl w:val="0"/>
        <w:numId w:val="0"/>
      </w:numPr>
      <w:tabs>
        <w:tab w:val="left" w:pos="360"/>
        <w:tab w:val="left" w:pos="900"/>
        <w:tab w:val="clear" w:pos="780"/>
        <w:tab w:val="clear" w:pos="840"/>
        <w:tab w:val="clear" w:pos="1140"/>
        <w:tab w:val="clear" w:pos="1200"/>
        <w:tab w:val="clear" w:pos="1620"/>
        <w:tab w:val="clear" w:pos="2040"/>
        <w:tab w:val="clear" w:pos="6231"/>
      </w:tabs>
      <w:snapToGrid w:val="0"/>
      <w:spacing w:before="0" w:after="120" w:afterLines="0" w:line="360" w:lineRule="auto"/>
      <w:ind w:left="542" w:leftChars="-12" w:firstLine="200" w:firstLineChars="200"/>
      <w:jc w:val="left"/>
    </w:pPr>
    <w:rPr>
      <w:snapToGrid w:val="0"/>
    </w:rPr>
  </w:style>
  <w:style w:type="character" w:customStyle="1" w:styleId="493">
    <w:name w:val="ps01"/>
    <w:basedOn w:val="87"/>
    <w:qFormat/>
    <w:uiPriority w:val="0"/>
  </w:style>
  <w:style w:type="paragraph" w:customStyle="1" w:styleId="494">
    <w:name w:val="样式 样式 样式 样式 样式4 + 首行缩进:  0.75 字符 + 首行缩进:  2 字符 + 首行缩进:  2 字符 + 首..."/>
    <w:basedOn w:val="1"/>
    <w:qFormat/>
    <w:uiPriority w:val="0"/>
    <w:pPr>
      <w:adjustRightInd w:val="0"/>
      <w:snapToGrid w:val="0"/>
      <w:spacing w:line="480" w:lineRule="exact"/>
      <w:ind w:firstLine="1439" w:firstLineChars="514"/>
    </w:pPr>
    <w:rPr>
      <w:rFonts w:ascii="仿宋_GB2312" w:hAnsi="宋体" w:eastAsia="仿宋_GB2312" w:cs="宋体"/>
      <w:sz w:val="24"/>
      <w:szCs w:val="20"/>
    </w:rPr>
  </w:style>
  <w:style w:type="paragraph" w:customStyle="1" w:styleId="495">
    <w:name w:val="样式 列表 + 仿宋_GB2312"/>
    <w:basedOn w:val="67"/>
    <w:link w:val="496"/>
    <w:qFormat/>
    <w:uiPriority w:val="0"/>
    <w:pPr>
      <w:adjustRightInd w:val="0"/>
      <w:snapToGrid w:val="0"/>
      <w:spacing w:beforeLines="25" w:line="500" w:lineRule="atLeast"/>
      <w:jc w:val="both"/>
    </w:pPr>
    <w:rPr>
      <w:rFonts w:ascii="仿宋_GB2312" w:hAnsi="仿宋_GB2312" w:eastAsia="仿宋_GB2312"/>
      <w:b/>
      <w:bCs/>
      <w:sz w:val="28"/>
    </w:rPr>
  </w:style>
  <w:style w:type="character" w:customStyle="1" w:styleId="496">
    <w:name w:val="样式 列表 + 仿宋_GB2312 Char"/>
    <w:basedOn w:val="87"/>
    <w:link w:val="495"/>
    <w:qFormat/>
    <w:uiPriority w:val="0"/>
    <w:rPr>
      <w:rFonts w:ascii="仿宋_GB2312" w:hAnsi="仿宋_GB2312" w:eastAsia="仿宋_GB2312" w:cs="Times New Roman"/>
      <w:b/>
      <w:bCs/>
      <w:sz w:val="28"/>
      <w:szCs w:val="24"/>
    </w:rPr>
  </w:style>
  <w:style w:type="paragraph" w:customStyle="1" w:styleId="497">
    <w:name w:val="表格题"/>
    <w:basedOn w:val="46"/>
    <w:link w:val="498"/>
    <w:qFormat/>
    <w:uiPriority w:val="0"/>
    <w:pPr>
      <w:ind w:firstLine="200" w:firstLineChars="200"/>
    </w:pPr>
    <w:rPr>
      <w:rFonts w:eastAsia="黑体"/>
      <w:sz w:val="24"/>
    </w:rPr>
  </w:style>
  <w:style w:type="character" w:customStyle="1" w:styleId="498">
    <w:name w:val="表格题 Char"/>
    <w:basedOn w:val="87"/>
    <w:link w:val="497"/>
    <w:uiPriority w:val="0"/>
    <w:rPr>
      <w:rFonts w:ascii="宋体" w:hAnsi="Courier New" w:eastAsia="黑体" w:cs="Times New Roman"/>
      <w:sz w:val="24"/>
      <w:szCs w:val="20"/>
    </w:rPr>
  </w:style>
  <w:style w:type="paragraph" w:customStyle="1" w:styleId="499">
    <w:name w:val="汇总表头"/>
    <w:basedOn w:val="1"/>
    <w:link w:val="500"/>
    <w:qFormat/>
    <w:uiPriority w:val="0"/>
    <w:pPr>
      <w:adjustRightInd w:val="0"/>
      <w:snapToGrid w:val="0"/>
      <w:spacing w:beforeLines="20" w:afterLines="10"/>
      <w:ind w:firstLine="482"/>
      <w:jc w:val="center"/>
    </w:pPr>
    <w:rPr>
      <w:rFonts w:ascii="黑体" w:hAnsi="宋体" w:eastAsia="黑体"/>
      <w:color w:val="000000"/>
      <w:kern w:val="0"/>
      <w:sz w:val="24"/>
      <w:lang w:val="en-GB"/>
    </w:rPr>
  </w:style>
  <w:style w:type="character" w:customStyle="1" w:styleId="500">
    <w:name w:val="汇总表头 Char Char"/>
    <w:basedOn w:val="87"/>
    <w:link w:val="499"/>
    <w:uiPriority w:val="0"/>
    <w:rPr>
      <w:rFonts w:ascii="黑体" w:hAnsi="宋体" w:eastAsia="黑体" w:cs="Times New Roman"/>
      <w:color w:val="000000"/>
      <w:kern w:val="0"/>
      <w:sz w:val="24"/>
      <w:szCs w:val="24"/>
      <w:lang w:val="en-GB"/>
    </w:rPr>
  </w:style>
  <w:style w:type="paragraph" w:customStyle="1" w:styleId="501">
    <w:name w:val="样式 正文首行缩进 +"/>
    <w:basedOn w:val="16"/>
    <w:qFormat/>
    <w:uiPriority w:val="0"/>
    <w:pPr>
      <w:snapToGrid w:val="0"/>
      <w:spacing w:after="0" w:line="500" w:lineRule="atLeast"/>
      <w:ind w:firstLine="539" w:firstLineChars="200"/>
      <w:jc w:val="left"/>
    </w:pPr>
    <w:rPr>
      <w:rFonts w:ascii="宋体" w:hAnsi="宋体"/>
      <w:sz w:val="28"/>
      <w:szCs w:val="20"/>
    </w:rPr>
  </w:style>
  <w:style w:type="paragraph" w:customStyle="1" w:styleId="502">
    <w:name w:val="样式 样式 正文缩进文本条款表格标题正文（首行缩进两字） Char Char Char Char Char Char Char...."/>
    <w:basedOn w:val="1"/>
    <w:uiPriority w:val="0"/>
    <w:pPr>
      <w:adjustRightInd w:val="0"/>
      <w:snapToGrid w:val="0"/>
      <w:spacing w:line="520" w:lineRule="atLeast"/>
      <w:ind w:firstLine="549" w:firstLineChars="200"/>
    </w:pPr>
    <w:rPr>
      <w:rFonts w:cs="宋体"/>
      <w:color w:val="000000"/>
      <w:sz w:val="28"/>
      <w:szCs w:val="20"/>
    </w:rPr>
  </w:style>
  <w:style w:type="paragraph" w:customStyle="1" w:styleId="503">
    <w:name w:val="表 头jxy"/>
    <w:basedOn w:val="441"/>
    <w:uiPriority w:val="0"/>
    <w:pPr>
      <w:tabs>
        <w:tab w:val="left" w:pos="7245"/>
        <w:tab w:val="clear" w:pos="1418"/>
      </w:tabs>
      <w:spacing w:after="156" w:line="500" w:lineRule="exact"/>
      <w:ind w:firstLine="0" w:firstLineChars="0"/>
    </w:pPr>
    <w:rPr>
      <w:rFonts w:ascii="Times New Roman" w:hAnsi="Times New Roman" w:cs="宋体"/>
      <w:bCs/>
      <w:kern w:val="0"/>
      <w:szCs w:val="20"/>
    </w:rPr>
  </w:style>
  <w:style w:type="paragraph" w:customStyle="1" w:styleId="504">
    <w:name w:val="表格五号"/>
    <w:basedOn w:val="1"/>
    <w:uiPriority w:val="0"/>
    <w:pPr>
      <w:adjustRightInd w:val="0"/>
      <w:snapToGrid w:val="0"/>
      <w:jc w:val="center"/>
    </w:pPr>
    <w:rPr>
      <w:color w:val="000000"/>
      <w:kern w:val="0"/>
      <w:szCs w:val="21"/>
    </w:rPr>
  </w:style>
  <w:style w:type="character" w:customStyle="1" w:styleId="505">
    <w:name w:val="标题 3 Char Char2"/>
    <w:basedOn w:val="87"/>
    <w:uiPriority w:val="0"/>
    <w:rPr>
      <w:rFonts w:eastAsia="仿宋_GB2312"/>
      <w:b/>
      <w:color w:val="000000"/>
      <w:kern w:val="2"/>
      <w:sz w:val="24"/>
      <w:lang w:val="en-US" w:eastAsia="zh-CN"/>
    </w:rPr>
  </w:style>
  <w:style w:type="paragraph" w:customStyle="1" w:styleId="506">
    <w:name w:val="Char3"/>
    <w:basedOn w:val="1"/>
    <w:uiPriority w:val="0"/>
    <w:rPr>
      <w:sz w:val="24"/>
    </w:rPr>
  </w:style>
  <w:style w:type="character" w:customStyle="1" w:styleId="507">
    <w:name w:val="Char Char16"/>
    <w:basedOn w:val="87"/>
    <w:uiPriority w:val="0"/>
    <w:rPr>
      <w:rFonts w:ascii="黑体" w:eastAsia="黑体"/>
      <w:b/>
      <w:kern w:val="44"/>
      <w:sz w:val="36"/>
      <w:lang w:val="en-US" w:eastAsia="zh-CN"/>
    </w:rPr>
  </w:style>
  <w:style w:type="character" w:customStyle="1" w:styleId="508">
    <w:name w:val="postbody1"/>
    <w:basedOn w:val="87"/>
    <w:uiPriority w:val="0"/>
    <w:rPr>
      <w:sz w:val="21"/>
      <w:szCs w:val="21"/>
    </w:rPr>
  </w:style>
  <w:style w:type="paragraph" w:customStyle="1" w:styleId="509">
    <w:name w:val="表格五（窄）"/>
    <w:basedOn w:val="78"/>
    <w:uiPriority w:val="0"/>
    <w:pPr>
      <w:spacing w:line="240" w:lineRule="exact"/>
      <w:ind w:firstLine="0" w:firstLineChars="0"/>
      <w:jc w:val="center"/>
    </w:pPr>
    <w:rPr>
      <w:rFonts w:ascii="Times New Roman" w:hAnsi="Times New Roman" w:cs="Times New Roman"/>
      <w:snapToGrid w:val="0"/>
      <w:color w:val="000000"/>
      <w:kern w:val="32"/>
      <w:sz w:val="21"/>
      <w:szCs w:val="20"/>
    </w:rPr>
  </w:style>
  <w:style w:type="paragraph" w:customStyle="1" w:styleId="510">
    <w:name w:val="表格内文字"/>
    <w:basedOn w:val="1"/>
    <w:qFormat/>
    <w:uiPriority w:val="0"/>
    <w:pPr>
      <w:kinsoku w:val="0"/>
      <w:wordWrap w:val="0"/>
      <w:overflowPunct w:val="0"/>
      <w:jc w:val="center"/>
    </w:pPr>
    <w:rPr>
      <w:snapToGrid w:val="0"/>
      <w:kern w:val="0"/>
      <w:szCs w:val="20"/>
    </w:rPr>
  </w:style>
  <w:style w:type="paragraph" w:customStyle="1" w:styleId="511">
    <w:name w:val="表格（第一行）"/>
    <w:basedOn w:val="186"/>
    <w:qFormat/>
    <w:uiPriority w:val="0"/>
    <w:pPr>
      <w:tabs>
        <w:tab w:val="left" w:pos="2700"/>
      </w:tabs>
      <w:spacing w:line="400" w:lineRule="exact"/>
      <w:ind w:left="0" w:leftChars="0" w:right="0" w:rightChars="0"/>
      <w:jc w:val="center"/>
    </w:pPr>
    <w:rPr>
      <w:b/>
      <w:szCs w:val="20"/>
    </w:rPr>
  </w:style>
  <w:style w:type="character" w:customStyle="1" w:styleId="512">
    <w:name w:val="正文文字缩进 Char Char"/>
    <w:basedOn w:val="87"/>
    <w:uiPriority w:val="0"/>
    <w:rPr>
      <w:rFonts w:eastAsia="宋体"/>
      <w:kern w:val="2"/>
      <w:sz w:val="21"/>
      <w:szCs w:val="24"/>
      <w:lang w:val="en-US" w:eastAsia="zh-CN" w:bidi="ar-SA"/>
    </w:rPr>
  </w:style>
  <w:style w:type="paragraph" w:customStyle="1" w:styleId="513">
    <w:name w:val="洋浦正文"/>
    <w:basedOn w:val="1"/>
    <w:uiPriority w:val="0"/>
    <w:pPr>
      <w:tabs>
        <w:tab w:val="left" w:pos="0"/>
      </w:tabs>
      <w:adjustRightInd w:val="0"/>
      <w:snapToGrid w:val="0"/>
      <w:spacing w:line="360" w:lineRule="auto"/>
      <w:ind w:firstLine="480" w:firstLineChars="200"/>
    </w:pPr>
    <w:rPr>
      <w:rFonts w:eastAsia="华文中宋"/>
      <w:kern w:val="0"/>
      <w:sz w:val="24"/>
    </w:rPr>
  </w:style>
  <w:style w:type="paragraph" w:customStyle="1" w:styleId="514">
    <w:name w:val="图表名"/>
    <w:basedOn w:val="25"/>
    <w:qFormat/>
    <w:uiPriority w:val="0"/>
    <w:pPr>
      <w:keepNext/>
      <w:jc w:val="center"/>
    </w:pPr>
    <w:rPr>
      <w:rFonts w:eastAsia="宋体"/>
      <w:b/>
      <w:sz w:val="24"/>
    </w:rPr>
  </w:style>
  <w:style w:type="paragraph" w:customStyle="1" w:styleId="515">
    <w:name w:val="表中字"/>
    <w:basedOn w:val="1"/>
    <w:qFormat/>
    <w:uiPriority w:val="0"/>
    <w:pPr>
      <w:jc w:val="center"/>
    </w:pPr>
    <w:rPr>
      <w:szCs w:val="21"/>
    </w:rPr>
  </w:style>
  <w:style w:type="paragraph" w:customStyle="1" w:styleId="516">
    <w:name w:val="样式 标题 3B HeadH3ReHead 3 WSAh3..标题 13标题 13 Char条标题1.1.1..."/>
    <w:basedOn w:val="5"/>
    <w:semiHidden/>
    <w:qFormat/>
    <w:uiPriority w:val="0"/>
    <w:pPr>
      <w:numPr>
        <w:ilvl w:val="0"/>
        <w:numId w:val="0"/>
      </w:numPr>
      <w:tabs>
        <w:tab w:val="clear" w:pos="780"/>
        <w:tab w:val="clear" w:pos="840"/>
        <w:tab w:val="clear" w:pos="1140"/>
        <w:tab w:val="clear" w:pos="1200"/>
        <w:tab w:val="clear" w:pos="1620"/>
        <w:tab w:val="clear" w:pos="2040"/>
        <w:tab w:val="clear" w:pos="6231"/>
      </w:tabs>
      <w:spacing w:before="0" w:after="0" w:afterLines="50"/>
      <w:jc w:val="left"/>
      <w:textAlignment w:val="baseline"/>
    </w:pPr>
    <w:rPr>
      <w:rFonts w:cs="宋体"/>
      <w:color w:val="000000"/>
      <w:kern w:val="0"/>
      <w:sz w:val="30"/>
      <w:szCs w:val="20"/>
    </w:rPr>
  </w:style>
  <w:style w:type="paragraph" w:customStyle="1" w:styleId="517">
    <w:name w:val="报告正文"/>
    <w:basedOn w:val="1"/>
    <w:link w:val="518"/>
    <w:qFormat/>
    <w:uiPriority w:val="0"/>
    <w:pPr>
      <w:adjustRightInd w:val="0"/>
      <w:snapToGrid w:val="0"/>
      <w:spacing w:line="360" w:lineRule="auto"/>
      <w:ind w:firstLine="200" w:firstLineChars="200"/>
      <w:jc w:val="left"/>
    </w:pPr>
    <w:rPr>
      <w:rFonts w:ascii="宋体"/>
      <w:sz w:val="24"/>
      <w:szCs w:val="20"/>
    </w:rPr>
  </w:style>
  <w:style w:type="character" w:customStyle="1" w:styleId="518">
    <w:name w:val="报告正文 Char1"/>
    <w:basedOn w:val="87"/>
    <w:link w:val="517"/>
    <w:uiPriority w:val="0"/>
    <w:rPr>
      <w:rFonts w:ascii="宋体" w:hAnsi="Times New Roman" w:eastAsia="宋体" w:cs="Times New Roman"/>
      <w:sz w:val="24"/>
      <w:szCs w:val="20"/>
    </w:rPr>
  </w:style>
  <w:style w:type="paragraph" w:customStyle="1" w:styleId="519">
    <w:name w:val="No Spacing"/>
    <w:link w:val="520"/>
    <w:qFormat/>
    <w:uiPriority w:val="0"/>
    <w:rPr>
      <w:rFonts w:asciiTheme="minorHAnsi" w:hAnsiTheme="minorHAnsi" w:eastAsiaTheme="minorEastAsia" w:cstheme="minorBidi"/>
      <w:kern w:val="0"/>
      <w:sz w:val="22"/>
      <w:szCs w:val="22"/>
      <w:lang w:val="en-US" w:eastAsia="zh-CN" w:bidi="ar-SA"/>
    </w:rPr>
  </w:style>
  <w:style w:type="character" w:customStyle="1" w:styleId="520">
    <w:name w:val="无间隔 Char"/>
    <w:basedOn w:val="87"/>
    <w:link w:val="519"/>
    <w:uiPriority w:val="0"/>
    <w:rPr>
      <w:kern w:val="0"/>
      <w:sz w:val="22"/>
    </w:rPr>
  </w:style>
  <w:style w:type="paragraph" w:customStyle="1" w:styleId="521">
    <w:name w:val="text"/>
    <w:basedOn w:val="17"/>
    <w:next w:val="17"/>
    <w:qFormat/>
    <w:uiPriority w:val="0"/>
    <w:pPr>
      <w:autoSpaceDE w:val="0"/>
      <w:autoSpaceDN w:val="0"/>
      <w:spacing w:line="240" w:lineRule="auto"/>
    </w:pPr>
    <w:rPr>
      <w:rFonts w:ascii="Times New Roman" w:hAnsi="Times New Roman" w:eastAsia="宋体" w:cs="Times New Roman"/>
      <w:sz w:val="28"/>
      <w:szCs w:val="24"/>
    </w:rPr>
  </w:style>
  <w:style w:type="paragraph" w:customStyle="1" w:styleId="522">
    <w:name w:val="表格（大）"/>
    <w:basedOn w:val="1"/>
    <w:next w:val="1"/>
    <w:link w:val="523"/>
    <w:qFormat/>
    <w:uiPriority w:val="0"/>
    <w:pPr>
      <w:spacing w:before="100" w:beforeAutospacing="1" w:after="100" w:afterAutospacing="1"/>
      <w:jc w:val="center"/>
    </w:pPr>
    <w:rPr>
      <w:rFonts w:ascii="仿宋_GB2312" w:hAnsi="仿宋_GB2312" w:eastAsia="仿宋_GB2312" w:cs="仿宋_GB2312"/>
      <w:position w:val="-10"/>
      <w:sz w:val="24"/>
      <w:szCs w:val="28"/>
    </w:rPr>
  </w:style>
  <w:style w:type="character" w:customStyle="1" w:styleId="523">
    <w:name w:val="表格（大） Char"/>
    <w:basedOn w:val="87"/>
    <w:link w:val="522"/>
    <w:uiPriority w:val="0"/>
    <w:rPr>
      <w:rFonts w:ascii="仿宋_GB2312" w:hAnsi="仿宋_GB2312" w:eastAsia="仿宋_GB2312" w:cs="仿宋_GB2312"/>
      <w:position w:val="-10"/>
      <w:sz w:val="24"/>
      <w:szCs w:val="28"/>
    </w:rPr>
  </w:style>
  <w:style w:type="paragraph" w:customStyle="1" w:styleId="524">
    <w:name w:val="Char1 Char Char Char1"/>
    <w:basedOn w:val="1"/>
    <w:uiPriority w:val="0"/>
    <w:rPr>
      <w:szCs w:val="21"/>
    </w:rPr>
  </w:style>
  <w:style w:type="paragraph" w:customStyle="1" w:styleId="525">
    <w:name w:val="Char12"/>
    <w:basedOn w:val="1"/>
    <w:uiPriority w:val="0"/>
    <w:rPr>
      <w:kern w:val="0"/>
      <w:sz w:val="28"/>
      <w:szCs w:val="20"/>
    </w:rPr>
  </w:style>
  <w:style w:type="paragraph" w:customStyle="1" w:styleId="526">
    <w:name w:val="Char4"/>
    <w:basedOn w:val="1"/>
    <w:qFormat/>
    <w:uiPriority w:val="0"/>
  </w:style>
  <w:style w:type="paragraph" w:customStyle="1" w:styleId="527">
    <w:name w:val="字元 字元1"/>
    <w:basedOn w:val="1"/>
    <w:uiPriority w:val="0"/>
    <w:rPr>
      <w:sz w:val="24"/>
    </w:rPr>
  </w:style>
  <w:style w:type="character" w:customStyle="1" w:styleId="528">
    <w:name w:val="Char Char41"/>
    <w:basedOn w:val="87"/>
    <w:qFormat/>
    <w:uiPriority w:val="0"/>
    <w:rPr>
      <w:rFonts w:ascii="Arial" w:hAnsi="Arial" w:eastAsia="黑体" w:cs="Times New Roman"/>
      <w:b/>
      <w:bCs/>
      <w:sz w:val="28"/>
      <w:szCs w:val="30"/>
    </w:rPr>
  </w:style>
  <w:style w:type="paragraph" w:customStyle="1" w:styleId="529">
    <w:name w:val="Char31"/>
    <w:basedOn w:val="1"/>
    <w:uiPriority w:val="0"/>
    <w:rPr>
      <w:sz w:val="24"/>
    </w:rPr>
  </w:style>
  <w:style w:type="character" w:customStyle="1" w:styleId="530">
    <w:name w:val="Char Char161"/>
    <w:basedOn w:val="87"/>
    <w:qFormat/>
    <w:uiPriority w:val="0"/>
    <w:rPr>
      <w:rFonts w:ascii="黑体" w:eastAsia="黑体"/>
      <w:b/>
      <w:kern w:val="44"/>
      <w:sz w:val="36"/>
      <w:lang w:val="en-US" w:eastAsia="zh-CN"/>
    </w:rPr>
  </w:style>
  <w:style w:type="paragraph" w:customStyle="1" w:styleId="531">
    <w:name w:val="Char Char Char2"/>
    <w:basedOn w:val="1"/>
    <w:uiPriority w:val="0"/>
    <w:pPr>
      <w:spacing w:line="408" w:lineRule="auto"/>
    </w:pPr>
    <w:rPr>
      <w:rFonts w:eastAsia="仿宋_GB2312"/>
    </w:rPr>
  </w:style>
  <w:style w:type="character" w:customStyle="1" w:styleId="532">
    <w:name w:val="样式1 Char Char"/>
    <w:uiPriority w:val="0"/>
    <w:rPr>
      <w:sz w:val="24"/>
      <w:szCs w:val="24"/>
    </w:rPr>
  </w:style>
  <w:style w:type="paragraph" w:customStyle="1" w:styleId="533">
    <w:name w:val="Char1 Char Char Char2"/>
    <w:basedOn w:val="1"/>
    <w:uiPriority w:val="0"/>
    <w:rPr>
      <w:szCs w:val="21"/>
    </w:rPr>
  </w:style>
  <w:style w:type="paragraph" w:customStyle="1" w:styleId="534">
    <w:name w:val="Char13"/>
    <w:basedOn w:val="1"/>
    <w:uiPriority w:val="0"/>
    <w:rPr>
      <w:kern w:val="0"/>
      <w:sz w:val="28"/>
      <w:szCs w:val="20"/>
    </w:rPr>
  </w:style>
  <w:style w:type="paragraph" w:customStyle="1" w:styleId="535">
    <w:name w:val="Char5"/>
    <w:basedOn w:val="1"/>
    <w:uiPriority w:val="0"/>
  </w:style>
  <w:style w:type="paragraph" w:customStyle="1" w:styleId="536">
    <w:name w:val="字元 字元2"/>
    <w:basedOn w:val="1"/>
    <w:uiPriority w:val="0"/>
    <w:rPr>
      <w:sz w:val="24"/>
    </w:rPr>
  </w:style>
  <w:style w:type="character" w:customStyle="1" w:styleId="537">
    <w:name w:val="Char Char42"/>
    <w:basedOn w:val="87"/>
    <w:uiPriority w:val="0"/>
    <w:rPr>
      <w:rFonts w:ascii="Arial" w:hAnsi="Arial" w:eastAsia="黑体" w:cs="Times New Roman"/>
      <w:b/>
      <w:bCs/>
      <w:sz w:val="28"/>
      <w:szCs w:val="30"/>
    </w:rPr>
  </w:style>
  <w:style w:type="paragraph" w:customStyle="1" w:styleId="538">
    <w:name w:val="Char32"/>
    <w:basedOn w:val="1"/>
    <w:uiPriority w:val="0"/>
    <w:rPr>
      <w:sz w:val="24"/>
    </w:rPr>
  </w:style>
  <w:style w:type="character" w:customStyle="1" w:styleId="539">
    <w:name w:val="Char Char162"/>
    <w:basedOn w:val="87"/>
    <w:uiPriority w:val="0"/>
    <w:rPr>
      <w:rFonts w:ascii="黑体" w:eastAsia="黑体"/>
      <w:b/>
      <w:kern w:val="44"/>
      <w:sz w:val="36"/>
      <w:lang w:val="en-US" w:eastAsia="zh-CN"/>
    </w:rPr>
  </w:style>
  <w:style w:type="paragraph" w:customStyle="1" w:styleId="540">
    <w:name w:val="Char Char Char3"/>
    <w:basedOn w:val="1"/>
    <w:uiPriority w:val="0"/>
    <w:pPr>
      <w:spacing w:line="408" w:lineRule="auto"/>
    </w:pPr>
    <w:rPr>
      <w:rFonts w:eastAsia="仿宋_GB2312"/>
    </w:rPr>
  </w:style>
  <w:style w:type="character" w:customStyle="1" w:styleId="541">
    <w:name w:val="Subtle Emphasis"/>
    <w:qFormat/>
    <w:uiPriority w:val="19"/>
    <w:rPr>
      <w:i/>
      <w:iCs/>
      <w:color w:val="808080" w:themeColor="text1" w:themeTint="80"/>
      <w14:textFill>
        <w14:solidFill>
          <w14:schemeClr w14:val="tx1">
            <w14:lumMod w14:val="50000"/>
            <w14:lumOff w14:val="50000"/>
          </w14:schemeClr>
        </w14:solidFill>
      </w14:textFill>
    </w:rPr>
  </w:style>
  <w:style w:type="character" w:customStyle="1" w:styleId="542">
    <w:name w:val="Intense Emphasis"/>
    <w:qFormat/>
    <w:uiPriority w:val="0"/>
    <w:rPr>
      <w:b/>
      <w:bCs/>
      <w:i/>
      <w:iCs/>
      <w:color w:val="4F81BD" w:themeColor="accent1"/>
      <w14:textFill>
        <w14:solidFill>
          <w14:schemeClr w14:val="accent1"/>
        </w14:solidFill>
      </w14:textFill>
    </w:rPr>
  </w:style>
  <w:style w:type="character" w:customStyle="1" w:styleId="543">
    <w:name w:val="Subtle Reference"/>
    <w:basedOn w:val="87"/>
    <w:qFormat/>
    <w:uiPriority w:val="31"/>
    <w:rPr>
      <w:smallCaps/>
      <w:color w:val="C0504D" w:themeColor="accent2"/>
      <w:u w:val="single"/>
      <w14:textFill>
        <w14:solidFill>
          <w14:schemeClr w14:val="accent2"/>
        </w14:solidFill>
      </w14:textFill>
    </w:rPr>
  </w:style>
  <w:style w:type="character" w:customStyle="1" w:styleId="544">
    <w:name w:val="Intense Reference"/>
    <w:qFormat/>
    <w:uiPriority w:val="32"/>
    <w:rPr>
      <w:b/>
      <w:bCs/>
      <w:smallCaps/>
      <w:color w:val="C0504D" w:themeColor="accent2"/>
      <w:spacing w:val="5"/>
      <w:u w:val="single"/>
      <w14:textFill>
        <w14:solidFill>
          <w14:schemeClr w14:val="accent2"/>
        </w14:solidFill>
      </w14:textFill>
    </w:rPr>
  </w:style>
  <w:style w:type="paragraph" w:customStyle="1" w:styleId="545">
    <w:name w:val="表格hy"/>
    <w:basedOn w:val="36"/>
    <w:link w:val="546"/>
    <w:uiPriority w:val="0"/>
    <w:pPr>
      <w:widowControl/>
      <w:adjustRightInd w:val="0"/>
      <w:snapToGrid w:val="0"/>
      <w:spacing w:after="200" w:line="0" w:lineRule="atLeast"/>
      <w:ind w:left="0" w:leftChars="0" w:firstLine="0" w:firstLineChars="0"/>
      <w:jc w:val="center"/>
    </w:pPr>
    <w:rPr>
      <w:rFonts w:ascii="楷体_GB2312" w:eastAsia="楷体_GB2312"/>
      <w:bCs/>
      <w:kern w:val="0"/>
      <w:sz w:val="21"/>
      <w:szCs w:val="20"/>
    </w:rPr>
  </w:style>
  <w:style w:type="character" w:customStyle="1" w:styleId="546">
    <w:name w:val="表格hy Char"/>
    <w:basedOn w:val="87"/>
    <w:link w:val="545"/>
    <w:locked/>
    <w:uiPriority w:val="0"/>
    <w:rPr>
      <w:rFonts w:ascii="楷体_GB2312" w:hAnsi="Times New Roman" w:eastAsia="楷体_GB2312" w:cs="Times New Roman"/>
      <w:bCs/>
      <w:kern w:val="0"/>
      <w:szCs w:val="20"/>
    </w:rPr>
  </w:style>
  <w:style w:type="character" w:customStyle="1" w:styleId="547">
    <w:name w:val="样式 首行缩进:  2 字符 Char"/>
    <w:basedOn w:val="87"/>
    <w:link w:val="228"/>
    <w:uiPriority w:val="0"/>
    <w:rPr>
      <w:rFonts w:ascii="宋体" w:hAnsi="宋体" w:eastAsia="宋体" w:cs="Times New Roman"/>
      <w:sz w:val="24"/>
      <w:szCs w:val="18"/>
    </w:rPr>
  </w:style>
  <w:style w:type="paragraph" w:customStyle="1" w:styleId="548">
    <w:name w:val="样式 括号hy + 首行缩进:  2 字符"/>
    <w:basedOn w:val="1"/>
    <w:uiPriority w:val="0"/>
    <w:pPr>
      <w:widowControl/>
      <w:spacing w:line="360" w:lineRule="auto"/>
      <w:ind w:firstLine="560"/>
      <w:jc w:val="left"/>
    </w:pPr>
    <w:rPr>
      <w:rFonts w:ascii="楷体_GB2312" w:eastAsia="楷体_GB2312" w:cs="宋体"/>
      <w:kern w:val="0"/>
      <w:sz w:val="20"/>
      <w:szCs w:val="20"/>
    </w:rPr>
  </w:style>
  <w:style w:type="paragraph" w:customStyle="1" w:styleId="549">
    <w:name w:val="样式 样式 样式 表名 + 首行缩进:  1 字符 + 首行缩进:  1 字符 + 首行缩进:  1 字符"/>
    <w:basedOn w:val="1"/>
    <w:uiPriority w:val="0"/>
    <w:pPr>
      <w:widowControl/>
      <w:spacing w:after="60" w:line="560" w:lineRule="exact"/>
      <w:ind w:firstLine="100" w:firstLineChars="100"/>
    </w:pPr>
    <w:rPr>
      <w:rFonts w:ascii="黑体" w:hAnsi="宋体" w:eastAsia="黑体" w:cs="宋体"/>
      <w:kern w:val="0"/>
      <w:sz w:val="24"/>
      <w:szCs w:val="20"/>
    </w:rPr>
  </w:style>
  <w:style w:type="paragraph" w:customStyle="1" w:styleId="550">
    <w:name w:val="font5"/>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551">
    <w:name w:val="xl65"/>
    <w:basedOn w:val="1"/>
    <w:qFormat/>
    <w:uiPriority w:val="0"/>
    <w:pPr>
      <w:widowControl/>
      <w:spacing w:before="100" w:beforeAutospacing="1" w:after="100" w:afterAutospacing="1"/>
      <w:jc w:val="center"/>
    </w:pPr>
    <w:rPr>
      <w:rFonts w:ascii="宋体" w:hAnsi="宋体" w:cs="宋体"/>
      <w:kern w:val="0"/>
      <w:sz w:val="24"/>
    </w:rPr>
  </w:style>
  <w:style w:type="paragraph" w:customStyle="1" w:styleId="552">
    <w:name w:val="xl6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5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54">
    <w:name w:val="xl6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55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character" w:customStyle="1" w:styleId="556">
    <w:name w:val="表格 Char Char"/>
    <w:uiPriority w:val="0"/>
    <w:rPr>
      <w:rFonts w:eastAsia="宋体"/>
      <w:szCs w:val="21"/>
    </w:rPr>
  </w:style>
  <w:style w:type="paragraph" w:customStyle="1" w:styleId="557">
    <w:name w:val="君邦正文"/>
    <w:link w:val="558"/>
    <w:qFormat/>
    <w:uiPriority w:val="0"/>
    <w:pPr>
      <w:spacing w:line="360" w:lineRule="auto"/>
      <w:ind w:left="-2" w:leftChars="-2" w:firstLine="480" w:firstLineChars="200"/>
      <w:jc w:val="both"/>
    </w:pPr>
    <w:rPr>
      <w:rFonts w:ascii="宋体" w:hAnsi="宋体" w:eastAsia="宋体" w:cs="Times New Roman"/>
      <w:kern w:val="2"/>
      <w:sz w:val="24"/>
      <w:szCs w:val="20"/>
      <w:lang w:val="en-US" w:eastAsia="zh-CN" w:bidi="ar-SA"/>
    </w:rPr>
  </w:style>
  <w:style w:type="character" w:customStyle="1" w:styleId="558">
    <w:name w:val="君邦正文 Char2"/>
    <w:link w:val="557"/>
    <w:uiPriority w:val="0"/>
    <w:rPr>
      <w:rFonts w:ascii="宋体" w:hAnsi="宋体" w:eastAsia="宋体" w:cs="Times New Roman"/>
      <w:sz w:val="24"/>
      <w:szCs w:val="20"/>
    </w:rPr>
  </w:style>
  <w:style w:type="paragraph" w:customStyle="1" w:styleId="559">
    <w:name w:val="Char Char Char Char Char Char Char Char1 Char Char Char Char"/>
    <w:basedOn w:val="1"/>
    <w:uiPriority w:val="0"/>
  </w:style>
  <w:style w:type="paragraph" w:customStyle="1" w:styleId="560">
    <w:name w:val="已访问的超级链接"/>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561">
    <w:name w:val="样式 首行缩进:  2 字符 Char1"/>
    <w:uiPriority w:val="0"/>
    <w:rPr>
      <w:rFonts w:ascii="宋体" w:hAnsi="宋体" w:cs="宋体"/>
      <w:kern w:val="2"/>
      <w:sz w:val="24"/>
    </w:rPr>
  </w:style>
  <w:style w:type="character" w:customStyle="1" w:styleId="562">
    <w:name w:val="XCHG论文正文 Char Char Char Char"/>
    <w:link w:val="563"/>
    <w:uiPriority w:val="0"/>
    <w:rPr>
      <w:rFonts w:eastAsia="宋体"/>
      <w:color w:val="000000"/>
      <w:sz w:val="24"/>
      <w:szCs w:val="24"/>
    </w:rPr>
  </w:style>
  <w:style w:type="paragraph" w:customStyle="1" w:styleId="563">
    <w:name w:val="XCHG论文正文 Char Char"/>
    <w:basedOn w:val="1"/>
    <w:link w:val="562"/>
    <w:uiPriority w:val="0"/>
    <w:pPr>
      <w:spacing w:line="288" w:lineRule="auto"/>
      <w:ind w:firstLine="480" w:firstLineChars="200"/>
    </w:pPr>
    <w:rPr>
      <w:rFonts w:asciiTheme="minorHAnsi" w:hAnsiTheme="minorHAnsi" w:cstheme="minorBidi"/>
      <w:color w:val="000000"/>
      <w:sz w:val="24"/>
    </w:rPr>
  </w:style>
  <w:style w:type="character" w:customStyle="1" w:styleId="564">
    <w:name w:val="正文文本1 Char1 Char Char Char Char Char Char Char Char Char"/>
    <w:uiPriority w:val="0"/>
    <w:rPr>
      <w:rFonts w:eastAsia="宋体"/>
      <w:kern w:val="2"/>
      <w:sz w:val="21"/>
      <w:szCs w:val="24"/>
      <w:lang w:val="en-US" w:eastAsia="zh-CN" w:bidi="ar-SA"/>
    </w:rPr>
  </w:style>
  <w:style w:type="character" w:customStyle="1" w:styleId="565">
    <w:name w:val="脚注文本 Char"/>
    <w:link w:val="68"/>
    <w:uiPriority w:val="0"/>
    <w:rPr>
      <w:sz w:val="18"/>
      <w:szCs w:val="18"/>
    </w:rPr>
  </w:style>
  <w:style w:type="character" w:customStyle="1" w:styleId="566">
    <w:name w:val="脚注文本 Char1"/>
    <w:basedOn w:val="87"/>
    <w:semiHidden/>
    <w:uiPriority w:val="99"/>
    <w:rPr>
      <w:rFonts w:ascii="Times New Roman" w:hAnsi="Times New Roman" w:eastAsia="宋体" w:cs="Times New Roman"/>
      <w:sz w:val="18"/>
      <w:szCs w:val="18"/>
    </w:rPr>
  </w:style>
  <w:style w:type="character" w:customStyle="1" w:styleId="567">
    <w:name w:val="样式 小四"/>
    <w:uiPriority w:val="0"/>
    <w:rPr>
      <w:rFonts w:ascii="宋体" w:eastAsia="宋体"/>
      <w:sz w:val="24"/>
    </w:rPr>
  </w:style>
  <w:style w:type="character" w:customStyle="1" w:styleId="568">
    <w:name w:val="haydonli Char Char"/>
    <w:qFormat/>
    <w:uiPriority w:val="0"/>
    <w:rPr>
      <w:rFonts w:ascii="宋体" w:eastAsia="宋体"/>
      <w:snapToGrid w:val="0"/>
      <w:sz w:val="24"/>
      <w:szCs w:val="24"/>
      <w:lang w:val="en-US" w:eastAsia="zh-CN" w:bidi="ar-SA"/>
    </w:rPr>
  </w:style>
  <w:style w:type="character" w:customStyle="1" w:styleId="569">
    <w:name w:val="样式 hb1 + (西文) Times New Roman 自动设置6 Char Char"/>
    <w:link w:val="570"/>
    <w:uiPriority w:val="0"/>
    <w:rPr>
      <w:rFonts w:ascii="宋体" w:hAnsi="宋体" w:eastAsia="黑体"/>
      <w:color w:val="000000"/>
      <w:sz w:val="24"/>
      <w:szCs w:val="24"/>
    </w:rPr>
  </w:style>
  <w:style w:type="paragraph" w:customStyle="1" w:styleId="570">
    <w:name w:val="样式 hb1 + (西文) Times New Roman 自动设置6"/>
    <w:basedOn w:val="173"/>
    <w:link w:val="569"/>
    <w:uiPriority w:val="0"/>
    <w:pPr>
      <w:ind w:firstLine="0" w:firstLineChars="0"/>
      <w:jc w:val="center"/>
    </w:pPr>
    <w:rPr>
      <w:rFonts w:eastAsia="黑体" w:cstheme="minorBidi"/>
    </w:rPr>
  </w:style>
  <w:style w:type="character" w:customStyle="1" w:styleId="571">
    <w:name w:val="hb1 Char Char"/>
    <w:uiPriority w:val="0"/>
    <w:rPr>
      <w:rFonts w:ascii="宋体" w:hAnsi="宋体" w:eastAsia="宋体"/>
      <w:color w:val="000000"/>
      <w:kern w:val="2"/>
      <w:sz w:val="24"/>
      <w:lang w:val="en-US" w:eastAsia="zh-CN" w:bidi="ar-SA"/>
    </w:rPr>
  </w:style>
  <w:style w:type="character" w:customStyle="1" w:styleId="572">
    <w:name w:val="样式10 Char Char"/>
    <w:link w:val="573"/>
    <w:uiPriority w:val="0"/>
    <w:rPr>
      <w:rFonts w:ascii="仿宋_GB2312" w:hAnsi="Arial" w:eastAsia="仿宋_GB2312" w:cs="Arial"/>
      <w:b/>
      <w:bCs/>
      <w:snapToGrid w:val="0"/>
      <w:sz w:val="24"/>
      <w:szCs w:val="24"/>
    </w:rPr>
  </w:style>
  <w:style w:type="paragraph" w:customStyle="1" w:styleId="573">
    <w:name w:val="样式10"/>
    <w:basedOn w:val="1"/>
    <w:link w:val="572"/>
    <w:uiPriority w:val="0"/>
    <w:pPr>
      <w:snapToGrid w:val="0"/>
      <w:spacing w:line="360" w:lineRule="auto"/>
      <w:jc w:val="center"/>
    </w:pPr>
    <w:rPr>
      <w:rFonts w:ascii="仿宋_GB2312" w:hAnsi="Arial" w:eastAsia="仿宋_GB2312" w:cs="Arial"/>
      <w:b/>
      <w:bCs/>
      <w:snapToGrid w:val="0"/>
      <w:sz w:val="24"/>
    </w:rPr>
  </w:style>
  <w:style w:type="character" w:customStyle="1" w:styleId="574">
    <w:name w:val="我的正文 Char Char"/>
    <w:uiPriority w:val="0"/>
    <w:rPr>
      <w:rFonts w:ascii="宋体" w:hAnsi="宋体" w:eastAsia="宋体" w:cs="Arial"/>
      <w:bCs/>
      <w:color w:val="000000"/>
      <w:kern w:val="28"/>
      <w:sz w:val="28"/>
      <w:szCs w:val="32"/>
      <w:lang w:val="en-US" w:eastAsia="zh-CN" w:bidi="ar-SA"/>
    </w:rPr>
  </w:style>
  <w:style w:type="character" w:customStyle="1" w:styleId="575">
    <w:name w:val="Char Char1"/>
    <w:uiPriority w:val="0"/>
    <w:rPr>
      <w:rFonts w:ascii="宋体" w:hAnsi="Courier New" w:eastAsia="宋体"/>
      <w:snapToGrid w:val="0"/>
      <w:sz w:val="28"/>
      <w:lang w:val="en-US" w:eastAsia="zh-CN" w:bidi="ar-SA"/>
    </w:rPr>
  </w:style>
  <w:style w:type="character" w:customStyle="1" w:styleId="576">
    <w:name w:val="样式 hb1 + (西文) Times New Roman 自动设置8 Char Char"/>
    <w:link w:val="577"/>
    <w:uiPriority w:val="0"/>
    <w:rPr>
      <w:rFonts w:ascii="宋体" w:hAnsi="宋体" w:eastAsia="宋体"/>
      <w:sz w:val="24"/>
      <w:szCs w:val="24"/>
    </w:rPr>
  </w:style>
  <w:style w:type="paragraph" w:customStyle="1" w:styleId="577">
    <w:name w:val="样式 hb1 + (西文) Times New Roman 自动设置8"/>
    <w:basedOn w:val="1"/>
    <w:link w:val="576"/>
    <w:uiPriority w:val="0"/>
    <w:pPr>
      <w:spacing w:line="460" w:lineRule="exact"/>
      <w:ind w:firstLine="480" w:firstLineChars="200"/>
    </w:pPr>
    <w:rPr>
      <w:rFonts w:ascii="宋体" w:hAnsi="宋体" w:cstheme="minorBidi"/>
      <w:sz w:val="24"/>
    </w:rPr>
  </w:style>
  <w:style w:type="character" w:customStyle="1" w:styleId="578">
    <w:name w:val="正文A Char2"/>
    <w:link w:val="579"/>
    <w:uiPriority w:val="0"/>
    <w:rPr>
      <w:rFonts w:ascii="宋体" w:hAnsi="宋体"/>
      <w:b/>
    </w:rPr>
  </w:style>
  <w:style w:type="paragraph" w:customStyle="1" w:styleId="579">
    <w:name w:val="正文A"/>
    <w:link w:val="578"/>
    <w:uiPriority w:val="0"/>
    <w:pPr>
      <w:tabs>
        <w:tab w:val="left" w:pos="0"/>
      </w:tabs>
      <w:adjustRightInd w:val="0"/>
      <w:snapToGrid w:val="0"/>
      <w:spacing w:before="120" w:line="400" w:lineRule="exact"/>
      <w:jc w:val="center"/>
    </w:pPr>
    <w:rPr>
      <w:rFonts w:ascii="宋体" w:hAnsi="宋体" w:eastAsiaTheme="minorEastAsia" w:cstheme="minorBidi"/>
      <w:b/>
      <w:kern w:val="2"/>
      <w:sz w:val="21"/>
      <w:szCs w:val="22"/>
      <w:lang w:val="en-US" w:eastAsia="zh-CN" w:bidi="ar-SA"/>
    </w:rPr>
  </w:style>
  <w:style w:type="character" w:customStyle="1" w:styleId="580">
    <w:name w:val="Char Char111"/>
    <w:uiPriority w:val="0"/>
    <w:rPr>
      <w:rFonts w:ascii="宋体" w:hAnsi="Courier New" w:eastAsia="宋体"/>
      <w:snapToGrid w:val="0"/>
      <w:sz w:val="28"/>
      <w:lang w:val="en-US" w:eastAsia="zh-CN" w:bidi="ar-SA"/>
    </w:rPr>
  </w:style>
  <w:style w:type="character" w:customStyle="1" w:styleId="581">
    <w:name w:val="Char Char2"/>
    <w:uiPriority w:val="0"/>
    <w:rPr>
      <w:rFonts w:ascii="宋体" w:hAnsi="宋体" w:eastAsia="宋体"/>
      <w:kern w:val="2"/>
      <w:sz w:val="21"/>
      <w:szCs w:val="24"/>
      <w:lang w:val="en-US" w:eastAsia="zh-CN" w:bidi="ar-SA"/>
    </w:rPr>
  </w:style>
  <w:style w:type="character" w:customStyle="1" w:styleId="582">
    <w:name w:val="表格正文 Char Char"/>
    <w:uiPriority w:val="0"/>
    <w:rPr>
      <w:sz w:val="21"/>
      <w:lang w:bidi="ar-SA"/>
    </w:rPr>
  </w:style>
  <w:style w:type="paragraph" w:customStyle="1" w:styleId="583">
    <w:name w:val="插图"/>
    <w:basedOn w:val="1"/>
    <w:next w:val="1"/>
    <w:uiPriority w:val="0"/>
    <w:pPr>
      <w:keepLines/>
      <w:adjustRightInd w:val="0"/>
      <w:spacing w:before="360" w:after="300" w:line="567" w:lineRule="atLeast"/>
      <w:jc w:val="center"/>
      <w:textAlignment w:val="baseline"/>
    </w:pPr>
    <w:rPr>
      <w:spacing w:val="6"/>
      <w:kern w:val="0"/>
      <w:sz w:val="24"/>
      <w:szCs w:val="20"/>
    </w:rPr>
  </w:style>
  <w:style w:type="paragraph" w:customStyle="1" w:styleId="584">
    <w:name w:val="正文2002"/>
    <w:basedOn w:val="1"/>
    <w:uiPriority w:val="0"/>
    <w:rPr>
      <w:szCs w:val="20"/>
    </w:rPr>
  </w:style>
  <w:style w:type="paragraph" w:customStyle="1" w:styleId="585">
    <w:name w:val="正文居中"/>
    <w:basedOn w:val="1"/>
    <w:uiPriority w:val="0"/>
    <w:pPr>
      <w:adjustRightInd w:val="0"/>
      <w:snapToGrid w:val="0"/>
      <w:jc w:val="center"/>
    </w:pPr>
    <w:rPr>
      <w:sz w:val="24"/>
    </w:rPr>
  </w:style>
  <w:style w:type="paragraph" w:customStyle="1" w:styleId="586">
    <w:name w:val="8"/>
    <w:basedOn w:val="1"/>
    <w:next w:val="36"/>
    <w:link w:val="964"/>
    <w:uiPriority w:val="0"/>
    <w:pPr>
      <w:spacing w:after="62" w:afterLines="20" w:line="400" w:lineRule="exact"/>
      <w:ind w:firstLine="480" w:firstLineChars="200"/>
    </w:pPr>
    <w:rPr>
      <w:sz w:val="24"/>
      <w:lang w:val="zh-CN" w:eastAsia="zh-CN"/>
    </w:rPr>
  </w:style>
  <w:style w:type="paragraph" w:customStyle="1" w:styleId="587">
    <w:name w:val="13"/>
    <w:basedOn w:val="1"/>
    <w:next w:val="33"/>
    <w:uiPriority w:val="0"/>
    <w:pPr>
      <w:adjustRightInd w:val="0"/>
      <w:spacing w:before="120" w:after="120" w:line="360" w:lineRule="auto"/>
      <w:textAlignment w:val="baseline"/>
    </w:pPr>
    <w:rPr>
      <w:kern w:val="0"/>
      <w:sz w:val="52"/>
      <w:szCs w:val="20"/>
    </w:rPr>
  </w:style>
  <w:style w:type="paragraph" w:customStyle="1" w:styleId="588">
    <w:name w:val="样式 haydonli + 首行缩进:  2 字符3"/>
    <w:basedOn w:val="163"/>
    <w:uiPriority w:val="0"/>
    <w:pPr>
      <w:snapToGrid w:val="0"/>
      <w:spacing w:line="400" w:lineRule="exact"/>
    </w:pPr>
    <w:rPr>
      <w:rFonts w:ascii="宋体" w:hAnsi="Times New Roman" w:eastAsia="宋体" w:cs="宋体"/>
      <w:kern w:val="2"/>
      <w:szCs w:val="20"/>
    </w:rPr>
  </w:style>
  <w:style w:type="paragraph" w:customStyle="1" w:styleId="589">
    <w:name w:val="小五表格"/>
    <w:basedOn w:val="1"/>
    <w:uiPriority w:val="0"/>
    <w:pPr>
      <w:adjustRightInd w:val="0"/>
      <w:spacing w:after="62" w:afterLines="20"/>
      <w:jc w:val="left"/>
      <w:textAlignment w:val="baseline"/>
    </w:pPr>
    <w:rPr>
      <w:sz w:val="18"/>
    </w:rPr>
  </w:style>
  <w:style w:type="paragraph" w:customStyle="1" w:styleId="590">
    <w:name w:val="样式 正文（首行缩进两字） + 行距: 固定值 20 磅"/>
    <w:basedOn w:val="4"/>
    <w:uiPriority w:val="0"/>
    <w:pPr>
      <w:spacing w:after="62" w:afterLines="20" w:line="400" w:lineRule="exact"/>
      <w:ind w:firstLine="480"/>
    </w:pPr>
    <w:rPr>
      <w:sz w:val="24"/>
      <w:szCs w:val="20"/>
    </w:rPr>
  </w:style>
  <w:style w:type="paragraph" w:customStyle="1" w:styleId="591">
    <w:name w:val="样式 正文文本正文文字 Char"/>
    <w:basedOn w:val="17"/>
    <w:qFormat/>
    <w:uiPriority w:val="0"/>
    <w:pPr>
      <w:spacing w:line="240" w:lineRule="atLeast"/>
      <w:ind w:firstLine="0" w:firstLineChars="0"/>
      <w:jc w:val="center"/>
    </w:pPr>
    <w:rPr>
      <w:rFonts w:ascii="Times New Roman" w:hAnsi="Times New Roman" w:eastAsia="宋体" w:cs="Times New Roman"/>
      <w:bCs/>
      <w:sz w:val="21"/>
      <w:szCs w:val="24"/>
    </w:rPr>
  </w:style>
  <w:style w:type="paragraph" w:customStyle="1" w:styleId="592">
    <w:name w:val="五号表格"/>
    <w:basedOn w:val="1"/>
    <w:uiPriority w:val="0"/>
    <w:pPr>
      <w:adjustRightInd w:val="0"/>
      <w:jc w:val="center"/>
      <w:textAlignment w:val="baseline"/>
    </w:pPr>
  </w:style>
  <w:style w:type="paragraph" w:customStyle="1" w:styleId="593">
    <w:name w:val="样式 首行缩进:  0.85 厘米 段后: 3.1 磅 行距: 固定值 20 磅"/>
    <w:basedOn w:val="1"/>
    <w:uiPriority w:val="0"/>
    <w:pPr>
      <w:spacing w:after="62" w:afterLines="20" w:line="400" w:lineRule="exact"/>
      <w:ind w:firstLine="482"/>
    </w:pPr>
    <w:rPr>
      <w:rFonts w:cs="宋体"/>
      <w:sz w:val="24"/>
      <w:szCs w:val="20"/>
    </w:rPr>
  </w:style>
  <w:style w:type="paragraph" w:customStyle="1" w:styleId="594">
    <w:name w:val="标注"/>
    <w:basedOn w:val="1"/>
    <w:uiPriority w:val="0"/>
    <w:pPr>
      <w:spacing w:line="360" w:lineRule="exact"/>
    </w:pPr>
    <w:rPr>
      <w:szCs w:val="20"/>
    </w:rPr>
  </w:style>
  <w:style w:type="paragraph" w:customStyle="1" w:styleId="595">
    <w:name w:val="下划线"/>
    <w:basedOn w:val="1"/>
    <w:next w:val="1"/>
    <w:uiPriority w:val="0"/>
    <w:pPr>
      <w:spacing w:after="62" w:afterLines="20" w:line="400" w:lineRule="exact"/>
      <w:ind w:firstLine="480" w:firstLineChars="200"/>
    </w:pPr>
    <w:rPr>
      <w:color w:val="FF0000"/>
      <w:kern w:val="0"/>
      <w:sz w:val="24"/>
      <w:lang w:val="zh-CN"/>
    </w:rPr>
  </w:style>
  <w:style w:type="paragraph" w:customStyle="1" w:styleId="596">
    <w:name w:val="样式 hb1 + (西文) Times New Roman 自动设置 行距: 固定值 20 磅"/>
    <w:basedOn w:val="173"/>
    <w:uiPriority w:val="0"/>
    <w:pPr>
      <w:spacing w:line="400" w:lineRule="exact"/>
      <w:ind w:firstLine="0" w:firstLineChars="0"/>
    </w:pPr>
    <w:rPr>
      <w:rFonts w:hAnsi="Times New Roman" w:cs="宋体"/>
      <w:color w:val="auto"/>
      <w:szCs w:val="20"/>
    </w:rPr>
  </w:style>
  <w:style w:type="paragraph" w:customStyle="1" w:styleId="597">
    <w:name w:val="正文四级标题"/>
    <w:uiPriority w:val="0"/>
    <w:pPr>
      <w:tabs>
        <w:tab w:val="left" w:pos="864"/>
      </w:tabs>
      <w:adjustRightInd w:val="0"/>
      <w:snapToGrid w:val="0"/>
      <w:spacing w:before="156" w:beforeLines="50" w:line="360" w:lineRule="auto"/>
      <w:ind w:left="1728" w:hanging="864"/>
      <w:outlineLvl w:val="3"/>
    </w:pPr>
    <w:rPr>
      <w:rFonts w:ascii="Times New Roman" w:hAnsi="Times New Roman" w:eastAsia="仿宋" w:cs="Times New Roman"/>
      <w:b/>
      <w:kern w:val="24"/>
      <w:sz w:val="24"/>
      <w:szCs w:val="24"/>
      <w:lang w:val="en-US" w:eastAsia="zh-CN" w:bidi="ar-SA"/>
    </w:rPr>
  </w:style>
  <w:style w:type="paragraph" w:customStyle="1" w:styleId="598">
    <w:name w:val="样式 标题 4 + 红色"/>
    <w:basedOn w:val="6"/>
    <w:uiPriority w:val="0"/>
    <w:rPr>
      <w:color w:val="FF0000"/>
    </w:rPr>
  </w:style>
  <w:style w:type="paragraph" w:customStyle="1" w:styleId="599">
    <w:name w:val="12"/>
    <w:basedOn w:val="1"/>
    <w:next w:val="4"/>
    <w:uiPriority w:val="0"/>
    <w:pPr>
      <w:spacing w:before="80" w:after="80" w:line="300" w:lineRule="auto"/>
      <w:ind w:firstLine="420"/>
    </w:pPr>
    <w:rPr>
      <w:sz w:val="24"/>
      <w:szCs w:val="20"/>
    </w:rPr>
  </w:style>
  <w:style w:type="paragraph" w:customStyle="1" w:styleId="600">
    <w:name w:val="样式 段后: 3.1 磅 行距: 固定值 20 磅"/>
    <w:basedOn w:val="1"/>
    <w:uiPriority w:val="0"/>
    <w:pPr>
      <w:spacing w:after="62" w:line="400" w:lineRule="exact"/>
      <w:ind w:firstLine="482"/>
    </w:pPr>
    <w:rPr>
      <w:rFonts w:cs="宋体"/>
      <w:sz w:val="24"/>
      <w:szCs w:val="20"/>
    </w:rPr>
  </w:style>
  <w:style w:type="paragraph" w:customStyle="1" w:styleId="601">
    <w:name w:val="样式 haydonli + 首行缩进:  2 字符 行距: 固定值 22 磅"/>
    <w:basedOn w:val="1"/>
    <w:uiPriority w:val="0"/>
    <w:pPr>
      <w:snapToGrid w:val="0"/>
      <w:spacing w:line="440" w:lineRule="exact"/>
      <w:ind w:firstLine="480" w:firstLineChars="200"/>
    </w:pPr>
    <w:rPr>
      <w:rFonts w:ascii="宋体" w:cs="宋体"/>
      <w:snapToGrid w:val="0"/>
      <w:kern w:val="0"/>
      <w:sz w:val="24"/>
      <w:szCs w:val="20"/>
    </w:rPr>
  </w:style>
  <w:style w:type="paragraph" w:customStyle="1" w:styleId="602">
    <w:name w:val="XCHG论文正文"/>
    <w:basedOn w:val="1"/>
    <w:uiPriority w:val="0"/>
    <w:pPr>
      <w:spacing w:line="288" w:lineRule="auto"/>
      <w:ind w:firstLine="480" w:firstLineChars="200"/>
    </w:pPr>
    <w:rPr>
      <w:color w:val="000000"/>
      <w:sz w:val="24"/>
    </w:rPr>
  </w:style>
  <w:style w:type="paragraph" w:customStyle="1" w:styleId="603">
    <w:name w:val="Char Char Char Char Char Char Char Char Char Char1"/>
    <w:basedOn w:val="1"/>
    <w:uiPriority w:val="0"/>
    <w:pPr>
      <w:spacing w:line="360" w:lineRule="auto"/>
      <w:ind w:firstLine="200" w:firstLineChars="200"/>
    </w:pPr>
    <w:rPr>
      <w:rFonts w:ascii="宋体" w:hAnsi="宋体" w:cs="宋体"/>
      <w:sz w:val="24"/>
    </w:rPr>
  </w:style>
  <w:style w:type="paragraph" w:customStyle="1" w:styleId="604">
    <w:name w:val="样式 hb1 + (西文) Times New Roman 自动设置 行距: 固定值 22 磅"/>
    <w:basedOn w:val="1"/>
    <w:uiPriority w:val="0"/>
    <w:pPr>
      <w:spacing w:line="440" w:lineRule="exact"/>
      <w:ind w:firstLine="482"/>
    </w:pPr>
    <w:rPr>
      <w:rFonts w:ascii="宋体" w:cs="宋体"/>
      <w:sz w:val="24"/>
    </w:rPr>
  </w:style>
  <w:style w:type="paragraph" w:customStyle="1" w:styleId="605">
    <w:name w:val="表格（小）"/>
    <w:basedOn w:val="1"/>
    <w:uiPriority w:val="0"/>
    <w:pPr>
      <w:adjustRightInd w:val="0"/>
      <w:snapToGrid w:val="0"/>
    </w:pPr>
    <w:rPr>
      <w:snapToGrid w:val="0"/>
      <w:kern w:val="0"/>
      <w:szCs w:val="20"/>
    </w:rPr>
  </w:style>
  <w:style w:type="paragraph" w:customStyle="1" w:styleId="606">
    <w:name w:val="Char Char Char Char Char"/>
    <w:basedOn w:val="1"/>
    <w:uiPriority w:val="0"/>
    <w:pPr>
      <w:tabs>
        <w:tab w:val="left" w:pos="168"/>
      </w:tabs>
      <w:ind w:left="168" w:hanging="168"/>
    </w:pPr>
  </w:style>
  <w:style w:type="paragraph" w:customStyle="1" w:styleId="607">
    <w:name w:val="一级标题"/>
    <w:basedOn w:val="2"/>
    <w:uiPriority w:val="0"/>
    <w:pPr>
      <w:numPr>
        <w:numId w:val="0"/>
      </w:numPr>
      <w:tabs>
        <w:tab w:val="clear" w:pos="294"/>
        <w:tab w:val="clear" w:pos="720"/>
        <w:tab w:val="clear" w:pos="1080"/>
        <w:tab w:val="clear" w:pos="1440"/>
      </w:tabs>
      <w:adjustRightInd/>
      <w:snapToGrid/>
      <w:spacing w:before="0" w:beforeLines="0" w:after="0" w:afterLines="0" w:line="360" w:lineRule="auto"/>
      <w:ind w:firstLine="284"/>
      <w:jc w:val="both"/>
    </w:pPr>
    <w:rPr>
      <w:rFonts w:ascii="Times New Roman" w:hAnsi="Times New Roman"/>
      <w:b w:val="0"/>
      <w:bCs/>
    </w:rPr>
  </w:style>
  <w:style w:type="paragraph" w:customStyle="1" w:styleId="608">
    <w:name w:val="样式 小四 行距: 1.5 倍行距"/>
    <w:basedOn w:val="1"/>
    <w:uiPriority w:val="0"/>
    <w:pPr>
      <w:spacing w:line="360" w:lineRule="auto"/>
      <w:ind w:firstLine="200" w:firstLineChars="200"/>
    </w:pPr>
    <w:rPr>
      <w:rFonts w:cs="宋体"/>
      <w:sz w:val="24"/>
    </w:rPr>
  </w:style>
  <w:style w:type="paragraph" w:customStyle="1" w:styleId="609">
    <w:name w:val="正文-使用"/>
    <w:basedOn w:val="1"/>
    <w:uiPriority w:val="0"/>
    <w:pPr>
      <w:spacing w:line="360" w:lineRule="auto"/>
      <w:ind w:firstLine="482"/>
    </w:pPr>
    <w:rPr>
      <w:sz w:val="24"/>
      <w:szCs w:val="20"/>
    </w:rPr>
  </w:style>
  <w:style w:type="paragraph" w:customStyle="1" w:styleId="610">
    <w:name w:val="填表内容"/>
    <w:basedOn w:val="1"/>
    <w:uiPriority w:val="0"/>
    <w:pPr>
      <w:adjustRightInd w:val="0"/>
      <w:spacing w:line="480" w:lineRule="exact"/>
      <w:ind w:firstLine="560" w:firstLineChars="200"/>
      <w:jc w:val="left"/>
      <w:textAlignment w:val="baseline"/>
    </w:pPr>
    <w:rPr>
      <w:rFonts w:ascii="楷体_GB2312" w:eastAsia="楷体_GB2312"/>
      <w:sz w:val="28"/>
      <w:szCs w:val="20"/>
    </w:rPr>
  </w:style>
  <w:style w:type="character" w:customStyle="1" w:styleId="611">
    <w:name w:val="Char Char9"/>
    <w:uiPriority w:val="0"/>
    <w:rPr>
      <w:rFonts w:eastAsia="宋体"/>
      <w:kern w:val="2"/>
      <w:sz w:val="24"/>
      <w:lang w:val="en-US" w:eastAsia="zh-CN" w:bidi="ar-SA"/>
    </w:rPr>
  </w:style>
  <w:style w:type="character" w:customStyle="1" w:styleId="612">
    <w:name w:val="Char Char11"/>
    <w:uiPriority w:val="0"/>
    <w:rPr>
      <w:rFonts w:eastAsia="宋体"/>
      <w:kern w:val="2"/>
      <w:sz w:val="21"/>
      <w:szCs w:val="24"/>
      <w:lang w:val="en-US" w:eastAsia="zh-CN" w:bidi="ar-SA"/>
    </w:rPr>
  </w:style>
  <w:style w:type="paragraph" w:customStyle="1" w:styleId="613">
    <w:name w:val="Char Char Char1 Char"/>
    <w:basedOn w:val="1"/>
    <w:uiPriority w:val="0"/>
    <w:rPr>
      <w:sz w:val="24"/>
    </w:rPr>
  </w:style>
  <w:style w:type="paragraph" w:customStyle="1" w:styleId="614">
    <w:name w:val="报告 Char"/>
    <w:basedOn w:val="1"/>
    <w:link w:val="615"/>
    <w:uiPriority w:val="0"/>
    <w:pPr>
      <w:adjustRightInd w:val="0"/>
      <w:spacing w:line="360" w:lineRule="auto"/>
      <w:ind w:firstLine="505"/>
      <w:textAlignment w:val="baseline"/>
    </w:pPr>
    <w:rPr>
      <w:sz w:val="24"/>
    </w:rPr>
  </w:style>
  <w:style w:type="character" w:customStyle="1" w:styleId="615">
    <w:name w:val="报告 Char Char"/>
    <w:link w:val="614"/>
    <w:uiPriority w:val="0"/>
    <w:rPr>
      <w:rFonts w:ascii="Times New Roman" w:hAnsi="Times New Roman" w:eastAsia="宋体" w:cs="Times New Roman"/>
      <w:sz w:val="24"/>
      <w:szCs w:val="24"/>
    </w:rPr>
  </w:style>
  <w:style w:type="paragraph" w:customStyle="1" w:styleId="616">
    <w:name w:val="Char6"/>
    <w:basedOn w:val="1"/>
    <w:uiPriority w:val="0"/>
    <w:rPr>
      <w:szCs w:val="20"/>
    </w:rPr>
  </w:style>
  <w:style w:type="paragraph" w:customStyle="1" w:styleId="617">
    <w:name w:val="reader-word-layer reader-word-s1-6"/>
    <w:basedOn w:val="1"/>
    <w:uiPriority w:val="0"/>
    <w:pPr>
      <w:widowControl/>
      <w:spacing w:before="100" w:beforeAutospacing="1" w:after="100" w:afterAutospacing="1"/>
      <w:jc w:val="left"/>
    </w:pPr>
    <w:rPr>
      <w:rFonts w:ascii="宋体" w:hAnsi="宋体" w:cs="宋体"/>
      <w:kern w:val="0"/>
      <w:sz w:val="24"/>
    </w:rPr>
  </w:style>
  <w:style w:type="paragraph" w:customStyle="1" w:styleId="618">
    <w:name w:val="表内格式"/>
    <w:basedOn w:val="1"/>
    <w:link w:val="619"/>
    <w:uiPriority w:val="0"/>
    <w:pPr>
      <w:jc w:val="center"/>
    </w:pPr>
    <w:rPr>
      <w:sz w:val="18"/>
    </w:rPr>
  </w:style>
  <w:style w:type="character" w:customStyle="1" w:styleId="619">
    <w:name w:val="表内格式 Char"/>
    <w:link w:val="618"/>
    <w:uiPriority w:val="0"/>
    <w:rPr>
      <w:rFonts w:ascii="Times New Roman" w:hAnsi="Times New Roman" w:eastAsia="宋体" w:cs="Times New Roman"/>
      <w:sz w:val="18"/>
      <w:szCs w:val="24"/>
    </w:rPr>
  </w:style>
  <w:style w:type="character" w:customStyle="1" w:styleId="620">
    <w:name w:val="项目 Char"/>
    <w:link w:val="383"/>
    <w:uiPriority w:val="0"/>
    <w:rPr>
      <w:rFonts w:ascii="Times New Roman" w:hAnsi="Times New Roman" w:eastAsia="宋体" w:cs="Times New Roman"/>
      <w:sz w:val="24"/>
      <w:szCs w:val="24"/>
    </w:rPr>
  </w:style>
  <w:style w:type="paragraph" w:customStyle="1" w:styleId="621">
    <w:name w:val="样式 (西文) Times New Roman 四号 首行缩进:  1.01 厘米 段后: 6 磅 行距: 固定值 20..."/>
    <w:basedOn w:val="1"/>
    <w:uiPriority w:val="0"/>
    <w:pPr>
      <w:spacing w:beforeLines="50" w:afterLines="50" w:line="360" w:lineRule="auto"/>
      <w:ind w:firstLine="200" w:firstLineChars="200"/>
    </w:pPr>
    <w:rPr>
      <w:rFonts w:cs="宋体"/>
      <w:sz w:val="28"/>
      <w:szCs w:val="20"/>
    </w:rPr>
  </w:style>
  <w:style w:type="paragraph" w:customStyle="1" w:styleId="622">
    <w:name w:val="样式 四号 行距: 1.5 倍行距"/>
    <w:basedOn w:val="1"/>
    <w:uiPriority w:val="0"/>
    <w:pPr>
      <w:spacing w:line="312" w:lineRule="auto"/>
      <w:ind w:firstLine="202" w:firstLineChars="202"/>
    </w:pPr>
    <w:rPr>
      <w:rFonts w:cs="宋体"/>
      <w:sz w:val="24"/>
      <w:szCs w:val="20"/>
    </w:rPr>
  </w:style>
  <w:style w:type="character" w:customStyle="1" w:styleId="623">
    <w:name w:val="样式 宋体 四号"/>
    <w:uiPriority w:val="0"/>
    <w:rPr>
      <w:rFonts w:ascii="宋体" w:hAnsi="宋体" w:eastAsia="宋体"/>
      <w:kern w:val="2"/>
      <w:sz w:val="24"/>
      <w:szCs w:val="28"/>
      <w:lang w:val="en-US" w:eastAsia="zh-CN" w:bidi="ar-SA"/>
    </w:rPr>
  </w:style>
  <w:style w:type="paragraph" w:customStyle="1" w:styleId="624">
    <w:name w:val="样式 (西文) Times New Roman 四号 段后: 6 磅 行距: 固定值 20 磅 首行缩进:  1.92 ..."/>
    <w:basedOn w:val="1"/>
    <w:uiPriority w:val="0"/>
    <w:pPr>
      <w:spacing w:beforeLines="50" w:afterLines="50" w:line="360" w:lineRule="auto"/>
      <w:ind w:firstLine="200" w:firstLineChars="200"/>
    </w:pPr>
    <w:rPr>
      <w:rFonts w:cs="宋体"/>
      <w:sz w:val="28"/>
      <w:szCs w:val="20"/>
    </w:rPr>
  </w:style>
  <w:style w:type="paragraph" w:customStyle="1" w:styleId="625">
    <w:name w:val="zhengwen"/>
    <w:basedOn w:val="4"/>
    <w:uiPriority w:val="0"/>
    <w:pPr>
      <w:spacing w:before="156" w:beforeLines="50" w:after="156" w:afterLines="50" w:line="500" w:lineRule="atLeast"/>
      <w:ind w:firstLine="560"/>
    </w:pPr>
    <w:rPr>
      <w:rFonts w:ascii="宋体" w:hAnsi="宋体"/>
      <w:sz w:val="28"/>
      <w:szCs w:val="20"/>
      <w:lang w:val="zh-CN"/>
    </w:rPr>
  </w:style>
  <w:style w:type="paragraph" w:customStyle="1" w:styleId="626">
    <w:name w:val="MyText"/>
    <w:basedOn w:val="1"/>
    <w:next w:val="1"/>
    <w:link w:val="627"/>
    <w:uiPriority w:val="0"/>
    <w:pPr>
      <w:spacing w:before="120" w:beforeLines="50" w:after="120" w:afterLines="50" w:line="480" w:lineRule="atLeast"/>
      <w:ind w:firstLine="560" w:firstLineChars="200"/>
    </w:pPr>
    <w:rPr>
      <w:rFonts w:ascii="Century Gothic" w:hAnsi="Century Gothic" w:cs="宋体"/>
      <w:sz w:val="28"/>
      <w:szCs w:val="28"/>
    </w:rPr>
  </w:style>
  <w:style w:type="character" w:customStyle="1" w:styleId="627">
    <w:name w:val="MyText Char"/>
    <w:link w:val="626"/>
    <w:uiPriority w:val="0"/>
    <w:rPr>
      <w:rFonts w:ascii="Century Gothic" w:hAnsi="Century Gothic" w:eastAsia="宋体" w:cs="宋体"/>
      <w:sz w:val="28"/>
      <w:szCs w:val="28"/>
    </w:rPr>
  </w:style>
  <w:style w:type="paragraph" w:customStyle="1" w:styleId="628">
    <w:name w:val="正文内容"/>
    <w:basedOn w:val="1"/>
    <w:link w:val="629"/>
    <w:qFormat/>
    <w:uiPriority w:val="0"/>
    <w:pPr>
      <w:adjustRightInd w:val="0"/>
      <w:spacing w:line="360" w:lineRule="auto"/>
      <w:ind w:firstLine="420" w:firstLineChars="200"/>
      <w:jc w:val="left"/>
    </w:pPr>
    <w:rPr>
      <w:szCs w:val="21"/>
      <w:lang w:val="zh-CN" w:eastAsia="zh-CN"/>
    </w:rPr>
  </w:style>
  <w:style w:type="character" w:customStyle="1" w:styleId="629">
    <w:name w:val="正文内容 Char"/>
    <w:link w:val="628"/>
    <w:uiPriority w:val="0"/>
    <w:rPr>
      <w:rFonts w:ascii="Times New Roman" w:hAnsi="Times New Roman" w:eastAsia="宋体" w:cs="Times New Roman"/>
      <w:szCs w:val="21"/>
      <w:lang w:val="zh-CN" w:eastAsia="zh-CN"/>
    </w:rPr>
  </w:style>
  <w:style w:type="paragraph" w:customStyle="1" w:styleId="630">
    <w:name w:val="二级"/>
    <w:basedOn w:val="1"/>
    <w:uiPriority w:val="0"/>
    <w:pPr>
      <w:widowControl/>
      <w:spacing w:beforeLines="50" w:after="200" w:afterLines="50" w:line="460" w:lineRule="exact"/>
      <w:jc w:val="left"/>
    </w:pPr>
    <w:rPr>
      <w:rFonts w:eastAsia="Plotter"/>
      <w:kern w:val="0"/>
      <w:sz w:val="30"/>
      <w:szCs w:val="20"/>
      <w:lang w:eastAsia="en-US" w:bidi="en-US"/>
    </w:rPr>
  </w:style>
  <w:style w:type="paragraph" w:customStyle="1" w:styleId="631">
    <w:name w:val="正文22磅"/>
    <w:basedOn w:val="1"/>
    <w:uiPriority w:val="0"/>
    <w:pPr>
      <w:spacing w:line="420" w:lineRule="exact"/>
      <w:ind w:firstLine="480" w:firstLineChars="200"/>
    </w:pPr>
    <w:rPr>
      <w:sz w:val="24"/>
    </w:rPr>
  </w:style>
  <w:style w:type="paragraph" w:customStyle="1" w:styleId="632">
    <w:name w:val="ordinary-output"/>
    <w:basedOn w:val="1"/>
    <w:uiPriority w:val="0"/>
    <w:pPr>
      <w:widowControl/>
      <w:spacing w:before="100" w:beforeAutospacing="1" w:after="75" w:line="330" w:lineRule="atLeast"/>
      <w:jc w:val="left"/>
    </w:pPr>
    <w:rPr>
      <w:rFonts w:ascii="宋体" w:hAnsi="宋体" w:cs="宋体"/>
      <w:color w:val="333333"/>
      <w:kern w:val="0"/>
      <w:sz w:val="27"/>
      <w:szCs w:val="27"/>
    </w:rPr>
  </w:style>
  <w:style w:type="character" w:customStyle="1" w:styleId="633">
    <w:name w:val="high-light-bg4"/>
    <w:basedOn w:val="87"/>
    <w:uiPriority w:val="0"/>
  </w:style>
  <w:style w:type="paragraph" w:customStyle="1" w:styleId="634">
    <w:name w:val="表格-RED"/>
    <w:link w:val="635"/>
    <w:qFormat/>
    <w:uiPriority w:val="0"/>
    <w:pPr>
      <w:spacing w:line="276" w:lineRule="auto"/>
      <w:jc w:val="center"/>
    </w:pPr>
    <w:rPr>
      <w:rFonts w:ascii="Times New Roman" w:hAnsi="宋体" w:eastAsia="宋体" w:cs="Times New Roman"/>
      <w:b/>
      <w:kern w:val="2"/>
      <w:sz w:val="18"/>
      <w:szCs w:val="18"/>
      <w:lang w:val="en-US" w:eastAsia="zh-CN" w:bidi="ar-SA"/>
    </w:rPr>
  </w:style>
  <w:style w:type="character" w:customStyle="1" w:styleId="635">
    <w:name w:val="表格-RED Char"/>
    <w:link w:val="634"/>
    <w:uiPriority w:val="0"/>
    <w:rPr>
      <w:rFonts w:ascii="Times New Roman" w:hAnsi="宋体" w:eastAsia="宋体" w:cs="Times New Roman"/>
      <w:b/>
      <w:sz w:val="18"/>
      <w:szCs w:val="18"/>
    </w:rPr>
  </w:style>
  <w:style w:type="character" w:customStyle="1" w:styleId="636">
    <w:name w:val="latinname1"/>
    <w:uiPriority w:val="0"/>
    <w:rPr>
      <w:i/>
      <w:iCs/>
    </w:rPr>
  </w:style>
  <w:style w:type="character" w:customStyle="1" w:styleId="637">
    <w:name w:val="apple-converted-space"/>
    <w:uiPriority w:val="0"/>
  </w:style>
  <w:style w:type="character" w:customStyle="1" w:styleId="638">
    <w:name w:val="splatinnamesauthor1"/>
    <w:uiPriority w:val="0"/>
    <w:rPr>
      <w:b/>
      <w:bCs/>
      <w:color w:val="CC3300"/>
    </w:rPr>
  </w:style>
  <w:style w:type="paragraph" w:customStyle="1" w:styleId="639">
    <w:name w:val="样式 haydonli + 首行缩进:  2 字符"/>
    <w:basedOn w:val="163"/>
    <w:uiPriority w:val="0"/>
    <w:pPr>
      <w:adjustRightInd w:val="0"/>
      <w:snapToGrid w:val="0"/>
      <w:spacing w:line="400" w:lineRule="exact"/>
      <w:ind w:firstLine="420"/>
    </w:pPr>
    <w:rPr>
      <w:rFonts w:ascii="宋体" w:hAnsi="宋体" w:eastAsia="宋体" w:cs="宋体"/>
    </w:rPr>
  </w:style>
  <w:style w:type="paragraph" w:customStyle="1" w:styleId="640">
    <w:name w:val="表头样式1"/>
    <w:basedOn w:val="1"/>
    <w:link w:val="641"/>
    <w:uiPriority w:val="0"/>
    <w:pPr>
      <w:spacing w:after="80" w:line="480" w:lineRule="atLeast"/>
      <w:jc w:val="center"/>
    </w:pPr>
    <w:rPr>
      <w:rFonts w:eastAsia="黑体"/>
      <w:b/>
      <w:sz w:val="24"/>
      <w:szCs w:val="20"/>
    </w:rPr>
  </w:style>
  <w:style w:type="character" w:customStyle="1" w:styleId="641">
    <w:name w:val="表头样式1 Char"/>
    <w:link w:val="640"/>
    <w:uiPriority w:val="0"/>
    <w:rPr>
      <w:rFonts w:ascii="Times New Roman" w:hAnsi="Times New Roman" w:eastAsia="黑体" w:cs="Times New Roman"/>
      <w:b/>
      <w:sz w:val="24"/>
      <w:szCs w:val="20"/>
    </w:rPr>
  </w:style>
  <w:style w:type="character" w:customStyle="1" w:styleId="642">
    <w:name w:val="图片文字 Char Char1 Char3"/>
    <w:uiPriority w:val="0"/>
    <w:rPr>
      <w:rFonts w:ascii="黑体" w:hAnsi="宋体" w:eastAsia="黑体" w:cs="Arial"/>
      <w:b/>
      <w:bCs/>
      <w:color w:val="FF0000"/>
      <w:kern w:val="2"/>
      <w:sz w:val="24"/>
      <w:szCs w:val="24"/>
      <w:lang w:val="en-US" w:eastAsia="zh-CN" w:bidi="ar-SA"/>
    </w:rPr>
  </w:style>
  <w:style w:type="paragraph" w:customStyle="1" w:styleId="643">
    <w:name w:val="正文 New"/>
    <w:uiPriority w:val="0"/>
    <w:pPr>
      <w:widowControl w:val="0"/>
      <w:jc w:val="both"/>
    </w:pPr>
    <w:rPr>
      <w:rFonts w:ascii="Times New Roman" w:hAnsi="Times New Roman" w:eastAsia="宋体" w:cs="Times New Roman"/>
      <w:kern w:val="2"/>
      <w:sz w:val="21"/>
      <w:szCs w:val="20"/>
      <w:lang w:val="en-US" w:eastAsia="zh-CN" w:bidi="ar-SA"/>
    </w:rPr>
  </w:style>
  <w:style w:type="character" w:customStyle="1" w:styleId="644">
    <w:name w:val="正文缩进 Char2"/>
    <w:uiPriority w:val="0"/>
    <w:rPr>
      <w:rFonts w:eastAsia="宋体"/>
      <w:kern w:val="2"/>
      <w:sz w:val="24"/>
      <w:lang w:val="en-US" w:eastAsia="zh-CN" w:bidi="ar-SA"/>
    </w:rPr>
  </w:style>
  <w:style w:type="paragraph" w:customStyle="1" w:styleId="645">
    <w:name w:val="Char21"/>
    <w:basedOn w:val="1"/>
    <w:uiPriority w:val="0"/>
  </w:style>
  <w:style w:type="paragraph" w:customStyle="1" w:styleId="646">
    <w:name w:val="Char Char Char Char1"/>
    <w:basedOn w:val="1"/>
    <w:semiHidden/>
    <w:uiPriority w:val="0"/>
  </w:style>
  <w:style w:type="paragraph" w:customStyle="1" w:styleId="647">
    <w:name w:val="标题 1N"/>
    <w:basedOn w:val="2"/>
    <w:uiPriority w:val="0"/>
    <w:pPr>
      <w:numPr>
        <w:numId w:val="0"/>
      </w:numPr>
      <w:tabs>
        <w:tab w:val="left" w:pos="538"/>
        <w:tab w:val="clear" w:pos="294"/>
        <w:tab w:val="clear" w:pos="720"/>
        <w:tab w:val="clear" w:pos="1080"/>
        <w:tab w:val="clear" w:pos="1440"/>
      </w:tabs>
      <w:adjustRightInd/>
      <w:snapToGrid/>
      <w:spacing w:before="240" w:after="300" w:afterLines="0" w:line="480" w:lineRule="auto"/>
    </w:pPr>
    <w:rPr>
      <w:rFonts w:ascii="黑体" w:eastAsia="黑体" w:cs="宋体"/>
      <w:bCs/>
    </w:rPr>
  </w:style>
  <w:style w:type="character" w:customStyle="1" w:styleId="648">
    <w:name w:val="标题 1 Char Char"/>
    <w:uiPriority w:val="0"/>
    <w:rPr>
      <w:rFonts w:eastAsia="宋体"/>
      <w:b/>
      <w:bCs/>
      <w:kern w:val="44"/>
      <w:sz w:val="44"/>
      <w:szCs w:val="44"/>
      <w:lang w:val="en-US" w:eastAsia="zh-CN" w:bidi="ar-SA"/>
    </w:rPr>
  </w:style>
  <w:style w:type="paragraph" w:customStyle="1" w:styleId="649">
    <w:name w:val="WPS Plain"/>
    <w:uiPriority w:val="0"/>
    <w:rPr>
      <w:rFonts w:ascii="Times New Roman" w:hAnsi="Times New Roman" w:eastAsia="宋体" w:cs="Times New Roman"/>
      <w:kern w:val="0"/>
      <w:sz w:val="20"/>
      <w:szCs w:val="20"/>
      <w:lang w:val="en-US" w:eastAsia="zh-CN" w:bidi="ar-SA"/>
    </w:rPr>
  </w:style>
  <w:style w:type="paragraph" w:customStyle="1" w:styleId="650">
    <w:name w:val="正文缩进1 Char Char Char Char Char Char Char"/>
    <w:basedOn w:val="4"/>
    <w:link w:val="651"/>
    <w:uiPriority w:val="0"/>
    <w:pPr>
      <w:spacing w:line="288" w:lineRule="auto"/>
      <w:ind w:firstLine="0" w:firstLineChars="0"/>
    </w:pPr>
    <w:rPr>
      <w:szCs w:val="20"/>
      <w:lang w:val="zh-CN" w:eastAsia="zh-CN"/>
    </w:rPr>
  </w:style>
  <w:style w:type="character" w:customStyle="1" w:styleId="651">
    <w:name w:val="正文缩进1 Char Char Char Char Char Char Char Char"/>
    <w:link w:val="650"/>
    <w:uiPriority w:val="0"/>
    <w:rPr>
      <w:rFonts w:ascii="Times New Roman" w:hAnsi="Times New Roman" w:eastAsia="宋体" w:cs="Times New Roman"/>
      <w:szCs w:val="20"/>
      <w:lang w:val="zh-CN" w:eastAsia="zh-CN"/>
    </w:rPr>
  </w:style>
  <w:style w:type="paragraph" w:customStyle="1" w:styleId="652">
    <w:name w:val="首行缩进  2 字符"/>
    <w:basedOn w:val="1"/>
    <w:uiPriority w:val="0"/>
    <w:pPr>
      <w:spacing w:line="480" w:lineRule="exact"/>
      <w:ind w:firstLine="480" w:firstLineChars="200"/>
    </w:pPr>
    <w:rPr>
      <w:rFonts w:ascii="宋体" w:hAnsi="宋体" w:cs="宋体"/>
      <w:kern w:val="0"/>
      <w:sz w:val="24"/>
    </w:rPr>
  </w:style>
  <w:style w:type="paragraph" w:customStyle="1" w:styleId="653">
    <w:name w:val="正文缩进1 Char Char Char Char Char"/>
    <w:basedOn w:val="4"/>
    <w:qFormat/>
    <w:uiPriority w:val="0"/>
    <w:pPr>
      <w:spacing w:line="288" w:lineRule="auto"/>
      <w:ind w:firstLine="0" w:firstLineChars="0"/>
    </w:pPr>
    <w:rPr>
      <w:rFonts w:cs="宋体"/>
    </w:rPr>
  </w:style>
  <w:style w:type="character" w:customStyle="1" w:styleId="654">
    <w:name w:val="Char4 Char Char"/>
    <w:uiPriority w:val="0"/>
    <w:rPr>
      <w:rFonts w:eastAsia="黑体"/>
      <w:b/>
      <w:bCs/>
      <w:kern w:val="2"/>
      <w:sz w:val="24"/>
      <w:szCs w:val="24"/>
      <w:lang w:val="en-US" w:eastAsia="zh-CN" w:bidi="ar-SA"/>
    </w:rPr>
  </w:style>
  <w:style w:type="character" w:customStyle="1" w:styleId="655">
    <w:name w:val="表头字体 Char1"/>
    <w:link w:val="656"/>
    <w:uiPriority w:val="0"/>
    <w:rPr>
      <w:rFonts w:eastAsia="黑体"/>
      <w:b/>
      <w:sz w:val="24"/>
    </w:rPr>
  </w:style>
  <w:style w:type="paragraph" w:customStyle="1" w:styleId="656">
    <w:name w:val="表头字体"/>
    <w:basedOn w:val="1"/>
    <w:next w:val="557"/>
    <w:link w:val="655"/>
    <w:uiPriority w:val="0"/>
    <w:pPr>
      <w:jc w:val="center"/>
    </w:pPr>
    <w:rPr>
      <w:rFonts w:eastAsia="黑体" w:asciiTheme="minorHAnsi" w:hAnsiTheme="minorHAnsi" w:cstheme="minorBidi"/>
      <w:b/>
      <w:sz w:val="24"/>
      <w:szCs w:val="22"/>
    </w:rPr>
  </w:style>
  <w:style w:type="paragraph" w:customStyle="1" w:styleId="657">
    <w:name w:val="报告表正文"/>
    <w:basedOn w:val="1"/>
    <w:link w:val="658"/>
    <w:uiPriority w:val="0"/>
    <w:pPr>
      <w:spacing w:line="360" w:lineRule="auto"/>
      <w:ind w:firstLine="200" w:firstLineChars="200"/>
    </w:pPr>
    <w:rPr>
      <w:rFonts w:eastAsia="楷体_GB2312"/>
      <w:sz w:val="24"/>
      <w:lang w:val="zh-CN" w:eastAsia="zh-CN"/>
    </w:rPr>
  </w:style>
  <w:style w:type="character" w:customStyle="1" w:styleId="658">
    <w:name w:val="报告表正文 Char1"/>
    <w:link w:val="657"/>
    <w:uiPriority w:val="0"/>
    <w:rPr>
      <w:rFonts w:ascii="Times New Roman" w:hAnsi="Times New Roman" w:eastAsia="楷体_GB2312" w:cs="Times New Roman"/>
      <w:sz w:val="24"/>
      <w:szCs w:val="24"/>
      <w:lang w:val="zh-CN" w:eastAsia="zh-CN"/>
    </w:rPr>
  </w:style>
  <w:style w:type="paragraph" w:customStyle="1" w:styleId="659">
    <w:name w:val="Char Char Char1 Char Char Char1 Char Char Char Char Char Char1 Char Char Char1 Char"/>
    <w:basedOn w:val="1"/>
    <w:semiHidden/>
    <w:uiPriority w:val="0"/>
  </w:style>
  <w:style w:type="paragraph" w:customStyle="1" w:styleId="660">
    <w:name w:val="表名"/>
    <w:basedOn w:val="1"/>
    <w:qFormat/>
    <w:uiPriority w:val="0"/>
    <w:pPr>
      <w:keepNext/>
      <w:overflowPunct w:val="0"/>
      <w:adjustRightInd w:val="0"/>
      <w:spacing w:before="240"/>
      <w:ind w:firstLine="200" w:firstLineChars="200"/>
      <w:jc w:val="center"/>
      <w:textAlignment w:val="baseline"/>
    </w:pPr>
    <w:rPr>
      <w:rFonts w:ascii="黑体" w:eastAsia="黑体"/>
      <w:kern w:val="24"/>
      <w:sz w:val="24"/>
      <w:szCs w:val="20"/>
    </w:rPr>
  </w:style>
  <w:style w:type="paragraph" w:customStyle="1" w:styleId="661">
    <w:name w:val="表内式样"/>
    <w:semiHidden/>
    <w:uiPriority w:val="0"/>
    <w:pPr>
      <w:keepLines/>
      <w:widowControl w:val="0"/>
      <w:kinsoku w:val="0"/>
      <w:overflowPunct w:val="0"/>
      <w:adjustRightInd w:val="0"/>
      <w:spacing w:line="360" w:lineRule="atLeast"/>
      <w:jc w:val="center"/>
    </w:pPr>
    <w:rPr>
      <w:rFonts w:ascii="宋体" w:hAnsi="Times New Roman" w:eastAsia="宋体" w:cs="Times New Roman"/>
      <w:kern w:val="21"/>
      <w:sz w:val="21"/>
      <w:szCs w:val="20"/>
      <w:lang w:val="en-US" w:eastAsia="zh-CN" w:bidi="ar-SA"/>
    </w:rPr>
  </w:style>
  <w:style w:type="paragraph" w:customStyle="1" w:styleId="662">
    <w:name w:val="封面正文"/>
    <w:semiHidden/>
    <w:uiPriority w:val="0"/>
    <w:pPr>
      <w:jc w:val="both"/>
    </w:pPr>
    <w:rPr>
      <w:rFonts w:ascii="Times New Roman" w:hAnsi="Times New Roman" w:eastAsia="宋体" w:cs="Times New Roman"/>
      <w:kern w:val="0"/>
      <w:sz w:val="20"/>
      <w:szCs w:val="20"/>
      <w:lang w:val="en-US" w:eastAsia="zh-CN" w:bidi="ar-SA"/>
    </w:rPr>
  </w:style>
  <w:style w:type="paragraph" w:customStyle="1" w:styleId="663">
    <w:name w:val="框图格式2"/>
    <w:basedOn w:val="1"/>
    <w:semiHidden/>
    <w:uiPriority w:val="0"/>
    <w:rPr>
      <w:sz w:val="18"/>
    </w:rPr>
  </w:style>
  <w:style w:type="paragraph" w:customStyle="1" w:styleId="664">
    <w:name w:val="框图内容"/>
    <w:basedOn w:val="1"/>
    <w:semiHidden/>
    <w:uiPriority w:val="0"/>
    <w:pPr>
      <w:jc w:val="center"/>
    </w:pPr>
    <w:rPr>
      <w:rFonts w:ascii="宋体"/>
      <w:lang w:val="en-GB"/>
    </w:rPr>
  </w:style>
  <w:style w:type="paragraph" w:customStyle="1" w:styleId="665">
    <w:name w:val="流程图"/>
    <w:basedOn w:val="1"/>
    <w:link w:val="946"/>
    <w:semiHidden/>
    <w:uiPriority w:val="0"/>
    <w:rPr>
      <w:szCs w:val="18"/>
      <w:lang w:val="zh-CN" w:eastAsia="zh-CN"/>
    </w:rPr>
  </w:style>
  <w:style w:type="character" w:customStyle="1" w:styleId="666">
    <w:name w:val="正文(首行缩进) Char Char"/>
    <w:semiHidden/>
    <w:uiPriority w:val="0"/>
    <w:rPr>
      <w:rFonts w:eastAsia="宋体"/>
      <w:snapToGrid w:val="0"/>
      <w:color w:val="000000"/>
      <w:sz w:val="24"/>
      <w:szCs w:val="24"/>
      <w:lang w:val="en-US" w:eastAsia="zh-CN" w:bidi="ar-SA"/>
    </w:rPr>
  </w:style>
  <w:style w:type="paragraph" w:customStyle="1" w:styleId="667">
    <w:name w:val="正文999"/>
    <w:basedOn w:val="1"/>
    <w:semiHidden/>
    <w:uiPriority w:val="0"/>
    <w:pPr>
      <w:spacing w:line="360" w:lineRule="auto"/>
      <w:ind w:firstLine="480" w:firstLineChars="200"/>
    </w:pPr>
    <w:rPr>
      <w:rFonts w:ascii="宋体" w:hAnsi="宋体"/>
      <w:sz w:val="24"/>
    </w:rPr>
  </w:style>
  <w:style w:type="table" w:customStyle="1" w:styleId="668">
    <w:name w:val="ljw"/>
    <w:basedOn w:val="106"/>
    <w:semiHidden/>
    <w:uiPriority w:val="0"/>
    <w:pPr>
      <w:spacing w:line="440" w:lineRule="exact"/>
      <w:ind w:firstLine="200" w:firstLineChars="200"/>
    </w:pPr>
    <w:rPr>
      <w:snapToGrid w:val="0"/>
      <w:sz w:val="18"/>
      <w:szCs w:val="18"/>
    </w:rPr>
    <w:tblPr>
      <w:tblBorders>
        <w:top w:val="single" w:color="auto" w:sz="6" w:space="0"/>
        <w:bottom w:val="single" w:color="auto" w:sz="6" w:space="0"/>
        <w:insideH w:val="single" w:color="auto" w:sz="6" w:space="0"/>
        <w:insideV w:val="single" w:color="auto" w:sz="6" w:space="0"/>
      </w:tblBorders>
      <w:tblLayout w:type="fixed"/>
      <w:tblCellMar>
        <w:top w:w="0" w:type="dxa"/>
        <w:left w:w="108" w:type="dxa"/>
        <w:bottom w:w="0" w:type="dxa"/>
        <w:right w:w="108" w:type="dxa"/>
      </w:tblCellMar>
    </w:tblPr>
  </w:style>
  <w:style w:type="paragraph" w:customStyle="1" w:styleId="669">
    <w:name w:val="Char Char Char1 Char Char Char Char"/>
    <w:basedOn w:val="1"/>
    <w:next w:val="1"/>
    <w:semiHidden/>
    <w:uiPriority w:val="0"/>
    <w:pPr>
      <w:spacing w:line="360" w:lineRule="auto"/>
      <w:ind w:firstLine="200" w:firstLineChars="200"/>
    </w:pPr>
    <w:rPr>
      <w:rFonts w:ascii="宋体" w:hAnsi="宋体" w:eastAsia="汉鼎简书宋" w:cs="宋体"/>
      <w:sz w:val="24"/>
    </w:rPr>
  </w:style>
  <w:style w:type="character" w:customStyle="1" w:styleId="670">
    <w:name w:val="HTML 地址 Char"/>
    <w:basedOn w:val="87"/>
    <w:link w:val="42"/>
    <w:uiPriority w:val="0"/>
    <w:rPr>
      <w:rFonts w:ascii="Times New Roman" w:hAnsi="Times New Roman" w:eastAsia="宋体" w:cs="Times New Roman"/>
      <w:i/>
      <w:iCs/>
      <w:szCs w:val="24"/>
    </w:rPr>
  </w:style>
  <w:style w:type="character" w:customStyle="1" w:styleId="671">
    <w:name w:val="称呼 Char"/>
    <w:basedOn w:val="87"/>
    <w:link w:val="32"/>
    <w:uiPriority w:val="0"/>
    <w:rPr>
      <w:rFonts w:ascii="Times New Roman" w:hAnsi="Times New Roman" w:eastAsia="宋体" w:cs="Times New Roman"/>
      <w:szCs w:val="24"/>
    </w:rPr>
  </w:style>
  <w:style w:type="character" w:customStyle="1" w:styleId="672">
    <w:name w:val="电子邮件签名 Char"/>
    <w:basedOn w:val="87"/>
    <w:link w:val="23"/>
    <w:uiPriority w:val="0"/>
    <w:rPr>
      <w:rFonts w:ascii="Times New Roman" w:hAnsi="Times New Roman" w:eastAsia="宋体" w:cs="Times New Roman"/>
      <w:szCs w:val="24"/>
    </w:rPr>
  </w:style>
  <w:style w:type="character" w:customStyle="1" w:styleId="673">
    <w:name w:val="结束语 Char"/>
    <w:basedOn w:val="87"/>
    <w:link w:val="34"/>
    <w:uiPriority w:val="0"/>
    <w:rPr>
      <w:rFonts w:ascii="Times New Roman" w:hAnsi="Times New Roman" w:eastAsia="宋体" w:cs="Times New Roman"/>
      <w:szCs w:val="24"/>
    </w:rPr>
  </w:style>
  <w:style w:type="character" w:customStyle="1" w:styleId="674">
    <w:name w:val="签名 Char"/>
    <w:basedOn w:val="87"/>
    <w:link w:val="59"/>
    <w:uiPriority w:val="0"/>
    <w:rPr>
      <w:rFonts w:ascii="Times New Roman" w:hAnsi="Times New Roman" w:eastAsia="宋体" w:cs="Times New Roman"/>
      <w:szCs w:val="24"/>
    </w:rPr>
  </w:style>
  <w:style w:type="character" w:customStyle="1" w:styleId="675">
    <w:name w:val="信息标题 Char"/>
    <w:basedOn w:val="87"/>
    <w:link w:val="81"/>
    <w:uiPriority w:val="0"/>
    <w:rPr>
      <w:rFonts w:ascii="Arial" w:hAnsi="Arial" w:eastAsia="宋体" w:cs="Arial"/>
      <w:sz w:val="24"/>
      <w:szCs w:val="24"/>
      <w:shd w:val="pct20" w:color="auto" w:fill="auto"/>
    </w:rPr>
  </w:style>
  <w:style w:type="paragraph" w:customStyle="1" w:styleId="676">
    <w:name w:val="Char Char Char Char Char Char1 Char1"/>
    <w:basedOn w:val="1"/>
    <w:semiHidden/>
    <w:uiPriority w:val="0"/>
  </w:style>
  <w:style w:type="paragraph" w:customStyle="1" w:styleId="677">
    <w:name w:val="表名1"/>
    <w:basedOn w:val="660"/>
    <w:uiPriority w:val="0"/>
    <w:pPr>
      <w:snapToGrid w:val="0"/>
      <w:spacing w:before="0"/>
      <w:ind w:firstLine="0" w:firstLineChars="0"/>
    </w:pPr>
    <w:rPr>
      <w:rFonts w:ascii="Times New Roman"/>
      <w:sz w:val="21"/>
      <w:szCs w:val="21"/>
    </w:rPr>
  </w:style>
  <w:style w:type="paragraph" w:customStyle="1" w:styleId="678">
    <w:name w:val="xl47"/>
    <w:basedOn w:val="1"/>
    <w:uiPriority w:val="0"/>
    <w:pPr>
      <w:widowControl/>
      <w:pBdr>
        <w:top w:val="single" w:color="auto" w:sz="4" w:space="0"/>
        <w:left w:val="single" w:color="auto" w:sz="4" w:space="0"/>
        <w:right w:val="single" w:color="auto" w:sz="4" w:space="0"/>
      </w:pBdr>
      <w:spacing w:before="100" w:beforeAutospacing="1" w:after="100" w:afterAutospacing="1" w:line="360" w:lineRule="auto"/>
      <w:ind w:firstLine="200" w:firstLineChars="200"/>
      <w:jc w:val="left"/>
      <w:textAlignment w:val="center"/>
    </w:pPr>
    <w:rPr>
      <w:rFonts w:ascii="Arial Unicode MS" w:hAnsi="Arial Unicode MS" w:eastAsia="Arial Unicode MS" w:cs="Arial Unicode MS"/>
      <w:kern w:val="0"/>
      <w:sz w:val="24"/>
    </w:rPr>
  </w:style>
  <w:style w:type="paragraph" w:customStyle="1" w:styleId="679">
    <w:name w:val="xl48"/>
    <w:basedOn w:val="1"/>
    <w:uiPriority w:val="0"/>
    <w:pPr>
      <w:widowControl/>
      <w:pBdr>
        <w:top w:val="single" w:color="auto" w:sz="4" w:space="0"/>
        <w:left w:val="single" w:color="auto" w:sz="4"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4"/>
    </w:rPr>
  </w:style>
  <w:style w:type="paragraph" w:customStyle="1" w:styleId="680">
    <w:name w:val="xl49"/>
    <w:basedOn w:val="1"/>
    <w:uiPriority w:val="0"/>
    <w:pPr>
      <w:widowControl/>
      <w:pBdr>
        <w:top w:val="single" w:color="auto" w:sz="4" w:space="0"/>
        <w:left w:val="single" w:color="auto" w:sz="4" w:space="0"/>
        <w:right w:val="single" w:color="auto" w:sz="4"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681">
    <w:name w:val="xl50"/>
    <w:basedOn w:val="1"/>
    <w:uiPriority w:val="0"/>
    <w:pPr>
      <w:widowControl/>
      <w:pBdr>
        <w:top w:val="single" w:color="auto" w:sz="4" w:space="0"/>
        <w:left w:val="single" w:color="auto" w:sz="4" w:space="0"/>
        <w:right w:val="single" w:color="auto" w:sz="8"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0"/>
      <w:szCs w:val="20"/>
    </w:rPr>
  </w:style>
  <w:style w:type="paragraph" w:customStyle="1" w:styleId="682">
    <w:name w:val="xl51"/>
    <w:basedOn w:val="1"/>
    <w:uiPriority w:val="0"/>
    <w:pPr>
      <w:widowControl/>
      <w:pBdr>
        <w:bottom w:val="single" w:color="auto" w:sz="8" w:space="0"/>
      </w:pBdr>
      <w:spacing w:before="100" w:beforeAutospacing="1" w:after="100" w:afterAutospacing="1" w:line="360" w:lineRule="auto"/>
      <w:ind w:firstLine="200" w:firstLineChars="200"/>
      <w:jc w:val="center"/>
      <w:textAlignment w:val="center"/>
    </w:pPr>
    <w:rPr>
      <w:rFonts w:ascii="Arial Unicode MS" w:hAnsi="Arial Unicode MS" w:eastAsia="Arial Unicode MS" w:cs="Arial Unicode MS"/>
      <w:kern w:val="0"/>
      <w:sz w:val="28"/>
      <w:szCs w:val="28"/>
    </w:rPr>
  </w:style>
  <w:style w:type="paragraph" w:customStyle="1" w:styleId="683">
    <w:name w:val="xl52"/>
    <w:basedOn w:val="1"/>
    <w:uiPriority w:val="0"/>
    <w:pPr>
      <w:widowControl/>
      <w:pBdr>
        <w:top w:val="single" w:color="auto" w:sz="8" w:space="0"/>
      </w:pBdr>
      <w:spacing w:before="100" w:beforeAutospacing="1" w:after="100" w:afterAutospacing="1" w:line="360" w:lineRule="auto"/>
      <w:ind w:firstLine="200" w:firstLineChars="200"/>
      <w:jc w:val="left"/>
      <w:textAlignment w:val="center"/>
    </w:pPr>
    <w:rPr>
      <w:rFonts w:ascii="Arial Unicode MS" w:hAnsi="Arial Unicode MS" w:eastAsia="Arial Unicode MS" w:cs="Arial Unicode MS"/>
      <w:kern w:val="0"/>
      <w:sz w:val="24"/>
    </w:rPr>
  </w:style>
  <w:style w:type="paragraph" w:customStyle="1" w:styleId="684">
    <w:name w:val="目录1"/>
    <w:basedOn w:val="60"/>
    <w:next w:val="60"/>
    <w:semiHidden/>
    <w:uiPriority w:val="0"/>
    <w:pPr>
      <w:widowControl/>
      <w:tabs>
        <w:tab w:val="left" w:leader="dot" w:pos="8492"/>
      </w:tabs>
      <w:spacing w:before="0"/>
    </w:pPr>
    <w:rPr>
      <w:rFonts w:ascii="宋体" w:hAnsi="Times New Roman"/>
      <w:b w:val="0"/>
      <w:color w:val="000000"/>
      <w:kern w:val="0"/>
      <w:u w:color="000000"/>
    </w:rPr>
  </w:style>
  <w:style w:type="paragraph" w:customStyle="1" w:styleId="685">
    <w:name w:val="目录3"/>
    <w:basedOn w:val="1"/>
    <w:next w:val="1"/>
    <w:semiHidden/>
    <w:uiPriority w:val="0"/>
    <w:pPr>
      <w:widowControl/>
      <w:tabs>
        <w:tab w:val="left" w:leader="dot" w:pos="8492"/>
      </w:tabs>
      <w:spacing w:line="748" w:lineRule="atLeast"/>
      <w:ind w:left="419" w:firstLine="419"/>
    </w:pPr>
    <w:rPr>
      <w:rFonts w:ascii="宋体"/>
      <w:color w:val="000000"/>
      <w:kern w:val="0"/>
      <w:szCs w:val="20"/>
      <w:u w:color="000000"/>
    </w:rPr>
  </w:style>
  <w:style w:type="paragraph" w:customStyle="1" w:styleId="686">
    <w:name w:val="文本匡小五号 Char"/>
    <w:semiHidden/>
    <w:qFormat/>
    <w:uiPriority w:val="0"/>
    <w:pPr>
      <w:snapToGrid w:val="0"/>
      <w:spacing w:line="100" w:lineRule="atLeast"/>
      <w:jc w:val="center"/>
    </w:pPr>
    <w:rPr>
      <w:rFonts w:ascii="Times New Roman" w:hAnsi="Times New Roman" w:eastAsia="仿宋_GB2312" w:cs="Times New Roman"/>
      <w:snapToGrid w:val="0"/>
      <w:kern w:val="0"/>
      <w:sz w:val="21"/>
      <w:szCs w:val="21"/>
      <w:lang w:val="en-US" w:eastAsia="zh-CN" w:bidi="ar-SA"/>
    </w:rPr>
  </w:style>
  <w:style w:type="paragraph" w:customStyle="1" w:styleId="687">
    <w:name w:val="文本匡小五号 Char Char"/>
    <w:semiHidden/>
    <w:uiPriority w:val="0"/>
    <w:pPr>
      <w:jc w:val="center"/>
    </w:pPr>
    <w:rPr>
      <w:rFonts w:ascii="Times New Roman" w:hAnsi="Times New Roman" w:eastAsia="仿宋_GB2312" w:cs="Times New Roman"/>
      <w:kern w:val="0"/>
      <w:sz w:val="18"/>
      <w:szCs w:val="24"/>
      <w:lang w:val="en-US" w:eastAsia="zh-CN" w:bidi="ar-SA"/>
    </w:rPr>
  </w:style>
  <w:style w:type="character" w:customStyle="1" w:styleId="688">
    <w:name w:val="文本匡小五号 Char Char Char"/>
    <w:semiHidden/>
    <w:uiPriority w:val="0"/>
    <w:rPr>
      <w:rFonts w:ascii="宋体" w:hAnsi="宋体" w:eastAsia="仿宋_GB2312" w:cs="Courier New"/>
      <w:kern w:val="2"/>
      <w:sz w:val="18"/>
      <w:szCs w:val="24"/>
      <w:lang w:val="en-US" w:eastAsia="zh-CN" w:bidi="ar-SA"/>
    </w:rPr>
  </w:style>
  <w:style w:type="paragraph" w:customStyle="1" w:styleId="689">
    <w:name w:val="文本框5号两端齐"/>
    <w:basedOn w:val="1"/>
    <w:semiHidden/>
    <w:uiPriority w:val="0"/>
    <w:pPr>
      <w:widowControl/>
    </w:pPr>
    <w:rPr>
      <w:rFonts w:eastAsia="仿宋_GB2312"/>
      <w:szCs w:val="21"/>
    </w:rPr>
  </w:style>
  <w:style w:type="paragraph" w:customStyle="1" w:styleId="690">
    <w:name w:val="文本框文字"/>
    <w:basedOn w:val="1"/>
    <w:semiHidden/>
    <w:uiPriority w:val="0"/>
    <w:pPr>
      <w:adjustRightInd w:val="0"/>
      <w:jc w:val="center"/>
      <w:textAlignment w:val="baseline"/>
    </w:pPr>
    <w:rPr>
      <w:kern w:val="0"/>
      <w:szCs w:val="20"/>
    </w:rPr>
  </w:style>
  <w:style w:type="paragraph" w:customStyle="1" w:styleId="691">
    <w:name w:val="文本框五号"/>
    <w:semiHidden/>
    <w:uiPriority w:val="0"/>
    <w:pPr>
      <w:adjustRightInd w:val="0"/>
      <w:spacing w:line="240" w:lineRule="atLeast"/>
      <w:jc w:val="center"/>
    </w:pPr>
    <w:rPr>
      <w:rFonts w:ascii="Times New Roman" w:hAnsi="Times New Roman" w:eastAsia="仿宋_GB2312" w:cs="Times New Roman"/>
      <w:snapToGrid w:val="0"/>
      <w:kern w:val="2"/>
      <w:sz w:val="21"/>
      <w:szCs w:val="21"/>
      <w:lang w:val="en-US" w:eastAsia="zh-CN" w:bidi="ar-SA"/>
    </w:rPr>
  </w:style>
  <w:style w:type="paragraph" w:customStyle="1" w:styleId="692">
    <w:name w:val="文本框五号 Char"/>
    <w:semiHidden/>
    <w:uiPriority w:val="0"/>
    <w:pPr>
      <w:jc w:val="center"/>
    </w:pPr>
    <w:rPr>
      <w:rFonts w:ascii="Times New Roman" w:hAnsi="Times New Roman" w:eastAsia="仿宋_GB2312" w:cs="Times New Roman"/>
      <w:kern w:val="2"/>
      <w:sz w:val="21"/>
      <w:szCs w:val="21"/>
      <w:lang w:val="en-US" w:eastAsia="zh-CN" w:bidi="ar-SA"/>
    </w:rPr>
  </w:style>
  <w:style w:type="character" w:customStyle="1" w:styleId="693">
    <w:name w:val="文本框五号 Char Char Char"/>
    <w:semiHidden/>
    <w:uiPriority w:val="0"/>
    <w:rPr>
      <w:rFonts w:ascii="宋体" w:hAnsi="宋体" w:eastAsia="仿宋_GB2312" w:cs="Courier New"/>
      <w:kern w:val="2"/>
      <w:sz w:val="21"/>
      <w:szCs w:val="21"/>
      <w:lang w:val="en-US" w:eastAsia="zh-CN" w:bidi="ar-SA"/>
    </w:rPr>
  </w:style>
  <w:style w:type="character" w:customStyle="1" w:styleId="694">
    <w:name w:val="文本框五号 Char Char Char Char"/>
    <w:semiHidden/>
    <w:uiPriority w:val="0"/>
    <w:rPr>
      <w:rFonts w:ascii="宋体" w:hAnsi="宋体" w:eastAsia="仿宋_GB2312" w:cs="Courier New"/>
      <w:kern w:val="2"/>
      <w:sz w:val="21"/>
      <w:szCs w:val="21"/>
      <w:lang w:val="en-US" w:eastAsia="zh-CN" w:bidi="ar-SA"/>
    </w:rPr>
  </w:style>
  <w:style w:type="paragraph" w:customStyle="1" w:styleId="695">
    <w:name w:val="文本框五号1.5倍行距"/>
    <w:basedOn w:val="692"/>
    <w:semiHidden/>
    <w:uiPriority w:val="0"/>
    <w:pPr>
      <w:spacing w:line="360" w:lineRule="auto"/>
    </w:pPr>
  </w:style>
  <w:style w:type="character" w:customStyle="1" w:styleId="696">
    <w:name w:val="文本框五号1.5倍行距 Char Char"/>
    <w:semiHidden/>
    <w:uiPriority w:val="0"/>
    <w:rPr>
      <w:rFonts w:ascii="宋体" w:hAnsi="宋体" w:eastAsia="仿宋_GB2312" w:cs="Courier New"/>
      <w:kern w:val="2"/>
      <w:sz w:val="21"/>
      <w:szCs w:val="21"/>
      <w:lang w:val="en-US" w:eastAsia="zh-CN" w:bidi="ar-SA"/>
    </w:rPr>
  </w:style>
  <w:style w:type="character" w:customStyle="1" w:styleId="697">
    <w:name w:val="文本框小四 Char Char"/>
    <w:semiHidden/>
    <w:uiPriority w:val="0"/>
    <w:rPr>
      <w:rFonts w:ascii="宋体" w:hAnsi="宋体" w:eastAsia="仿宋_GB2312" w:cs="Courier New"/>
      <w:kern w:val="2"/>
      <w:sz w:val="24"/>
      <w:szCs w:val="24"/>
      <w:lang w:val="en-US" w:eastAsia="zh-CN" w:bidi="ar-SA"/>
    </w:rPr>
  </w:style>
  <w:style w:type="character" w:customStyle="1" w:styleId="698">
    <w:name w:val="样式 (西文) 宋体 (中文) 仿宋_GB2312 黑色"/>
    <w:semiHidden/>
    <w:uiPriority w:val="0"/>
    <w:rPr>
      <w:rFonts w:ascii="Times New Roman" w:hAnsi="Times New Roman" w:eastAsia="仿宋_GB2312" w:cs="Courier New"/>
      <w:color w:val="000000"/>
      <w:kern w:val="2"/>
      <w:sz w:val="32"/>
      <w:szCs w:val="32"/>
      <w:lang w:val="en-US" w:eastAsia="zh-CN" w:bidi="ar-SA"/>
    </w:rPr>
  </w:style>
  <w:style w:type="paragraph" w:customStyle="1" w:styleId="699">
    <w:name w:val="样式 标题 2 + 段后: 0.5 行"/>
    <w:basedOn w:val="3"/>
    <w:semiHidden/>
    <w:uiPriority w:val="0"/>
    <w:pPr>
      <w:keepNext w:val="0"/>
      <w:keepLines w:val="0"/>
      <w:numPr>
        <w:ilvl w:val="0"/>
        <w:numId w:val="0"/>
      </w:numPr>
      <w:tabs>
        <w:tab w:val="left" w:pos="630"/>
        <w:tab w:val="left" w:pos="1287"/>
        <w:tab w:val="left" w:pos="3920"/>
        <w:tab w:val="left" w:pos="5670"/>
        <w:tab w:val="clear" w:pos="780"/>
        <w:tab w:val="clear" w:pos="840"/>
        <w:tab w:val="clear" w:pos="1140"/>
        <w:tab w:val="clear" w:pos="1200"/>
        <w:tab w:val="clear" w:pos="1620"/>
        <w:tab w:val="clear" w:pos="2040"/>
        <w:tab w:val="clear" w:pos="6231"/>
      </w:tabs>
      <w:snapToGrid w:val="0"/>
      <w:spacing w:before="60" w:beforeLines="0" w:after="0" w:afterLines="0" w:line="240" w:lineRule="auto"/>
      <w:ind w:firstLine="567"/>
    </w:pPr>
    <w:rPr>
      <w:rFonts w:ascii="Times New Roman" w:hAnsi="Times New Roman" w:eastAsia="仿宋_GB2312"/>
      <w:color w:val="000000"/>
      <w:sz w:val="30"/>
      <w:szCs w:val="32"/>
    </w:rPr>
  </w:style>
  <w:style w:type="character" w:customStyle="1" w:styleId="700">
    <w:name w:val="样式 仿宋_GB2312 小四 黑色"/>
    <w:semiHidden/>
    <w:uiPriority w:val="0"/>
    <w:rPr>
      <w:rFonts w:ascii="Times New Roman" w:hAnsi="Times New Roman" w:eastAsia="仿宋_GB2312" w:cs="Courier New"/>
      <w:color w:val="000000"/>
      <w:kern w:val="2"/>
      <w:sz w:val="24"/>
      <w:szCs w:val="24"/>
      <w:lang w:val="en-US" w:eastAsia="zh-CN" w:bidi="ar-SA"/>
    </w:rPr>
  </w:style>
  <w:style w:type="paragraph" w:customStyle="1" w:styleId="701">
    <w:name w:val="样式 仿宋_GB2312 小四1"/>
    <w:basedOn w:val="1"/>
    <w:semiHidden/>
    <w:uiPriority w:val="0"/>
    <w:pPr>
      <w:adjustRightInd w:val="0"/>
      <w:spacing w:line="360" w:lineRule="auto"/>
      <w:ind w:firstLine="480" w:firstLineChars="200"/>
      <w:textAlignment w:val="baseline"/>
    </w:pPr>
    <w:rPr>
      <w:rFonts w:eastAsia="仿宋_GB2312"/>
      <w:kern w:val="0"/>
      <w:sz w:val="24"/>
    </w:rPr>
  </w:style>
  <w:style w:type="character" w:customStyle="1" w:styleId="702">
    <w:name w:val="样式 仿宋_GB2312 小四2"/>
    <w:semiHidden/>
    <w:uiPriority w:val="0"/>
    <w:rPr>
      <w:rFonts w:ascii="Times New Roman" w:hAnsi="Times New Roman" w:eastAsia="仿宋_GB2312" w:cs="Courier New"/>
      <w:kern w:val="2"/>
      <w:sz w:val="24"/>
      <w:szCs w:val="24"/>
      <w:lang w:val="en-US" w:eastAsia="zh-CN" w:bidi="ar-SA"/>
    </w:rPr>
  </w:style>
  <w:style w:type="paragraph" w:customStyle="1" w:styleId="703">
    <w:name w:val="样式 图表 + 首行缩进:  2 字符1"/>
    <w:basedOn w:val="1"/>
    <w:semiHidden/>
    <w:uiPriority w:val="0"/>
    <w:pPr>
      <w:adjustRightInd w:val="0"/>
      <w:snapToGrid w:val="0"/>
      <w:spacing w:before="48" w:beforeLines="20" w:after="48" w:afterLines="20"/>
      <w:ind w:left="-102" w:leftChars="-50" w:right="-105" w:rightChars="-50" w:hanging="3"/>
      <w:jc w:val="center"/>
    </w:pPr>
    <w:rPr>
      <w:rFonts w:eastAsia="仿宋_GB2312"/>
      <w:color w:val="000000"/>
    </w:rPr>
  </w:style>
  <w:style w:type="paragraph" w:customStyle="1" w:styleId="704">
    <w:name w:val="样式 正文缩进正文（首行缩进两字）正文（首行缩进两字） Char Char Char Char Char Char Char..."/>
    <w:basedOn w:val="4"/>
    <w:semiHidden/>
    <w:uiPriority w:val="0"/>
    <w:pPr>
      <w:tabs>
        <w:tab w:val="left" w:pos="3360"/>
      </w:tabs>
      <w:adjustRightInd w:val="0"/>
      <w:snapToGrid w:val="0"/>
      <w:spacing w:line="360" w:lineRule="auto"/>
      <w:ind w:firstLine="480"/>
      <w:textAlignment w:val="baseline"/>
    </w:pPr>
    <w:rPr>
      <w:rFonts w:ascii="楷体_GB2312" w:eastAsia="楷体_GB2312"/>
      <w:snapToGrid w:val="0"/>
      <w:kern w:val="0"/>
      <w:sz w:val="24"/>
    </w:rPr>
  </w:style>
  <w:style w:type="paragraph" w:customStyle="1" w:styleId="705">
    <w:name w:val="样式19"/>
    <w:basedOn w:val="3"/>
    <w:semiHidden/>
    <w:uiPriority w:val="0"/>
    <w:pPr>
      <w:keepNext w:val="0"/>
      <w:keepLines w:val="0"/>
      <w:numPr>
        <w:ilvl w:val="0"/>
        <w:numId w:val="0"/>
      </w:numPr>
      <w:tabs>
        <w:tab w:val="left" w:pos="630"/>
        <w:tab w:val="left" w:pos="1287"/>
        <w:tab w:val="left" w:pos="3920"/>
        <w:tab w:val="left" w:pos="5670"/>
        <w:tab w:val="clear" w:pos="780"/>
        <w:tab w:val="clear" w:pos="840"/>
        <w:tab w:val="clear" w:pos="1140"/>
        <w:tab w:val="clear" w:pos="1200"/>
        <w:tab w:val="clear" w:pos="1620"/>
        <w:tab w:val="clear" w:pos="2040"/>
        <w:tab w:val="clear" w:pos="6231"/>
      </w:tabs>
      <w:adjustRightInd/>
      <w:snapToGrid w:val="0"/>
      <w:spacing w:before="60" w:beforeLines="0" w:after="60" w:afterLines="0" w:line="520" w:lineRule="exact"/>
      <w:ind w:firstLine="567"/>
    </w:pPr>
    <w:rPr>
      <w:rFonts w:ascii="Times New Roman" w:hAnsi="Times New Roman" w:eastAsia="华文行楷"/>
      <w:bCs/>
      <w:color w:val="000000"/>
      <w:kern w:val="0"/>
      <w:sz w:val="30"/>
      <w:szCs w:val="30"/>
    </w:rPr>
  </w:style>
  <w:style w:type="paragraph" w:customStyle="1" w:styleId="706">
    <w:name w:val="依据文字"/>
    <w:basedOn w:val="57"/>
    <w:semiHidden/>
    <w:uiPriority w:val="0"/>
    <w:pPr>
      <w:tabs>
        <w:tab w:val="left" w:pos="420"/>
        <w:tab w:val="left" w:pos="870"/>
        <w:tab w:val="left" w:pos="3150"/>
      </w:tabs>
      <w:autoSpaceDE w:val="0"/>
      <w:autoSpaceDN w:val="0"/>
      <w:adjustRightInd w:val="0"/>
      <w:snapToGrid w:val="0"/>
      <w:spacing w:before="60" w:after="0" w:line="336" w:lineRule="auto"/>
      <w:ind w:left="0" w:leftChars="0" w:firstLine="527" w:firstLineChars="0"/>
      <w:jc w:val="both"/>
      <w:textAlignment w:val="baseline"/>
    </w:pPr>
    <w:rPr>
      <w:rFonts w:ascii="宋体"/>
      <w:szCs w:val="20"/>
    </w:rPr>
  </w:style>
  <w:style w:type="paragraph" w:customStyle="1" w:styleId="707">
    <w:name w:val="右侧"/>
    <w:semiHidden/>
    <w:uiPriority w:val="0"/>
    <w:pPr>
      <w:spacing w:line="280" w:lineRule="exact"/>
      <w:jc w:val="right"/>
    </w:pPr>
    <w:rPr>
      <w:rFonts w:ascii="Batang" w:hAnsi="Batang" w:eastAsia="宋体" w:cs="Times New Roman"/>
      <w:color w:val="000000"/>
      <w:kern w:val="0"/>
      <w:sz w:val="18"/>
      <w:szCs w:val="20"/>
      <w:lang w:val="en-US" w:eastAsia="zh-CN" w:bidi="ar-SA"/>
    </w:rPr>
  </w:style>
  <w:style w:type="paragraph" w:customStyle="1" w:styleId="708">
    <w:name w:val="右五"/>
    <w:basedOn w:val="406"/>
    <w:next w:val="1"/>
    <w:semiHidden/>
    <w:uiPriority w:val="0"/>
    <w:pPr>
      <w:ind w:firstLine="0" w:firstLineChars="0"/>
      <w:jc w:val="right"/>
    </w:pPr>
  </w:style>
  <w:style w:type="paragraph" w:customStyle="1" w:styleId="709">
    <w:name w:val="湛江码头表"/>
    <w:basedOn w:val="1"/>
    <w:semiHidden/>
    <w:uiPriority w:val="0"/>
    <w:pPr>
      <w:jc w:val="center"/>
    </w:pPr>
    <w:rPr>
      <w:rFonts w:eastAsia="仿宋_GB2312"/>
      <w:kern w:val="0"/>
      <w:lang w:eastAsia="zh-TW"/>
    </w:rPr>
  </w:style>
  <w:style w:type="paragraph" w:customStyle="1" w:styleId="710">
    <w:name w:val="正文2"/>
    <w:uiPriority w:val="0"/>
    <w:pPr>
      <w:tabs>
        <w:tab w:val="right" w:pos="1474"/>
      </w:tabs>
      <w:spacing w:line="360" w:lineRule="auto"/>
    </w:pPr>
    <w:rPr>
      <w:rFonts w:ascii="Times New Roman" w:hAnsi="Times New Roman" w:eastAsia="宋体" w:cs="Times New Roman"/>
      <w:kern w:val="0"/>
      <w:sz w:val="24"/>
      <w:szCs w:val="20"/>
      <w:lang w:val="en-US" w:eastAsia="zh-CN" w:bidi="ar-SA"/>
    </w:rPr>
  </w:style>
  <w:style w:type="paragraph" w:customStyle="1" w:styleId="711">
    <w:name w:val="正文单倍行距"/>
    <w:basedOn w:val="1"/>
    <w:semiHidden/>
    <w:uiPriority w:val="0"/>
    <w:pPr>
      <w:tabs>
        <w:tab w:val="left" w:pos="8640"/>
      </w:tabs>
      <w:snapToGrid w:val="0"/>
      <w:ind w:firstLine="200" w:firstLineChars="200"/>
    </w:pPr>
    <w:rPr>
      <w:rFonts w:eastAsia="仿宋_GB2312"/>
      <w:sz w:val="24"/>
    </w:rPr>
  </w:style>
  <w:style w:type="paragraph" w:customStyle="1" w:styleId="712">
    <w:name w:val="正文仿宋"/>
    <w:basedOn w:val="1"/>
    <w:semiHidden/>
    <w:uiPriority w:val="0"/>
    <w:pPr>
      <w:adjustRightInd w:val="0"/>
      <w:snapToGrid w:val="0"/>
      <w:spacing w:line="360" w:lineRule="auto"/>
      <w:ind w:firstLine="567"/>
    </w:pPr>
    <w:rPr>
      <w:rFonts w:eastAsia="仿宋_GB2312"/>
      <w:snapToGrid w:val="0"/>
      <w:kern w:val="0"/>
      <w:sz w:val="24"/>
      <w:szCs w:val="20"/>
    </w:rPr>
  </w:style>
  <w:style w:type="paragraph" w:customStyle="1" w:styleId="713">
    <w:name w:val="正文仿宋小四"/>
    <w:basedOn w:val="1"/>
    <w:semiHidden/>
    <w:uiPriority w:val="0"/>
    <w:pPr>
      <w:adjustRightInd w:val="0"/>
      <w:snapToGrid w:val="0"/>
      <w:spacing w:line="360" w:lineRule="auto"/>
      <w:ind w:firstLine="480" w:firstLineChars="200"/>
    </w:pPr>
    <w:rPr>
      <w:rFonts w:eastAsia="仿宋_GB2312"/>
      <w:sz w:val="24"/>
    </w:rPr>
  </w:style>
  <w:style w:type="paragraph" w:customStyle="1" w:styleId="714">
    <w:name w:val="正文首行缩进 2 + Times New Roman"/>
    <w:basedOn w:val="1"/>
    <w:semiHidden/>
    <w:uiPriority w:val="0"/>
    <w:pPr>
      <w:tabs>
        <w:tab w:val="left" w:pos="0"/>
        <w:tab w:val="left" w:pos="870"/>
        <w:tab w:val="left" w:pos="3150"/>
      </w:tabs>
      <w:autoSpaceDE w:val="0"/>
      <w:autoSpaceDN w:val="0"/>
      <w:spacing w:line="312" w:lineRule="auto"/>
      <w:ind w:firstLine="480" w:firstLineChars="200"/>
    </w:pPr>
    <w:rPr>
      <w:kern w:val="0"/>
      <w:sz w:val="24"/>
    </w:rPr>
  </w:style>
  <w:style w:type="paragraph" w:customStyle="1" w:styleId="715">
    <w:name w:val="正文图"/>
    <w:basedOn w:val="1"/>
    <w:semiHidden/>
    <w:uiPriority w:val="0"/>
    <w:pPr>
      <w:adjustRightInd w:val="0"/>
      <w:snapToGrid w:val="0"/>
      <w:spacing w:before="40"/>
      <w:jc w:val="center"/>
      <w:textAlignment w:val="baseline"/>
    </w:pPr>
    <w:rPr>
      <w:rFonts w:ascii="宋体"/>
      <w:kern w:val="0"/>
      <w:sz w:val="24"/>
      <w:szCs w:val="20"/>
    </w:rPr>
  </w:style>
  <w:style w:type="paragraph" w:customStyle="1" w:styleId="716">
    <w:name w:val="正文图竖五"/>
    <w:basedOn w:val="1"/>
    <w:semiHidden/>
    <w:qFormat/>
    <w:uiPriority w:val="0"/>
    <w:pPr>
      <w:jc w:val="center"/>
    </w:pPr>
    <w:rPr>
      <w:rFonts w:eastAsia="仿宋_GB2312"/>
      <w:color w:val="000000"/>
      <w:kern w:val="0"/>
      <w:szCs w:val="21"/>
    </w:rPr>
  </w:style>
  <w:style w:type="paragraph" w:customStyle="1" w:styleId="717">
    <w:name w:val="正文图五"/>
    <w:basedOn w:val="1"/>
    <w:semiHidden/>
    <w:uiPriority w:val="0"/>
    <w:pPr>
      <w:adjustRightInd w:val="0"/>
      <w:snapToGrid w:val="0"/>
      <w:jc w:val="center"/>
    </w:pPr>
    <w:rPr>
      <w:rFonts w:eastAsia="仿宋_GB2312"/>
      <w:snapToGrid w:val="0"/>
      <w:spacing w:val="6"/>
      <w:szCs w:val="20"/>
    </w:rPr>
  </w:style>
  <w:style w:type="paragraph" w:customStyle="1" w:styleId="718">
    <w:name w:val="正文图小四"/>
    <w:basedOn w:val="1"/>
    <w:semiHidden/>
    <w:uiPriority w:val="0"/>
    <w:pPr>
      <w:adjustRightInd w:val="0"/>
      <w:snapToGrid w:val="0"/>
      <w:jc w:val="center"/>
      <w:textAlignment w:val="baseline"/>
    </w:pPr>
    <w:rPr>
      <w:rFonts w:ascii="宋体"/>
      <w:kern w:val="0"/>
      <w:sz w:val="24"/>
    </w:rPr>
  </w:style>
  <w:style w:type="paragraph" w:customStyle="1" w:styleId="719">
    <w:name w:val="注："/>
    <w:next w:val="1"/>
    <w:semiHidden/>
    <w:uiPriority w:val="0"/>
    <w:pPr>
      <w:widowControl w:val="0"/>
      <w:tabs>
        <w:tab w:val="left" w:pos="895"/>
      </w:tabs>
      <w:autoSpaceDE w:val="0"/>
      <w:autoSpaceDN w:val="0"/>
      <w:ind w:left="895" w:hanging="420"/>
      <w:jc w:val="both"/>
    </w:pPr>
    <w:rPr>
      <w:rFonts w:ascii="宋体" w:hAnsi="Times New Roman" w:eastAsia="宋体" w:cs="Times New Roman"/>
      <w:kern w:val="0"/>
      <w:sz w:val="18"/>
      <w:szCs w:val="20"/>
      <w:lang w:val="en-US" w:eastAsia="zh-CN" w:bidi="ar-SA"/>
    </w:rPr>
  </w:style>
  <w:style w:type="paragraph" w:customStyle="1" w:styleId="720">
    <w:name w:val="样式9"/>
    <w:basedOn w:val="5"/>
    <w:semiHidden/>
    <w:uiPriority w:val="0"/>
    <w:pPr>
      <w:numPr>
        <w:ilvl w:val="0"/>
        <w:numId w:val="0"/>
      </w:numPr>
      <w:tabs>
        <w:tab w:val="clear" w:pos="780"/>
        <w:tab w:val="clear" w:pos="840"/>
        <w:tab w:val="clear" w:pos="1140"/>
        <w:tab w:val="clear" w:pos="1200"/>
        <w:tab w:val="clear" w:pos="1620"/>
        <w:tab w:val="clear" w:pos="2040"/>
        <w:tab w:val="clear" w:pos="6231"/>
      </w:tabs>
      <w:adjustRightInd w:val="0"/>
      <w:snapToGrid w:val="0"/>
      <w:spacing w:before="0" w:beforeLines="0" w:after="0" w:afterLines="0" w:line="360" w:lineRule="auto"/>
    </w:pPr>
    <w:rPr>
      <w:bCs/>
      <w:sz w:val="28"/>
      <w:szCs w:val="28"/>
    </w:rPr>
  </w:style>
  <w:style w:type="paragraph" w:customStyle="1" w:styleId="721">
    <w:name w:val="样式 标题 1标题 1宋旭峰标题1章节H1h11headingHeader 1st Pageh1 chapte..."/>
    <w:basedOn w:val="2"/>
    <w:semiHidden/>
    <w:uiPriority w:val="0"/>
    <w:pPr>
      <w:numPr>
        <w:numId w:val="0"/>
      </w:numPr>
      <w:tabs>
        <w:tab w:val="clear" w:pos="294"/>
        <w:tab w:val="clear" w:pos="720"/>
        <w:tab w:val="clear" w:pos="1080"/>
        <w:tab w:val="clear" w:pos="1440"/>
      </w:tabs>
      <w:spacing w:before="0" w:beforeLines="0" w:after="156" w:afterLines="0" w:line="360" w:lineRule="auto"/>
      <w:jc w:val="left"/>
    </w:pPr>
    <w:rPr>
      <w:rFonts w:ascii="Times New Roman" w:hAnsi="Times New Roman" w:eastAsia="黑体"/>
      <w:bCs/>
      <w:kern w:val="2"/>
      <w:sz w:val="32"/>
      <w:szCs w:val="30"/>
    </w:rPr>
  </w:style>
  <w:style w:type="character" w:customStyle="1" w:styleId="722">
    <w:name w:val="style81"/>
    <w:semiHidden/>
    <w:uiPriority w:val="0"/>
    <w:rPr>
      <w:rFonts w:ascii="宋体" w:hAnsi="宋体" w:eastAsia="黑体" w:cs="宋体"/>
      <w:kern w:val="2"/>
      <w:sz w:val="24"/>
      <w:szCs w:val="24"/>
      <w:lang w:val="en-US" w:eastAsia="zh-CN" w:bidi="ar-SA"/>
    </w:rPr>
  </w:style>
  <w:style w:type="paragraph" w:customStyle="1" w:styleId="723">
    <w:name w:val="puce"/>
    <w:basedOn w:val="1"/>
    <w:semiHidden/>
    <w:uiPriority w:val="0"/>
    <w:pPr>
      <w:widowControl/>
      <w:tabs>
        <w:tab w:val="left" w:pos="360"/>
        <w:tab w:val="left" w:pos="1200"/>
      </w:tabs>
      <w:adjustRightInd w:val="0"/>
      <w:snapToGrid w:val="0"/>
      <w:spacing w:line="360" w:lineRule="auto"/>
      <w:ind w:firstLine="480" w:firstLineChars="200"/>
    </w:pPr>
    <w:rPr>
      <w:rFonts w:ascii="Arial" w:hAnsi="Arial"/>
      <w:snapToGrid w:val="0"/>
      <w:color w:val="FF00FF"/>
      <w:kern w:val="0"/>
      <w:sz w:val="24"/>
    </w:rPr>
  </w:style>
  <w:style w:type="paragraph" w:customStyle="1" w:styleId="724">
    <w:name w:val="Content"/>
    <w:basedOn w:val="1"/>
    <w:semiHidden/>
    <w:uiPriority w:val="0"/>
    <w:pPr>
      <w:widowControl/>
      <w:tabs>
        <w:tab w:val="left" w:pos="9480"/>
        <w:tab w:val="left" w:pos="9600"/>
      </w:tabs>
      <w:spacing w:before="120" w:after="120" w:line="240" w:lineRule="atLeast"/>
      <w:jc w:val="center"/>
    </w:pPr>
    <w:rPr>
      <w:rFonts w:ascii="Arial" w:hAnsi="Arial"/>
      <w:b/>
      <w:kern w:val="0"/>
      <w:sz w:val="28"/>
      <w:szCs w:val="20"/>
      <w:lang w:val="fr-FR"/>
    </w:rPr>
  </w:style>
  <w:style w:type="paragraph" w:customStyle="1" w:styleId="725">
    <w:name w:val="couv"/>
    <w:basedOn w:val="1"/>
    <w:semiHidden/>
    <w:uiPriority w:val="0"/>
    <w:pPr>
      <w:widowControl/>
      <w:spacing w:before="120" w:after="120"/>
      <w:ind w:firstLine="200" w:firstLineChars="200"/>
      <w:jc w:val="center"/>
    </w:pPr>
    <w:rPr>
      <w:b/>
      <w:kern w:val="0"/>
      <w:sz w:val="40"/>
      <w:szCs w:val="20"/>
      <w:lang w:val="en-GB"/>
    </w:rPr>
  </w:style>
  <w:style w:type="paragraph" w:customStyle="1" w:styleId="726">
    <w:name w:val="MG"/>
    <w:basedOn w:val="2"/>
    <w:semiHidden/>
    <w:uiPriority w:val="0"/>
    <w:pPr>
      <w:keepLines w:val="0"/>
      <w:widowControl/>
      <w:numPr>
        <w:numId w:val="0"/>
      </w:numPr>
      <w:tabs>
        <w:tab w:val="left" w:pos="2260"/>
        <w:tab w:val="left" w:pos="2820"/>
        <w:tab w:val="left" w:pos="3420"/>
        <w:tab w:val="clear" w:pos="294"/>
        <w:tab w:val="clear" w:pos="720"/>
        <w:tab w:val="clear" w:pos="1080"/>
        <w:tab w:val="clear" w:pos="1440"/>
      </w:tabs>
      <w:spacing w:before="440" w:beforeLines="0" w:after="0" w:afterLines="0"/>
      <w:ind w:left="851" w:right="-28" w:hanging="851"/>
      <w:jc w:val="both"/>
    </w:pPr>
    <w:rPr>
      <w:rFonts w:ascii="Arial" w:hAnsi="Arial"/>
      <w:kern w:val="0"/>
      <w:sz w:val="22"/>
      <w:szCs w:val="20"/>
      <w:lang w:val="en-GB"/>
    </w:rPr>
  </w:style>
  <w:style w:type="paragraph" w:customStyle="1" w:styleId="727">
    <w:name w:val="M"/>
    <w:basedOn w:val="2"/>
    <w:semiHidden/>
    <w:uiPriority w:val="0"/>
    <w:pPr>
      <w:keepLines w:val="0"/>
      <w:widowControl/>
      <w:numPr>
        <w:numId w:val="0"/>
      </w:numPr>
      <w:tabs>
        <w:tab w:val="left" w:pos="2260"/>
        <w:tab w:val="left" w:pos="2820"/>
        <w:tab w:val="left" w:pos="3420"/>
        <w:tab w:val="clear" w:pos="294"/>
        <w:tab w:val="clear" w:pos="720"/>
        <w:tab w:val="clear" w:pos="1080"/>
        <w:tab w:val="clear" w:pos="1440"/>
      </w:tabs>
      <w:spacing w:before="440" w:beforeLines="0" w:after="0" w:afterLines="0"/>
      <w:ind w:left="851" w:right="-28" w:hanging="851"/>
      <w:jc w:val="both"/>
    </w:pPr>
    <w:rPr>
      <w:rFonts w:ascii="Arial" w:hAnsi="Arial"/>
      <w:b w:val="0"/>
      <w:kern w:val="0"/>
      <w:sz w:val="22"/>
      <w:szCs w:val="20"/>
      <w:lang w:val="en-GB"/>
    </w:rPr>
  </w:style>
  <w:style w:type="paragraph" w:customStyle="1" w:styleId="728">
    <w:name w:val="GM"/>
    <w:basedOn w:val="2"/>
    <w:semiHidden/>
    <w:uiPriority w:val="0"/>
    <w:pPr>
      <w:keepLines w:val="0"/>
      <w:widowControl/>
      <w:numPr>
        <w:numId w:val="0"/>
      </w:numPr>
      <w:tabs>
        <w:tab w:val="left" w:pos="2260"/>
        <w:tab w:val="left" w:pos="2820"/>
        <w:tab w:val="left" w:pos="3420"/>
        <w:tab w:val="clear" w:pos="294"/>
        <w:tab w:val="clear" w:pos="720"/>
        <w:tab w:val="clear" w:pos="1080"/>
        <w:tab w:val="clear" w:pos="1440"/>
      </w:tabs>
      <w:spacing w:before="240" w:beforeLines="0" w:after="0" w:afterLines="0"/>
      <w:ind w:left="851" w:right="-28" w:hanging="851"/>
      <w:jc w:val="both"/>
    </w:pPr>
    <w:rPr>
      <w:rFonts w:ascii="Arial" w:hAnsi="Arial"/>
      <w:kern w:val="0"/>
      <w:sz w:val="22"/>
      <w:szCs w:val="20"/>
      <w:lang w:val="en-GB"/>
    </w:rPr>
  </w:style>
  <w:style w:type="paragraph" w:customStyle="1" w:styleId="729">
    <w:name w:val="Texte"/>
    <w:basedOn w:val="1"/>
    <w:semiHidden/>
    <w:uiPriority w:val="0"/>
    <w:pPr>
      <w:widowControl/>
      <w:spacing w:before="120" w:after="120"/>
      <w:ind w:left="851" w:firstLine="200" w:firstLineChars="200"/>
    </w:pPr>
    <w:rPr>
      <w:rFonts w:ascii="Arial" w:hAnsi="Arial"/>
      <w:kern w:val="0"/>
      <w:sz w:val="22"/>
      <w:szCs w:val="20"/>
      <w:lang w:val="en-GB"/>
    </w:rPr>
  </w:style>
  <w:style w:type="paragraph" w:customStyle="1" w:styleId="730">
    <w:name w:val="ENUM"/>
    <w:basedOn w:val="1"/>
    <w:semiHidden/>
    <w:uiPriority w:val="0"/>
    <w:pPr>
      <w:widowControl/>
      <w:tabs>
        <w:tab w:val="left" w:pos="840"/>
        <w:tab w:val="left" w:pos="1418"/>
      </w:tabs>
      <w:spacing w:before="60" w:after="60"/>
      <w:ind w:left="1418" w:hanging="284" w:firstLineChars="200"/>
    </w:pPr>
    <w:rPr>
      <w:rFonts w:ascii="Arial" w:hAnsi="Arial"/>
      <w:kern w:val="0"/>
      <w:sz w:val="22"/>
      <w:szCs w:val="20"/>
      <w:lang w:val="en-GB"/>
    </w:rPr>
  </w:style>
  <w:style w:type="paragraph" w:customStyle="1" w:styleId="731">
    <w:name w:val="標準インデント　2"/>
    <w:basedOn w:val="4"/>
    <w:semiHidden/>
    <w:uiPriority w:val="0"/>
    <w:pPr>
      <w:overflowPunct w:val="0"/>
      <w:autoSpaceDE w:val="0"/>
      <w:autoSpaceDN w:val="0"/>
      <w:adjustRightInd w:val="0"/>
      <w:ind w:left="2900" w:hanging="2038" w:firstLineChars="0"/>
      <w:jc w:val="left"/>
      <w:textAlignment w:val="baseline"/>
    </w:pPr>
    <w:rPr>
      <w:rFonts w:eastAsia="MS Mincho"/>
      <w:kern w:val="0"/>
      <w:sz w:val="20"/>
      <w:szCs w:val="20"/>
      <w:lang w:eastAsia="ja-JP"/>
    </w:rPr>
  </w:style>
  <w:style w:type="paragraph" w:customStyle="1" w:styleId="732">
    <w:name w:val="——"/>
    <w:basedOn w:val="729"/>
    <w:semiHidden/>
    <w:uiPriority w:val="0"/>
    <w:pPr>
      <w:ind w:left="0" w:firstLine="660" w:firstLineChars="300"/>
    </w:pPr>
  </w:style>
  <w:style w:type="paragraph" w:customStyle="1" w:styleId="733">
    <w:name w:val="标-4"/>
    <w:basedOn w:val="1"/>
    <w:semiHidden/>
    <w:uiPriority w:val="0"/>
    <w:pPr>
      <w:spacing w:before="120"/>
      <w:ind w:left="851" w:hanging="851"/>
    </w:pPr>
    <w:rPr>
      <w:sz w:val="24"/>
      <w:szCs w:val="20"/>
    </w:rPr>
  </w:style>
  <w:style w:type="paragraph" w:customStyle="1" w:styleId="734">
    <w:name w:val="日期1"/>
    <w:basedOn w:val="1"/>
    <w:next w:val="1"/>
    <w:semiHidden/>
    <w:uiPriority w:val="0"/>
    <w:pPr>
      <w:adjustRightInd w:val="0"/>
      <w:jc w:val="left"/>
      <w:textAlignment w:val="baseline"/>
    </w:pPr>
    <w:rPr>
      <w:rFonts w:ascii="宋体"/>
      <w:spacing w:val="24"/>
      <w:kern w:val="24"/>
      <w:sz w:val="24"/>
      <w:szCs w:val="20"/>
    </w:rPr>
  </w:style>
  <w:style w:type="paragraph" w:customStyle="1" w:styleId="735">
    <w:name w:val="font0"/>
    <w:basedOn w:val="1"/>
    <w:semiHidden/>
    <w:uiPriority w:val="0"/>
    <w:pPr>
      <w:widowControl/>
      <w:spacing w:before="100" w:beforeAutospacing="1" w:after="100" w:afterAutospacing="1"/>
      <w:jc w:val="left"/>
    </w:pPr>
    <w:rPr>
      <w:rFonts w:hint="eastAsia" w:ascii="宋体" w:hAnsi="宋体" w:cs="Arial Unicode MS"/>
      <w:kern w:val="0"/>
      <w:sz w:val="24"/>
    </w:rPr>
  </w:style>
  <w:style w:type="paragraph" w:customStyle="1" w:styleId="736">
    <w:name w:val="font6"/>
    <w:basedOn w:val="1"/>
    <w:uiPriority w:val="0"/>
    <w:pPr>
      <w:widowControl/>
      <w:spacing w:before="100" w:beforeAutospacing="1" w:after="100" w:afterAutospacing="1"/>
      <w:jc w:val="left"/>
    </w:pPr>
    <w:rPr>
      <w:rFonts w:eastAsia="Arial Unicode MS"/>
      <w:kern w:val="0"/>
      <w:sz w:val="24"/>
    </w:rPr>
  </w:style>
  <w:style w:type="paragraph" w:customStyle="1" w:styleId="737">
    <w:name w:val="font7"/>
    <w:basedOn w:val="1"/>
    <w:uiPriority w:val="0"/>
    <w:pPr>
      <w:widowControl/>
      <w:spacing w:before="100" w:beforeAutospacing="1" w:after="100" w:afterAutospacing="1"/>
      <w:jc w:val="left"/>
    </w:pPr>
    <w:rPr>
      <w:rFonts w:eastAsia="Arial Unicode MS"/>
      <w:kern w:val="0"/>
      <w:sz w:val="24"/>
    </w:rPr>
  </w:style>
  <w:style w:type="paragraph" w:customStyle="1" w:styleId="738">
    <w:name w:val="font9"/>
    <w:basedOn w:val="1"/>
    <w:uiPriority w:val="0"/>
    <w:pPr>
      <w:widowControl/>
      <w:spacing w:before="100" w:beforeAutospacing="1" w:after="100" w:afterAutospacing="1"/>
      <w:jc w:val="left"/>
    </w:pPr>
    <w:rPr>
      <w:rFonts w:hint="eastAsia" w:ascii="宋体" w:hAnsi="宋体" w:cs="Arial Unicode MS"/>
      <w:b/>
      <w:bCs/>
      <w:color w:val="000000"/>
      <w:kern w:val="0"/>
      <w:sz w:val="18"/>
      <w:szCs w:val="18"/>
    </w:rPr>
  </w:style>
  <w:style w:type="paragraph" w:customStyle="1" w:styleId="739">
    <w:name w:val="font11"/>
    <w:basedOn w:val="1"/>
    <w:uiPriority w:val="0"/>
    <w:pPr>
      <w:widowControl/>
      <w:spacing w:before="100" w:beforeAutospacing="1" w:after="100" w:afterAutospacing="1"/>
      <w:jc w:val="left"/>
    </w:pPr>
    <w:rPr>
      <w:rFonts w:hint="eastAsia" w:ascii="宋体" w:hAnsi="宋体" w:cs="Arial Unicode MS"/>
      <w:kern w:val="0"/>
      <w:sz w:val="24"/>
    </w:rPr>
  </w:style>
  <w:style w:type="paragraph" w:customStyle="1" w:styleId="740">
    <w:name w:val="font12"/>
    <w:basedOn w:val="1"/>
    <w:semiHidden/>
    <w:uiPriority w:val="0"/>
    <w:pPr>
      <w:widowControl/>
      <w:spacing w:before="100" w:beforeAutospacing="1" w:after="100" w:afterAutospacing="1"/>
      <w:jc w:val="left"/>
    </w:pPr>
    <w:rPr>
      <w:rFonts w:hint="eastAsia" w:ascii="宋体" w:hAnsi="宋体" w:cs="Arial Unicode MS"/>
      <w:color w:val="000000"/>
      <w:kern w:val="0"/>
      <w:sz w:val="24"/>
    </w:rPr>
  </w:style>
  <w:style w:type="paragraph" w:customStyle="1" w:styleId="741">
    <w:name w:val="xl53"/>
    <w:basedOn w:val="1"/>
    <w:uiPriority w:val="0"/>
    <w:pPr>
      <w:widowControl/>
      <w:pBdr>
        <w:left w:val="single" w:color="auto" w:sz="4" w:space="0"/>
        <w:bottom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742">
    <w:name w:val="xl54"/>
    <w:basedOn w:val="1"/>
    <w:semiHidden/>
    <w:uiPriority w:val="0"/>
    <w:pPr>
      <w:widowControl/>
      <w:pBdr>
        <w:left w:val="single" w:color="auto" w:sz="4" w:space="0"/>
        <w:bottom w:val="single" w:color="auto" w:sz="4" w:space="0"/>
      </w:pBdr>
      <w:spacing w:before="100" w:beforeAutospacing="1" w:after="100" w:afterAutospacing="1"/>
      <w:jc w:val="left"/>
      <w:textAlignment w:val="center"/>
    </w:pPr>
    <w:rPr>
      <w:rFonts w:ascii="Arial Unicode MS" w:hAnsi="Arial Unicode MS" w:eastAsia="Arial Unicode MS" w:cs="Arial Unicode MS"/>
      <w:kern w:val="0"/>
      <w:sz w:val="22"/>
      <w:szCs w:val="22"/>
    </w:rPr>
  </w:style>
  <w:style w:type="paragraph" w:customStyle="1" w:styleId="743">
    <w:name w:val="xl55"/>
    <w:basedOn w:val="1"/>
    <w:semiHidden/>
    <w:uiPriority w:val="0"/>
    <w:pPr>
      <w:widowControl/>
      <w:pBdr>
        <w:left w:val="single" w:color="auto" w:sz="4" w:space="0"/>
        <w:bottom w:val="single" w:color="auto" w:sz="4" w:space="0"/>
      </w:pBdr>
      <w:spacing w:before="100" w:beforeAutospacing="1" w:after="100" w:afterAutospacing="1"/>
      <w:jc w:val="left"/>
      <w:textAlignment w:val="center"/>
    </w:pPr>
    <w:rPr>
      <w:rFonts w:eastAsia="Arial Unicode MS"/>
      <w:kern w:val="0"/>
      <w:sz w:val="22"/>
      <w:szCs w:val="22"/>
    </w:rPr>
  </w:style>
  <w:style w:type="paragraph" w:customStyle="1" w:styleId="744">
    <w:name w:val="xl56"/>
    <w:basedOn w:val="1"/>
    <w:semiHidden/>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745">
    <w:name w:val="xl57"/>
    <w:basedOn w:val="1"/>
    <w:semiHidden/>
    <w:uiPriority w:val="0"/>
    <w:pPr>
      <w:widowControl/>
      <w:pBdr>
        <w:top w:val="single" w:color="auto" w:sz="4" w:space="0"/>
        <w:left w:val="single" w:color="auto" w:sz="8" w:space="0"/>
        <w:bottom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746">
    <w:name w:val="xl58"/>
    <w:basedOn w:val="1"/>
    <w:semiHidden/>
    <w:uiPriority w:val="0"/>
    <w:pPr>
      <w:widowControl/>
      <w:pBdr>
        <w:top w:val="single" w:color="auto" w:sz="4" w:space="0"/>
        <w:left w:val="single" w:color="auto" w:sz="8" w:space="0"/>
        <w:bottom w:val="single" w:color="auto" w:sz="4" w:space="0"/>
      </w:pBdr>
      <w:shd w:val="clear" w:color="auto" w:fill="FFFFFF"/>
      <w:spacing w:before="100" w:beforeAutospacing="1" w:after="100" w:afterAutospacing="1"/>
      <w:jc w:val="center"/>
      <w:textAlignment w:val="center"/>
    </w:pPr>
    <w:rPr>
      <w:rFonts w:eastAsia="Arial Unicode MS"/>
      <w:kern w:val="0"/>
      <w:sz w:val="22"/>
      <w:szCs w:val="22"/>
    </w:rPr>
  </w:style>
  <w:style w:type="paragraph" w:customStyle="1" w:styleId="747">
    <w:name w:val="xl59"/>
    <w:basedOn w:val="1"/>
    <w:semiHidden/>
    <w:uiPriority w:val="0"/>
    <w:pPr>
      <w:widowControl/>
      <w:pBdr>
        <w:top w:val="single" w:color="auto" w:sz="4" w:space="0"/>
        <w:left w:val="single" w:color="auto" w:sz="8" w:space="0"/>
        <w:bottom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748">
    <w:name w:val="xl61"/>
    <w:basedOn w:val="1"/>
    <w:semiHidden/>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Arial Unicode MS" w:hAnsi="Arial Unicode MS" w:eastAsia="Arial Unicode MS" w:cs="Arial Unicode MS"/>
      <w:kern w:val="0"/>
      <w:sz w:val="22"/>
      <w:szCs w:val="22"/>
    </w:rPr>
  </w:style>
  <w:style w:type="paragraph" w:customStyle="1" w:styleId="749">
    <w:name w:val="xl62"/>
    <w:basedOn w:val="1"/>
    <w:semiHidden/>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750">
    <w:name w:val="xl63"/>
    <w:basedOn w:val="1"/>
    <w:semiHidden/>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eastAsia="Arial Unicode MS"/>
      <w:kern w:val="0"/>
      <w:sz w:val="22"/>
      <w:szCs w:val="22"/>
    </w:rPr>
  </w:style>
  <w:style w:type="paragraph" w:customStyle="1" w:styleId="751">
    <w:name w:val="xl64"/>
    <w:basedOn w:val="1"/>
    <w:semiHidden/>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Arial Unicode MS" w:hAnsi="Arial Unicode MS" w:eastAsia="Arial Unicode MS" w:cs="Arial Unicode MS"/>
      <w:kern w:val="0"/>
      <w:sz w:val="22"/>
      <w:szCs w:val="22"/>
    </w:rPr>
  </w:style>
  <w:style w:type="paragraph" w:customStyle="1" w:styleId="752">
    <w:name w:val="xl66"/>
    <w:basedOn w:val="1"/>
    <w:semiHidden/>
    <w:uiPriority w:val="0"/>
    <w:pPr>
      <w:widowControl/>
      <w:pBdr>
        <w:top w:val="single" w:color="auto" w:sz="4" w:space="0"/>
        <w:left w:val="single" w:color="auto" w:sz="8" w:space="0"/>
        <w:bottom w:val="single" w:color="auto" w:sz="4" w:space="0"/>
      </w:pBdr>
      <w:spacing w:before="100" w:beforeAutospacing="1" w:after="100" w:afterAutospacing="1"/>
      <w:jc w:val="left"/>
      <w:textAlignment w:val="center"/>
    </w:pPr>
    <w:rPr>
      <w:rFonts w:eastAsia="Arial Unicode MS"/>
      <w:kern w:val="0"/>
      <w:sz w:val="22"/>
      <w:szCs w:val="22"/>
    </w:rPr>
  </w:style>
  <w:style w:type="paragraph" w:customStyle="1" w:styleId="753">
    <w:name w:val="xl71"/>
    <w:basedOn w:val="1"/>
    <w:semiHidden/>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754">
    <w:name w:val="xl72"/>
    <w:basedOn w:val="1"/>
    <w:semiHidden/>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textAlignment w:val="center"/>
    </w:pPr>
    <w:rPr>
      <w:rFonts w:eastAsia="Arial Unicode MS"/>
      <w:kern w:val="0"/>
      <w:sz w:val="22"/>
      <w:szCs w:val="22"/>
    </w:rPr>
  </w:style>
  <w:style w:type="paragraph" w:customStyle="1" w:styleId="755">
    <w:name w:val="xl73"/>
    <w:basedOn w:val="1"/>
    <w:semiHidden/>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eastAsia="Arial Unicode MS"/>
      <w:kern w:val="0"/>
      <w:sz w:val="22"/>
      <w:szCs w:val="22"/>
    </w:rPr>
  </w:style>
  <w:style w:type="paragraph" w:customStyle="1" w:styleId="756">
    <w:name w:val="文-1"/>
    <w:basedOn w:val="1"/>
    <w:semiHidden/>
    <w:uiPriority w:val="0"/>
    <w:pPr>
      <w:spacing w:before="120"/>
      <w:ind w:left="851" w:firstLine="482"/>
    </w:pPr>
    <w:rPr>
      <w:sz w:val="24"/>
      <w:szCs w:val="20"/>
    </w:rPr>
  </w:style>
  <w:style w:type="paragraph" w:customStyle="1" w:styleId="757">
    <w:name w:val="正文3"/>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paragraph" w:customStyle="1" w:styleId="758">
    <w:name w:val="MTDisplayEquation"/>
    <w:basedOn w:val="280"/>
    <w:next w:val="1"/>
    <w:semiHidden/>
    <w:uiPriority w:val="0"/>
    <w:pPr>
      <w:tabs>
        <w:tab w:val="center" w:pos="4160"/>
        <w:tab w:val="right" w:pos="8300"/>
      </w:tabs>
    </w:pPr>
    <w:rPr>
      <w:lang w:val="zh-CN" w:eastAsia="zh-CN"/>
    </w:rPr>
  </w:style>
  <w:style w:type="paragraph" w:customStyle="1" w:styleId="759">
    <w:name w:val="样式 小四 加粗 行距: 1.5 倍行距"/>
    <w:basedOn w:val="1"/>
    <w:semiHidden/>
    <w:uiPriority w:val="0"/>
    <w:pPr>
      <w:spacing w:line="360" w:lineRule="auto"/>
    </w:pPr>
    <w:rPr>
      <w:rFonts w:cs="宋体"/>
      <w:b/>
      <w:bCs/>
      <w:sz w:val="24"/>
      <w:szCs w:val="20"/>
    </w:rPr>
  </w:style>
  <w:style w:type="paragraph" w:customStyle="1" w:styleId="760">
    <w:name w:val="6"/>
    <w:basedOn w:val="1"/>
    <w:next w:val="17"/>
    <w:uiPriority w:val="0"/>
    <w:rPr>
      <w:rFonts w:ascii="仿宋_GB2312" w:eastAsia="仿宋_GB2312"/>
      <w:sz w:val="28"/>
    </w:rPr>
  </w:style>
  <w:style w:type="paragraph" w:customStyle="1" w:styleId="761">
    <w:name w:val="样式 正文(首行缩进) + 8 磅 加粗 首行缩进:  2 字符"/>
    <w:basedOn w:val="1"/>
    <w:semiHidden/>
    <w:uiPriority w:val="0"/>
    <w:pPr>
      <w:adjustRightInd w:val="0"/>
      <w:snapToGrid w:val="0"/>
      <w:ind w:firstLine="200" w:firstLineChars="200"/>
    </w:pPr>
    <w:rPr>
      <w:rFonts w:cs="宋体"/>
      <w:b/>
      <w:bCs/>
      <w:snapToGrid w:val="0"/>
      <w:kern w:val="0"/>
      <w:sz w:val="16"/>
      <w:szCs w:val="20"/>
    </w:rPr>
  </w:style>
  <w:style w:type="paragraph" w:customStyle="1" w:styleId="762">
    <w:name w:val="样式 标题 2标题21.1H2h2第一层条2Header 2nd PageA.B.C.h2 main head..."/>
    <w:basedOn w:val="3"/>
    <w:semiHidden/>
    <w:uiPriority w:val="0"/>
    <w:pPr>
      <w:numPr>
        <w:ilvl w:val="0"/>
        <w:numId w:val="0"/>
      </w:numPr>
      <w:tabs>
        <w:tab w:val="clear" w:pos="780"/>
        <w:tab w:val="clear" w:pos="840"/>
        <w:tab w:val="clear" w:pos="1140"/>
        <w:tab w:val="clear" w:pos="1200"/>
        <w:tab w:val="clear" w:pos="1620"/>
        <w:tab w:val="clear" w:pos="2040"/>
        <w:tab w:val="clear" w:pos="6231"/>
      </w:tabs>
      <w:adjustRightInd/>
      <w:snapToGrid w:val="0"/>
      <w:spacing w:before="0" w:beforeLines="0" w:after="0" w:afterLines="0"/>
    </w:pPr>
    <w:rPr>
      <w:rFonts w:ascii="Times New Roman" w:hAnsi="Times New Roman" w:eastAsia="黑体"/>
      <w:sz w:val="30"/>
      <w:szCs w:val="30"/>
    </w:rPr>
  </w:style>
  <w:style w:type="paragraph" w:customStyle="1" w:styleId="763">
    <w:name w:val="样式 正文(首行缩进) + 8 磅 加粗 首行缩进:  2 字符1"/>
    <w:basedOn w:val="1"/>
    <w:semiHidden/>
    <w:uiPriority w:val="0"/>
    <w:pPr>
      <w:adjustRightInd w:val="0"/>
      <w:snapToGrid w:val="0"/>
      <w:ind w:firstLine="200" w:firstLineChars="200"/>
    </w:pPr>
    <w:rPr>
      <w:rFonts w:cs="宋体"/>
      <w:b/>
      <w:bCs/>
      <w:snapToGrid w:val="0"/>
      <w:kern w:val="0"/>
      <w:sz w:val="16"/>
      <w:szCs w:val="20"/>
    </w:rPr>
  </w:style>
  <w:style w:type="paragraph" w:customStyle="1" w:styleId="764">
    <w:name w:val="正文样式1"/>
    <w:basedOn w:val="1"/>
    <w:semiHidden/>
    <w:uiPriority w:val="0"/>
    <w:pPr>
      <w:adjustRightInd w:val="0"/>
      <w:spacing w:line="400" w:lineRule="atLeast"/>
      <w:ind w:firstLine="454"/>
      <w:textAlignment w:val="baseline"/>
    </w:pPr>
    <w:rPr>
      <w:b/>
      <w:kern w:val="24"/>
      <w:sz w:val="24"/>
      <w:szCs w:val="20"/>
    </w:rPr>
  </w:style>
  <w:style w:type="paragraph" w:customStyle="1" w:styleId="765">
    <w:name w:val="标题样式2"/>
    <w:basedOn w:val="1"/>
    <w:semiHidden/>
    <w:uiPriority w:val="0"/>
    <w:pPr>
      <w:adjustRightInd w:val="0"/>
      <w:spacing w:line="480" w:lineRule="atLeast"/>
      <w:textAlignment w:val="baseline"/>
    </w:pPr>
    <w:rPr>
      <w:rFonts w:ascii="新宋体" w:hAnsi="新宋体" w:eastAsia="仿宋_GB2312"/>
      <w:kern w:val="0"/>
      <w:sz w:val="28"/>
      <w:szCs w:val="20"/>
    </w:rPr>
  </w:style>
  <w:style w:type="character" w:customStyle="1" w:styleId="766">
    <w:name w:val="mainfirst1"/>
    <w:semiHidden/>
    <w:uiPriority w:val="0"/>
    <w:rPr>
      <w:rFonts w:ascii="宋体" w:hAnsi="宋体" w:eastAsia="黑体" w:cs="宋体"/>
      <w:b/>
      <w:bCs/>
      <w:color w:val="FF0000"/>
      <w:kern w:val="2"/>
      <w:sz w:val="36"/>
      <w:szCs w:val="36"/>
      <w:lang w:val="en-US" w:eastAsia="zh-CN" w:bidi="ar-SA"/>
    </w:rPr>
  </w:style>
  <w:style w:type="character" w:customStyle="1" w:styleId="767">
    <w:name w:val="普通文字 Char Char Char Char Char C Char Char Char Char Char Char Char"/>
    <w:semiHidden/>
    <w:uiPriority w:val="0"/>
    <w:rPr>
      <w:rFonts w:ascii="宋体" w:hAnsi="Courier New" w:eastAsia="宋体" w:cs="宋体"/>
      <w:kern w:val="2"/>
      <w:sz w:val="28"/>
      <w:szCs w:val="24"/>
      <w:lang w:val="en-US" w:eastAsia="zh-CN" w:bidi="ar-SA"/>
    </w:rPr>
  </w:style>
  <w:style w:type="character" w:customStyle="1" w:styleId="768">
    <w:name w:val="redfont"/>
    <w:semiHidden/>
    <w:uiPriority w:val="0"/>
    <w:rPr>
      <w:rFonts w:ascii="宋体" w:hAnsi="宋体" w:eastAsia="黑体" w:cs="宋体"/>
      <w:kern w:val="2"/>
      <w:sz w:val="28"/>
      <w:szCs w:val="24"/>
      <w:lang w:val="en-US" w:eastAsia="zh-CN" w:bidi="ar-SA"/>
    </w:rPr>
  </w:style>
  <w:style w:type="paragraph" w:customStyle="1" w:styleId="769">
    <w:name w:val="正文样式一"/>
    <w:basedOn w:val="1"/>
    <w:semiHidden/>
    <w:uiPriority w:val="0"/>
    <w:pPr>
      <w:adjustRightInd w:val="0"/>
      <w:spacing w:line="400" w:lineRule="atLeast"/>
      <w:ind w:firstLine="510"/>
      <w:textAlignment w:val="baseline"/>
    </w:pPr>
    <w:rPr>
      <w:kern w:val="0"/>
      <w:sz w:val="24"/>
      <w:szCs w:val="20"/>
    </w:rPr>
  </w:style>
  <w:style w:type="paragraph" w:customStyle="1" w:styleId="770">
    <w:name w:val="表号"/>
    <w:basedOn w:val="1"/>
    <w:semiHidden/>
    <w:uiPriority w:val="0"/>
    <w:pPr>
      <w:adjustRightInd w:val="0"/>
      <w:snapToGrid w:val="0"/>
      <w:ind w:firstLine="480" w:firstLineChars="200"/>
    </w:pPr>
    <w:rPr>
      <w:snapToGrid w:val="0"/>
      <w:color w:val="000000"/>
      <w:kern w:val="0"/>
      <w:sz w:val="24"/>
    </w:rPr>
  </w:style>
  <w:style w:type="paragraph" w:customStyle="1" w:styleId="771">
    <w:name w:val="样式 样式 表格 + (符号) 宋体 五号 居中 + 小五"/>
    <w:basedOn w:val="1"/>
    <w:semiHidden/>
    <w:uiPriority w:val="0"/>
    <w:pPr>
      <w:kinsoku w:val="0"/>
      <w:overflowPunct w:val="0"/>
      <w:adjustRightInd w:val="0"/>
      <w:snapToGrid w:val="0"/>
      <w:jc w:val="center"/>
    </w:pPr>
    <w:rPr>
      <w:snapToGrid w:val="0"/>
      <w:kern w:val="0"/>
      <w:sz w:val="18"/>
      <w:szCs w:val="21"/>
    </w:rPr>
  </w:style>
  <w:style w:type="paragraph" w:customStyle="1" w:styleId="772">
    <w:name w:val="样式 表格 + 居中"/>
    <w:basedOn w:val="1"/>
    <w:semiHidden/>
    <w:uiPriority w:val="0"/>
    <w:pPr>
      <w:kinsoku w:val="0"/>
      <w:overflowPunct w:val="0"/>
      <w:adjustRightInd w:val="0"/>
      <w:snapToGrid w:val="0"/>
      <w:jc w:val="center"/>
    </w:pPr>
    <w:rPr>
      <w:snapToGrid w:val="0"/>
      <w:color w:val="000000"/>
      <w:kern w:val="0"/>
      <w:sz w:val="24"/>
    </w:rPr>
  </w:style>
  <w:style w:type="paragraph" w:customStyle="1" w:styleId="773">
    <w:name w:val="注×："/>
    <w:semiHidden/>
    <w:uiPriority w:val="0"/>
    <w:pPr>
      <w:widowControl w:val="0"/>
      <w:tabs>
        <w:tab w:val="left" w:pos="425"/>
        <w:tab w:val="left" w:pos="630"/>
      </w:tabs>
      <w:autoSpaceDE w:val="0"/>
      <w:autoSpaceDN w:val="0"/>
      <w:ind w:left="425" w:hanging="425"/>
      <w:jc w:val="both"/>
    </w:pPr>
    <w:rPr>
      <w:rFonts w:ascii="宋体" w:hAnsi="Times New Roman" w:eastAsia="宋体" w:cs="Times New Roman"/>
      <w:kern w:val="0"/>
      <w:sz w:val="18"/>
      <w:szCs w:val="20"/>
      <w:lang w:val="en-US" w:eastAsia="zh-CN" w:bidi="ar-SA"/>
    </w:rPr>
  </w:style>
  <w:style w:type="character" w:customStyle="1" w:styleId="774">
    <w:name w:val="标题5"/>
    <w:uiPriority w:val="0"/>
    <w:rPr>
      <w:rFonts w:ascii="宋体" w:hAnsi="宋体" w:eastAsia="黑体" w:cs="宋体"/>
      <w:kern w:val="2"/>
      <w:sz w:val="28"/>
      <w:szCs w:val="24"/>
      <w:lang w:val="en-US" w:eastAsia="zh-CN" w:bidi="ar-SA"/>
    </w:rPr>
  </w:style>
  <w:style w:type="paragraph" w:customStyle="1" w:styleId="775">
    <w:name w:val="Char 正文"/>
    <w:basedOn w:val="2"/>
    <w:semiHidden/>
    <w:uiPriority w:val="0"/>
    <w:pPr>
      <w:numPr>
        <w:numId w:val="0"/>
      </w:numPr>
      <w:tabs>
        <w:tab w:val="clear" w:pos="294"/>
        <w:tab w:val="clear" w:pos="720"/>
        <w:tab w:val="clear" w:pos="1080"/>
        <w:tab w:val="clear" w:pos="1440"/>
      </w:tabs>
      <w:spacing w:before="240" w:beforeLines="0" w:after="240" w:afterLines="0" w:line="348" w:lineRule="auto"/>
      <w:jc w:val="both"/>
    </w:pPr>
    <w:rPr>
      <w:rFonts w:ascii="Tahoma" w:hAnsi="Tahoma"/>
      <w:sz w:val="24"/>
      <w:szCs w:val="20"/>
    </w:rPr>
  </w:style>
  <w:style w:type="paragraph" w:customStyle="1" w:styleId="776">
    <w:name w:val="报告书正文"/>
    <w:basedOn w:val="1"/>
    <w:link w:val="777"/>
    <w:semiHidden/>
    <w:uiPriority w:val="0"/>
    <w:pPr>
      <w:spacing w:line="360" w:lineRule="auto"/>
      <w:ind w:firstLine="480" w:firstLineChars="200"/>
    </w:pPr>
    <w:rPr>
      <w:sz w:val="24"/>
      <w:lang w:val="zh-CN" w:eastAsia="zh-CN"/>
    </w:rPr>
  </w:style>
  <w:style w:type="character" w:customStyle="1" w:styleId="777">
    <w:name w:val="报告书正文 Char"/>
    <w:link w:val="776"/>
    <w:uiPriority w:val="0"/>
    <w:rPr>
      <w:rFonts w:ascii="Times New Roman" w:hAnsi="Times New Roman" w:eastAsia="宋体" w:cs="Times New Roman"/>
      <w:sz w:val="24"/>
      <w:szCs w:val="24"/>
      <w:lang w:val="zh-CN" w:eastAsia="zh-CN"/>
    </w:rPr>
  </w:style>
  <w:style w:type="character" w:customStyle="1" w:styleId="778">
    <w:name w:val="样式 黑体 小四"/>
    <w:semiHidden/>
    <w:uiPriority w:val="0"/>
    <w:rPr>
      <w:rFonts w:ascii="黑体" w:hAnsi="黑体" w:eastAsia="黑体"/>
      <w:sz w:val="24"/>
    </w:rPr>
  </w:style>
  <w:style w:type="character" w:customStyle="1" w:styleId="779">
    <w:name w:val="正文样式 Char"/>
    <w:link w:val="409"/>
    <w:qFormat/>
    <w:uiPriority w:val="0"/>
    <w:rPr>
      <w:rFonts w:ascii="宋体" w:hAnsi="宋体" w:eastAsia="宋体" w:cs="Times New Roman"/>
      <w:color w:val="000000"/>
      <w:sz w:val="24"/>
      <w:szCs w:val="24"/>
    </w:rPr>
  </w:style>
  <w:style w:type="character" w:customStyle="1" w:styleId="780">
    <w:name w:val="表格标题 Char"/>
    <w:link w:val="224"/>
    <w:uiPriority w:val="0"/>
    <w:rPr>
      <w:rFonts w:ascii="Times New Roman" w:hAnsi="Times New Roman" w:eastAsia="宋体" w:cs="Times New Roman"/>
      <w:szCs w:val="24"/>
    </w:rPr>
  </w:style>
  <w:style w:type="paragraph" w:customStyle="1" w:styleId="781">
    <w:name w:val="Char Char Char Char Char Char Char Char Char1"/>
    <w:basedOn w:val="1"/>
    <w:semiHidden/>
    <w:uiPriority w:val="0"/>
  </w:style>
  <w:style w:type="character" w:customStyle="1" w:styleId="782">
    <w:name w:val="正文(首行缩进) Char2"/>
    <w:semiHidden/>
    <w:uiPriority w:val="0"/>
    <w:rPr>
      <w:rFonts w:eastAsia="黑体"/>
      <w:bCs/>
      <w:snapToGrid w:val="0"/>
      <w:color w:val="000000"/>
      <w:kern w:val="2"/>
      <w:sz w:val="24"/>
      <w:lang w:val="en-US" w:eastAsia="zh-CN" w:bidi="ar-SA"/>
    </w:rPr>
  </w:style>
  <w:style w:type="paragraph" w:customStyle="1" w:styleId="783">
    <w:name w:val="zxz5"/>
    <w:next w:val="280"/>
    <w:semiHidden/>
    <w:uiPriority w:val="0"/>
    <w:pPr>
      <w:tabs>
        <w:tab w:val="left" w:pos="0"/>
      </w:tabs>
      <w:jc w:val="center"/>
    </w:pPr>
    <w:rPr>
      <w:rFonts w:ascii="宋体" w:hAnsi="宋体" w:eastAsia="Times New Roman" w:cs="宋体"/>
      <w:bCs/>
      <w:kern w:val="2"/>
      <w:sz w:val="18"/>
      <w:szCs w:val="18"/>
      <w:lang w:val="en-US" w:eastAsia="zh-CN" w:bidi="ar-SA"/>
    </w:rPr>
  </w:style>
  <w:style w:type="paragraph" w:customStyle="1" w:styleId="784">
    <w:name w:val="Char Char Char Char Char Char Char Char Char Char Char Char Char Char Char Char Char Char Char Char Char Char Char Char Char Char Char Char Char Char Char Char Char Char Char Char Char Char Char Char Char Char"/>
    <w:basedOn w:val="1"/>
    <w:semiHidden/>
    <w:uiPriority w:val="0"/>
  </w:style>
  <w:style w:type="paragraph" w:customStyle="1" w:styleId="785">
    <w:name w:val="正文（缩进）"/>
    <w:basedOn w:val="1"/>
    <w:semiHidden/>
    <w:uiPriority w:val="0"/>
    <w:pPr>
      <w:adjustRightInd w:val="0"/>
      <w:snapToGrid w:val="0"/>
      <w:spacing w:line="360" w:lineRule="auto"/>
      <w:ind w:firstLine="200" w:firstLineChars="200"/>
    </w:pPr>
    <w:rPr>
      <w:snapToGrid w:val="0"/>
      <w:kern w:val="0"/>
      <w:sz w:val="24"/>
    </w:rPr>
  </w:style>
  <w:style w:type="paragraph" w:customStyle="1" w:styleId="786">
    <w:name w:val="样式 表格 + 左  25 字符1"/>
    <w:basedOn w:val="1"/>
    <w:semiHidden/>
    <w:uiPriority w:val="0"/>
    <w:pPr>
      <w:widowControl/>
      <w:jc w:val="center"/>
    </w:pPr>
    <w:rPr>
      <w:rFonts w:hAnsi="宋体" w:cs="宋体"/>
      <w:kern w:val="0"/>
      <w:sz w:val="18"/>
      <w:szCs w:val="20"/>
    </w:rPr>
  </w:style>
  <w:style w:type="character" w:customStyle="1" w:styleId="787">
    <w:name w:val="1正文段落 Char"/>
    <w:link w:val="280"/>
    <w:uiPriority w:val="0"/>
    <w:rPr>
      <w:rFonts w:ascii="Times New Roman" w:hAnsi="Times New Roman" w:eastAsia="宋体" w:cs="Times New Roman"/>
      <w:snapToGrid w:val="0"/>
      <w:kern w:val="0"/>
      <w:sz w:val="24"/>
      <w:szCs w:val="24"/>
    </w:rPr>
  </w:style>
  <w:style w:type="paragraph" w:customStyle="1" w:styleId="788">
    <w:name w:val="1级标题"/>
    <w:basedOn w:val="2"/>
    <w:semiHidden/>
    <w:uiPriority w:val="0"/>
    <w:pPr>
      <w:keepNext w:val="0"/>
      <w:keepLines w:val="0"/>
      <w:numPr>
        <w:numId w:val="0"/>
      </w:numPr>
      <w:tabs>
        <w:tab w:val="clear" w:pos="294"/>
        <w:tab w:val="clear" w:pos="720"/>
        <w:tab w:val="clear" w:pos="1080"/>
        <w:tab w:val="clear" w:pos="1440"/>
      </w:tabs>
      <w:spacing w:before="0" w:beforeLines="0" w:after="0" w:afterLines="0" w:line="360" w:lineRule="auto"/>
      <w:jc w:val="both"/>
    </w:pPr>
    <w:rPr>
      <w:rFonts w:ascii="黑体" w:hAnsi="Times New Roman" w:eastAsia="黑体"/>
      <w:b w:val="0"/>
      <w:bCs/>
      <w:sz w:val="32"/>
      <w:szCs w:val="30"/>
    </w:rPr>
  </w:style>
  <w:style w:type="paragraph" w:customStyle="1" w:styleId="789">
    <w:name w:val="2级标题"/>
    <w:basedOn w:val="3"/>
    <w:semiHidden/>
    <w:uiPriority w:val="0"/>
    <w:pPr>
      <w:keepNext w:val="0"/>
      <w:keepLines w:val="0"/>
      <w:numPr>
        <w:ilvl w:val="0"/>
        <w:numId w:val="0"/>
      </w:numPr>
      <w:tabs>
        <w:tab w:val="left" w:pos="3564"/>
        <w:tab w:val="clear" w:pos="780"/>
        <w:tab w:val="clear" w:pos="840"/>
        <w:tab w:val="clear" w:pos="1140"/>
        <w:tab w:val="clear" w:pos="1200"/>
        <w:tab w:val="clear" w:pos="1620"/>
        <w:tab w:val="clear" w:pos="2040"/>
        <w:tab w:val="clear" w:pos="6231"/>
      </w:tabs>
      <w:snapToGrid w:val="0"/>
      <w:spacing w:before="50" w:beforeLines="0" w:after="0" w:afterLines="0"/>
    </w:pPr>
    <w:rPr>
      <w:rFonts w:ascii="黑体" w:hAnsi="Arial" w:eastAsia="黑体"/>
      <w:b w:val="0"/>
      <w:snapToGrid w:val="0"/>
      <w:kern w:val="0"/>
      <w:sz w:val="30"/>
    </w:rPr>
  </w:style>
  <w:style w:type="paragraph" w:customStyle="1" w:styleId="790">
    <w:name w:val="2 Char Char Char Char Char Char Char Char Char Char"/>
    <w:basedOn w:val="1"/>
    <w:semiHidden/>
    <w:uiPriority w:val="0"/>
  </w:style>
  <w:style w:type="character" w:customStyle="1" w:styleId="791">
    <w:name w:val="纯文本1 Char"/>
    <w:semiHidden/>
    <w:uiPriority w:val="0"/>
    <w:rPr>
      <w:rFonts w:ascii="宋体" w:hAnsi="Courier New" w:eastAsia="宋体"/>
      <w:kern w:val="2"/>
      <w:sz w:val="21"/>
      <w:lang w:val="en-US" w:eastAsia="zh-CN" w:bidi="ar-SA"/>
    </w:rPr>
  </w:style>
  <w:style w:type="paragraph" w:customStyle="1" w:styleId="792">
    <w:name w:val="样式 标题 2二级标题标题 lxb2标题21.1H2h2第一层条二级标题 Char单位名4.1SeHea..."/>
    <w:basedOn w:val="776"/>
    <w:next w:val="776"/>
    <w:semiHidden/>
    <w:uiPriority w:val="0"/>
    <w:pPr>
      <w:ind w:firstLine="0" w:firstLineChars="0"/>
    </w:pPr>
    <w:rPr>
      <w:rFonts w:eastAsia="黑体" w:cs="宋体"/>
      <w:b/>
    </w:rPr>
  </w:style>
  <w:style w:type="paragraph" w:customStyle="1" w:styleId="793">
    <w:name w:val="注释"/>
    <w:basedOn w:val="1"/>
    <w:uiPriority w:val="0"/>
    <w:pPr>
      <w:spacing w:line="360" w:lineRule="exact"/>
    </w:pPr>
    <w:rPr>
      <w:rFonts w:ascii="Arial" w:hAnsi="Arial"/>
      <w:color w:val="000000"/>
      <w:sz w:val="18"/>
      <w:szCs w:val="18"/>
    </w:rPr>
  </w:style>
  <w:style w:type="paragraph" w:customStyle="1" w:styleId="794">
    <w:name w:val="样式 标题 2Paragrafo + Times New Roman 非加粗 左侧:  0 厘米 首行缩进:  0 厘米..."/>
    <w:basedOn w:val="3"/>
    <w:link w:val="795"/>
    <w:uiPriority w:val="0"/>
    <w:pPr>
      <w:numPr>
        <w:ilvl w:val="0"/>
        <w:numId w:val="0"/>
      </w:numPr>
      <w:tabs>
        <w:tab w:val="clear" w:pos="780"/>
        <w:tab w:val="clear" w:pos="840"/>
        <w:tab w:val="clear" w:pos="1140"/>
        <w:tab w:val="clear" w:pos="1200"/>
        <w:tab w:val="clear" w:pos="1620"/>
        <w:tab w:val="clear" w:pos="2040"/>
        <w:tab w:val="clear" w:pos="6231"/>
      </w:tabs>
      <w:adjustRightInd/>
      <w:spacing w:before="120" w:beforeLines="0" w:after="120" w:afterLines="0"/>
    </w:pPr>
    <w:rPr>
      <w:rFonts w:ascii="Arial" w:hAnsi="Arial" w:eastAsia="黑体"/>
      <w:bCs/>
      <w:sz w:val="30"/>
      <w:szCs w:val="32"/>
      <w:lang w:val="zh-CN" w:eastAsia="zh-CN"/>
    </w:rPr>
  </w:style>
  <w:style w:type="character" w:customStyle="1" w:styleId="795">
    <w:name w:val="样式 标题 2Paragrafo + Times New Roman 非加粗 左侧:  0 厘米 首行缩进:  0 厘米... Char"/>
    <w:link w:val="794"/>
    <w:uiPriority w:val="0"/>
    <w:rPr>
      <w:rFonts w:ascii="Arial" w:hAnsi="Arial" w:eastAsia="黑体" w:cs="Times New Roman"/>
      <w:b/>
      <w:bCs/>
      <w:sz w:val="30"/>
      <w:szCs w:val="32"/>
      <w:lang w:val="zh-CN" w:eastAsia="zh-CN"/>
    </w:rPr>
  </w:style>
  <w:style w:type="paragraph" w:customStyle="1" w:styleId="796">
    <w:name w:val="样式 样式 首行缩进:  2 字符1 + 首行缩进:  2 字符"/>
    <w:basedOn w:val="1"/>
    <w:uiPriority w:val="0"/>
    <w:pPr>
      <w:spacing w:line="480" w:lineRule="exact"/>
      <w:ind w:firstLine="200" w:firstLineChars="200"/>
    </w:pPr>
    <w:rPr>
      <w:rFonts w:eastAsia="楷体_GB2312" w:cs="宋体"/>
      <w:sz w:val="24"/>
      <w:szCs w:val="20"/>
    </w:rPr>
  </w:style>
  <w:style w:type="paragraph" w:customStyle="1" w:styleId="797">
    <w:name w:val="表内-文字"/>
    <w:basedOn w:val="1"/>
    <w:uiPriority w:val="0"/>
    <w:pPr>
      <w:spacing w:line="320" w:lineRule="exact"/>
      <w:jc w:val="center"/>
    </w:pPr>
    <w:rPr>
      <w:rFonts w:eastAsia="楷体_GB2312" w:cs="宋体"/>
      <w:bCs/>
      <w:color w:val="000000"/>
      <w:szCs w:val="21"/>
    </w:rPr>
  </w:style>
  <w:style w:type="paragraph" w:customStyle="1" w:styleId="798">
    <w:name w:val="样式 首行缩进:  2 字符 Char Char Char"/>
    <w:basedOn w:val="1"/>
    <w:link w:val="799"/>
    <w:uiPriority w:val="0"/>
    <w:pPr>
      <w:spacing w:line="360" w:lineRule="auto"/>
      <w:ind w:firstLine="200" w:firstLineChars="200"/>
    </w:pPr>
    <w:rPr>
      <w:rFonts w:eastAsia="创艺简仿宋"/>
      <w:sz w:val="24"/>
      <w:lang w:val="zh-CN" w:eastAsia="zh-CN"/>
    </w:rPr>
  </w:style>
  <w:style w:type="character" w:customStyle="1" w:styleId="799">
    <w:name w:val="样式 首行缩进:  2 字符 Char Char Char Char"/>
    <w:link w:val="798"/>
    <w:uiPriority w:val="0"/>
    <w:rPr>
      <w:rFonts w:ascii="Times New Roman" w:hAnsi="Times New Roman" w:eastAsia="创艺简仿宋" w:cs="Times New Roman"/>
      <w:sz w:val="24"/>
      <w:szCs w:val="24"/>
      <w:lang w:val="zh-CN" w:eastAsia="zh-CN"/>
    </w:rPr>
  </w:style>
  <w:style w:type="paragraph" w:customStyle="1" w:styleId="800">
    <w:name w:val="标题3 Char Char Char Char"/>
    <w:basedOn w:val="1"/>
    <w:uiPriority w:val="0"/>
    <w:pPr>
      <w:spacing w:after="148" w:afterLines="50" w:line="560" w:lineRule="exact"/>
      <w:ind w:right="1224" w:rightChars="583" w:firstLine="600" w:firstLineChars="250"/>
    </w:pPr>
    <w:rPr>
      <w:rFonts w:eastAsia="黑体"/>
      <w:sz w:val="30"/>
      <w:szCs w:val="30"/>
    </w:rPr>
  </w:style>
  <w:style w:type="paragraph" w:customStyle="1" w:styleId="801">
    <w:name w:val="样式 标题 3Sottoparagrafo标题 3 Char + Times New Roman"/>
    <w:basedOn w:val="5"/>
    <w:uiPriority w:val="0"/>
    <w:pPr>
      <w:numPr>
        <w:ilvl w:val="0"/>
        <w:numId w:val="0"/>
      </w:numPr>
      <w:tabs>
        <w:tab w:val="clear" w:pos="780"/>
        <w:tab w:val="clear" w:pos="840"/>
        <w:tab w:val="clear" w:pos="1140"/>
        <w:tab w:val="clear" w:pos="1200"/>
        <w:tab w:val="clear" w:pos="1620"/>
        <w:tab w:val="clear" w:pos="2040"/>
        <w:tab w:val="clear" w:pos="6231"/>
      </w:tabs>
      <w:spacing w:before="50" w:after="0" w:afterLines="0" w:line="360" w:lineRule="auto"/>
    </w:pPr>
    <w:rPr>
      <w:sz w:val="28"/>
      <w:szCs w:val="20"/>
    </w:rPr>
  </w:style>
  <w:style w:type="paragraph" w:customStyle="1" w:styleId="802">
    <w:name w:val="标题 4 黑体 四号 行距: 1.5 倍行距"/>
    <w:basedOn w:val="801"/>
    <w:uiPriority w:val="0"/>
    <w:pPr>
      <w:spacing w:before="156"/>
    </w:pPr>
    <w:rPr>
      <w:rFonts w:cs="宋体"/>
      <w:b/>
    </w:rPr>
  </w:style>
  <w:style w:type="paragraph" w:customStyle="1" w:styleId="803">
    <w:name w:val="样式 样式 标题 1 + (中文) 黑体 段前: 15.6 磅 段后: 15.6 磅 行距: 最小值 12 磅 + 两端对齐"/>
    <w:basedOn w:val="1"/>
    <w:uiPriority w:val="0"/>
    <w:pPr>
      <w:keepNext/>
      <w:keepLines/>
      <w:adjustRightInd w:val="0"/>
      <w:snapToGrid w:val="0"/>
      <w:spacing w:after="312"/>
      <w:outlineLvl w:val="0"/>
    </w:pPr>
    <w:rPr>
      <w:rFonts w:eastAsia="黑体" w:cs="宋体"/>
      <w:kern w:val="44"/>
      <w:sz w:val="32"/>
      <w:szCs w:val="20"/>
    </w:rPr>
  </w:style>
  <w:style w:type="character" w:customStyle="1" w:styleId="804">
    <w:name w:val="正文1 Char Char5"/>
    <w:uiPriority w:val="0"/>
    <w:rPr>
      <w:rFonts w:ascii="宋体" w:hAnsi="宋体" w:eastAsia="宋体"/>
      <w:kern w:val="2"/>
      <w:sz w:val="21"/>
      <w:szCs w:val="21"/>
      <w:lang w:val="en-US" w:eastAsia="zh-CN" w:bidi="ar-SA"/>
    </w:rPr>
  </w:style>
  <w:style w:type="character" w:customStyle="1" w:styleId="805">
    <w:name w:val="正文1 Char1"/>
    <w:link w:val="272"/>
    <w:uiPriority w:val="0"/>
    <w:rPr>
      <w:rFonts w:ascii="Times New Roman" w:hAnsi="Times New Roman" w:eastAsia="宋体" w:cs="Times New Roman"/>
      <w:spacing w:val="8"/>
      <w:kern w:val="21"/>
      <w:sz w:val="24"/>
      <w:szCs w:val="20"/>
    </w:rPr>
  </w:style>
  <w:style w:type="paragraph" w:customStyle="1" w:styleId="806">
    <w:name w:val="正文 1"/>
    <w:basedOn w:val="52"/>
    <w:uiPriority w:val="0"/>
    <w:pPr>
      <w:adjustRightInd w:val="0"/>
      <w:snapToGrid w:val="0"/>
      <w:spacing w:after="0" w:line="240" w:lineRule="atLeast"/>
      <w:ind w:left="0" w:leftChars="0"/>
      <w:jc w:val="center"/>
    </w:pPr>
    <w:rPr>
      <w:rFonts w:eastAsia="幼圆"/>
    </w:rPr>
  </w:style>
  <w:style w:type="paragraph" w:customStyle="1" w:styleId="807">
    <w:name w:val="样式 标题 3 + 小三 黑色"/>
    <w:basedOn w:val="5"/>
    <w:uiPriority w:val="0"/>
    <w:pPr>
      <w:numPr>
        <w:ilvl w:val="0"/>
        <w:numId w:val="0"/>
      </w:numPr>
      <w:tabs>
        <w:tab w:val="clear" w:pos="780"/>
        <w:tab w:val="clear" w:pos="840"/>
        <w:tab w:val="clear" w:pos="1140"/>
        <w:tab w:val="clear" w:pos="1200"/>
        <w:tab w:val="clear" w:pos="1620"/>
        <w:tab w:val="clear" w:pos="2040"/>
        <w:tab w:val="clear" w:pos="6231"/>
      </w:tabs>
      <w:spacing w:before="260" w:beforeLines="0" w:after="260" w:afterLines="0" w:line="416" w:lineRule="auto"/>
    </w:pPr>
    <w:rPr>
      <w:rFonts w:eastAsia="宋体"/>
      <w:b/>
      <w:bCs/>
      <w:color w:val="000000"/>
      <w:sz w:val="30"/>
      <w:szCs w:val="30"/>
    </w:rPr>
  </w:style>
  <w:style w:type="paragraph" w:customStyle="1" w:styleId="808">
    <w:name w:val="样式 首行缩进:  2 字符1"/>
    <w:basedOn w:val="1"/>
    <w:uiPriority w:val="0"/>
    <w:pPr>
      <w:spacing w:line="500" w:lineRule="exact"/>
      <w:ind w:firstLine="200" w:firstLineChars="200"/>
    </w:pPr>
    <w:rPr>
      <w:rFonts w:eastAsia="楷体_GB2312" w:cs="宋体"/>
      <w:sz w:val="24"/>
    </w:rPr>
  </w:style>
  <w:style w:type="paragraph" w:customStyle="1" w:styleId="809">
    <w:name w:val="news_content"/>
    <w:basedOn w:val="1"/>
    <w:uiPriority w:val="0"/>
    <w:pPr>
      <w:widowControl/>
      <w:spacing w:before="100" w:beforeAutospacing="1" w:after="100" w:afterAutospacing="1"/>
      <w:jc w:val="left"/>
    </w:pPr>
    <w:rPr>
      <w:rFonts w:ascii="宋体" w:hAnsi="宋体" w:cs="宋体"/>
      <w:color w:val="000000"/>
      <w:kern w:val="0"/>
      <w:sz w:val="24"/>
    </w:rPr>
  </w:style>
  <w:style w:type="paragraph" w:customStyle="1" w:styleId="810">
    <w:name w:val="默认段落字体 Para Char Char Char"/>
    <w:basedOn w:val="1"/>
    <w:uiPriority w:val="0"/>
    <w:rPr>
      <w:rFonts w:ascii="宋体"/>
      <w:sz w:val="28"/>
    </w:rPr>
  </w:style>
  <w:style w:type="paragraph" w:customStyle="1" w:styleId="811">
    <w:name w:val="wenzi"/>
    <w:basedOn w:val="1"/>
    <w:uiPriority w:val="0"/>
    <w:pPr>
      <w:widowControl/>
      <w:spacing w:before="100" w:beforeAutospacing="1" w:after="100" w:afterAutospacing="1" w:line="360" w:lineRule="atLeast"/>
      <w:jc w:val="left"/>
    </w:pPr>
    <w:rPr>
      <w:rFonts w:ascii="宋体" w:hAnsi="宋体"/>
      <w:color w:val="000000"/>
      <w:kern w:val="0"/>
      <w:sz w:val="18"/>
      <w:szCs w:val="18"/>
    </w:rPr>
  </w:style>
  <w:style w:type="character" w:customStyle="1" w:styleId="812">
    <w:name w:val="timu1"/>
    <w:uiPriority w:val="0"/>
    <w:rPr>
      <w:rFonts w:eastAsia="黑体"/>
      <w:kern w:val="2"/>
      <w:sz w:val="24"/>
      <w:szCs w:val="24"/>
      <w:lang w:val="en-US" w:eastAsia="zh-CN" w:bidi="ar-SA"/>
    </w:rPr>
  </w:style>
  <w:style w:type="paragraph" w:customStyle="1" w:styleId="813">
    <w:name w:val="样式 小五 首行缩进:  2 字符"/>
    <w:basedOn w:val="1"/>
    <w:uiPriority w:val="0"/>
    <w:rPr>
      <w:rFonts w:cs="宋体"/>
      <w:sz w:val="18"/>
      <w:szCs w:val="20"/>
    </w:rPr>
  </w:style>
  <w:style w:type="paragraph" w:customStyle="1" w:styleId="814">
    <w:name w:val="nt"/>
    <w:basedOn w:val="1"/>
    <w:uiPriority w:val="0"/>
    <w:pPr>
      <w:widowControl/>
      <w:spacing w:before="100" w:beforeAutospacing="1" w:after="100" w:afterAutospacing="1"/>
      <w:jc w:val="left"/>
    </w:pPr>
    <w:rPr>
      <w:rFonts w:ascii="宋体" w:hAnsi="宋体" w:cs="宋体"/>
      <w:kern w:val="0"/>
      <w:sz w:val="24"/>
    </w:rPr>
  </w:style>
  <w:style w:type="paragraph" w:customStyle="1" w:styleId="815">
    <w:name w:val="列表名称 Char Char Char Char"/>
    <w:basedOn w:val="1"/>
    <w:uiPriority w:val="0"/>
    <w:pPr>
      <w:tabs>
        <w:tab w:val="left" w:pos="3777"/>
        <w:tab w:val="left" w:pos="5106"/>
        <w:tab w:val="left" w:pos="6313"/>
        <w:tab w:val="left" w:pos="7998"/>
        <w:tab w:val="left" w:pos="9238"/>
      </w:tabs>
      <w:spacing w:line="480" w:lineRule="exact"/>
      <w:jc w:val="center"/>
    </w:pPr>
    <w:rPr>
      <w:rFonts w:eastAsia="黑体"/>
      <w:bCs/>
      <w:sz w:val="24"/>
    </w:rPr>
  </w:style>
  <w:style w:type="character" w:customStyle="1" w:styleId="816">
    <w:name w:val="列表名称 Char Char Char Char Char"/>
    <w:uiPriority w:val="0"/>
    <w:rPr>
      <w:rFonts w:eastAsia="黑体"/>
      <w:bCs/>
      <w:kern w:val="2"/>
      <w:sz w:val="24"/>
      <w:szCs w:val="24"/>
      <w:lang w:val="en-US" w:eastAsia="zh-CN" w:bidi="ar-SA"/>
    </w:rPr>
  </w:style>
  <w:style w:type="paragraph" w:customStyle="1" w:styleId="817">
    <w:name w:val="样式 左侧:  0.85 厘米 首行缩进:  2 字符"/>
    <w:basedOn w:val="1"/>
    <w:uiPriority w:val="0"/>
    <w:pPr>
      <w:spacing w:line="480" w:lineRule="exact"/>
      <w:ind w:firstLine="200" w:firstLineChars="200"/>
    </w:pPr>
    <w:rPr>
      <w:rFonts w:cs="宋体"/>
      <w:sz w:val="24"/>
      <w:szCs w:val="20"/>
    </w:rPr>
  </w:style>
  <w:style w:type="paragraph" w:customStyle="1" w:styleId="818">
    <w:name w:val="表字小五"/>
    <w:basedOn w:val="1"/>
    <w:uiPriority w:val="0"/>
    <w:pPr>
      <w:autoSpaceDE w:val="0"/>
      <w:autoSpaceDN w:val="0"/>
      <w:adjustRightInd w:val="0"/>
      <w:snapToGrid w:val="0"/>
      <w:spacing w:before="24" w:beforeLines="10" w:after="24" w:afterLines="10"/>
      <w:jc w:val="center"/>
      <w:textAlignment w:val="bottom"/>
    </w:pPr>
    <w:rPr>
      <w:kern w:val="0"/>
      <w:sz w:val="18"/>
      <w:szCs w:val="18"/>
    </w:rPr>
  </w:style>
  <w:style w:type="paragraph" w:customStyle="1" w:styleId="819">
    <w:name w:val="列表名称 Char"/>
    <w:basedOn w:val="1"/>
    <w:uiPriority w:val="0"/>
    <w:pPr>
      <w:tabs>
        <w:tab w:val="left" w:pos="3777"/>
        <w:tab w:val="left" w:pos="5106"/>
        <w:tab w:val="left" w:pos="6313"/>
        <w:tab w:val="left" w:pos="7998"/>
        <w:tab w:val="left" w:pos="9238"/>
      </w:tabs>
      <w:spacing w:line="480" w:lineRule="exact"/>
      <w:jc w:val="center"/>
    </w:pPr>
    <w:rPr>
      <w:rFonts w:eastAsia="黑体"/>
      <w:bCs/>
      <w:sz w:val="24"/>
    </w:rPr>
  </w:style>
  <w:style w:type="paragraph" w:customStyle="1" w:styleId="820">
    <w:name w:val="样式 样式 首行缩进:  2 字符 + 首行缩进:  2 字符"/>
    <w:basedOn w:val="1"/>
    <w:link w:val="1137"/>
    <w:uiPriority w:val="0"/>
    <w:pPr>
      <w:spacing w:line="480" w:lineRule="exact"/>
      <w:ind w:firstLine="200" w:firstLineChars="200"/>
    </w:pPr>
    <w:rPr>
      <w:rFonts w:cs="宋体"/>
      <w:sz w:val="24"/>
      <w:szCs w:val="20"/>
    </w:rPr>
  </w:style>
  <w:style w:type="paragraph" w:customStyle="1" w:styleId="821">
    <w:name w:val="样式 首行缩进:  2 字符2"/>
    <w:basedOn w:val="1"/>
    <w:uiPriority w:val="0"/>
    <w:pPr>
      <w:spacing w:line="480" w:lineRule="exact"/>
      <w:ind w:firstLine="200" w:firstLineChars="200"/>
    </w:pPr>
    <w:rPr>
      <w:rFonts w:eastAsia="楷体_GB2312" w:cs="宋体"/>
      <w:sz w:val="24"/>
      <w:szCs w:val="20"/>
    </w:rPr>
  </w:style>
  <w:style w:type="paragraph" w:customStyle="1" w:styleId="822">
    <w:name w:val="样式 正文1 Char Char + 字距调整七号"/>
    <w:basedOn w:val="1"/>
    <w:uiPriority w:val="0"/>
    <w:pPr>
      <w:suppressLineNumbers/>
      <w:suppressAutoHyphens/>
      <w:topLinePunct/>
      <w:adjustRightInd w:val="0"/>
      <w:snapToGrid w:val="0"/>
      <w:spacing w:line="360" w:lineRule="auto"/>
      <w:ind w:firstLine="480" w:firstLineChars="200"/>
    </w:pPr>
    <w:rPr>
      <w:kern w:val="11"/>
      <w:sz w:val="24"/>
    </w:rPr>
  </w:style>
  <w:style w:type="paragraph" w:customStyle="1" w:styleId="823">
    <w:name w:val="样式 表内-文字 +"/>
    <w:basedOn w:val="797"/>
    <w:uiPriority w:val="0"/>
    <w:pPr>
      <w:tabs>
        <w:tab w:val="left" w:pos="1280"/>
      </w:tabs>
    </w:pPr>
    <w:rPr>
      <w:bCs w:val="0"/>
      <w:kern w:val="0"/>
    </w:rPr>
  </w:style>
  <w:style w:type="paragraph" w:customStyle="1" w:styleId="824">
    <w:name w:val="10"/>
    <w:basedOn w:val="1"/>
    <w:next w:val="36"/>
    <w:uiPriority w:val="0"/>
    <w:pPr>
      <w:tabs>
        <w:tab w:val="left" w:pos="1280"/>
      </w:tabs>
      <w:adjustRightInd w:val="0"/>
      <w:snapToGrid w:val="0"/>
      <w:spacing w:line="360" w:lineRule="auto"/>
      <w:ind w:firstLine="560" w:firstLineChars="200"/>
    </w:pPr>
    <w:rPr>
      <w:rFonts w:ascii="仿宋_GB2312" w:eastAsia="仿宋_GB2312"/>
      <w:sz w:val="28"/>
      <w:szCs w:val="28"/>
    </w:rPr>
  </w:style>
  <w:style w:type="character" w:customStyle="1" w:styleId="825">
    <w:name w:val="正文（首行缩进两字）1 Char Char Char Char Char Char"/>
    <w:uiPriority w:val="0"/>
    <w:rPr>
      <w:rFonts w:eastAsia="仿宋_GB2312"/>
      <w:kern w:val="2"/>
      <w:sz w:val="28"/>
      <w:szCs w:val="28"/>
      <w:lang w:val="en-US" w:eastAsia="zh-CN" w:bidi="ar-SA"/>
    </w:rPr>
  </w:style>
  <w:style w:type="character" w:customStyle="1" w:styleId="826">
    <w:name w:val="列表 Char1"/>
    <w:uiPriority w:val="0"/>
    <w:rPr>
      <w:rFonts w:eastAsia="黑体"/>
      <w:kern w:val="2"/>
      <w:sz w:val="22"/>
      <w:szCs w:val="22"/>
      <w:lang w:val="en-US" w:eastAsia="zh-CN" w:bidi="ar-SA"/>
    </w:rPr>
  </w:style>
  <w:style w:type="paragraph" w:customStyle="1" w:styleId="827">
    <w:name w:val="列表 Char列表"/>
    <w:basedOn w:val="67"/>
    <w:next w:val="38"/>
    <w:uiPriority w:val="0"/>
    <w:pPr>
      <w:spacing w:line="480" w:lineRule="exact"/>
      <w:ind w:left="0" w:firstLine="0" w:firstLineChars="0"/>
      <w:jc w:val="center"/>
    </w:pPr>
    <w:rPr>
      <w:rFonts w:eastAsia="黑体"/>
    </w:rPr>
  </w:style>
  <w:style w:type="paragraph" w:customStyle="1" w:styleId="828">
    <w:name w:val="正文1 Char Char1 Char"/>
    <w:basedOn w:val="1"/>
    <w:uiPriority w:val="0"/>
    <w:pPr>
      <w:adjustRightInd w:val="0"/>
      <w:snapToGrid w:val="0"/>
      <w:spacing w:line="516" w:lineRule="exact"/>
      <w:ind w:firstLine="200" w:firstLineChars="200"/>
    </w:pPr>
    <w:rPr>
      <w:rFonts w:eastAsia="楷体_GB2312"/>
      <w:sz w:val="26"/>
      <w:szCs w:val="26"/>
    </w:rPr>
  </w:style>
  <w:style w:type="character" w:customStyle="1" w:styleId="829">
    <w:name w:val="列表 Char Char"/>
    <w:uiPriority w:val="0"/>
    <w:rPr>
      <w:rFonts w:eastAsia="黑体"/>
      <w:kern w:val="2"/>
      <w:sz w:val="24"/>
      <w:szCs w:val="22"/>
      <w:lang w:val="en-US" w:eastAsia="zh-CN" w:bidi="ar-SA"/>
    </w:rPr>
  </w:style>
  <w:style w:type="paragraph" w:customStyle="1" w:styleId="830">
    <w:name w:val="样式 表内文字 + 10 磅 首行缩进:  0.63 厘米"/>
    <w:basedOn w:val="46"/>
    <w:uiPriority w:val="0"/>
    <w:pPr>
      <w:adjustRightInd w:val="0"/>
      <w:snapToGrid w:val="0"/>
      <w:spacing w:line="320" w:lineRule="exact"/>
      <w:ind w:firstLine="360"/>
      <w:jc w:val="center"/>
    </w:pPr>
    <w:rPr>
      <w:rFonts w:ascii="Times New Roman" w:hAnsi="Times New Roman" w:eastAsia="楷体_GB2312"/>
      <w:kern w:val="0"/>
      <w:sz w:val="20"/>
    </w:rPr>
  </w:style>
  <w:style w:type="paragraph" w:customStyle="1" w:styleId="831">
    <w:name w:val="图名 Char"/>
    <w:basedOn w:val="67"/>
    <w:uiPriority w:val="0"/>
    <w:pPr>
      <w:spacing w:line="480" w:lineRule="exact"/>
      <w:ind w:left="0" w:firstLine="0" w:firstLineChars="0"/>
      <w:jc w:val="center"/>
    </w:pPr>
    <w:rPr>
      <w:rFonts w:eastAsia="黑体"/>
    </w:rPr>
  </w:style>
  <w:style w:type="paragraph" w:customStyle="1" w:styleId="832">
    <w:name w:val="样式 目录 1 + 首行缩进:  2 字符"/>
    <w:basedOn w:val="60"/>
    <w:uiPriority w:val="0"/>
    <w:pPr>
      <w:tabs>
        <w:tab w:val="right" w:leader="dot" w:pos="8720"/>
      </w:tabs>
      <w:spacing w:before="240" w:line="480" w:lineRule="exact"/>
    </w:pPr>
    <w:rPr>
      <w:rFonts w:ascii="Comic Sans MS" w:hAnsi="Comic Sans MS" w:eastAsia="楷体_GB2312" w:cs="宋体"/>
      <w:b w:val="0"/>
      <w:bCs w:val="0"/>
      <w:caps w:val="0"/>
    </w:rPr>
  </w:style>
  <w:style w:type="paragraph" w:customStyle="1" w:styleId="833">
    <w:name w:val="样式 目录 1 + 首行缩进:  2 字符1"/>
    <w:basedOn w:val="60"/>
    <w:uiPriority w:val="0"/>
    <w:pPr>
      <w:tabs>
        <w:tab w:val="right" w:leader="dot" w:pos="8720"/>
      </w:tabs>
      <w:spacing w:before="240" w:line="480" w:lineRule="exact"/>
    </w:pPr>
    <w:rPr>
      <w:rFonts w:ascii="Comic Sans MS" w:hAnsi="Comic Sans MS" w:eastAsia="楷体_GB2312" w:cs="宋体"/>
      <w:b w:val="0"/>
      <w:bCs w:val="0"/>
      <w:caps w:val="0"/>
    </w:rPr>
  </w:style>
  <w:style w:type="paragraph" w:customStyle="1" w:styleId="834">
    <w:name w:val="样式 列表列表 Char列表 Char Char Char Char Char1列表 Char Char Char Cha... Char"/>
    <w:basedOn w:val="67"/>
    <w:uiPriority w:val="0"/>
    <w:pPr>
      <w:spacing w:line="500" w:lineRule="exact"/>
      <w:ind w:left="0" w:firstLine="200" w:firstLineChars="200"/>
      <w:jc w:val="center"/>
    </w:pPr>
    <w:rPr>
      <w:rFonts w:eastAsia="黑体"/>
    </w:rPr>
  </w:style>
  <w:style w:type="character" w:customStyle="1" w:styleId="835">
    <w:name w:val="样式 列表列表 Char列表 Char Char Char Char Char1列表 Char Char Char Cha... Char Char"/>
    <w:uiPriority w:val="0"/>
    <w:rPr>
      <w:rFonts w:eastAsia="黑体"/>
      <w:kern w:val="2"/>
      <w:sz w:val="24"/>
      <w:szCs w:val="24"/>
      <w:lang w:val="en-US" w:eastAsia="zh-CN" w:bidi="ar-SA"/>
    </w:rPr>
  </w:style>
  <w:style w:type="paragraph" w:customStyle="1" w:styleId="836">
    <w:name w:val="表字五号"/>
    <w:basedOn w:val="1"/>
    <w:uiPriority w:val="0"/>
    <w:pPr>
      <w:autoSpaceDE w:val="0"/>
      <w:autoSpaceDN w:val="0"/>
      <w:adjustRightInd w:val="0"/>
      <w:snapToGrid w:val="0"/>
      <w:spacing w:before="10" w:beforeLines="10" w:after="10" w:afterLines="10"/>
      <w:jc w:val="center"/>
      <w:textAlignment w:val="bottom"/>
    </w:pPr>
    <w:rPr>
      <w:kern w:val="0"/>
      <w:szCs w:val="20"/>
    </w:rPr>
  </w:style>
  <w:style w:type="paragraph" w:customStyle="1" w:styleId="837">
    <w:name w:val="样式 正文1 Char Char + 字距调整七号 Char Char"/>
    <w:basedOn w:val="1"/>
    <w:uiPriority w:val="0"/>
    <w:pPr>
      <w:suppressLineNumbers/>
      <w:suppressAutoHyphens/>
      <w:topLinePunct/>
      <w:adjustRightInd w:val="0"/>
      <w:snapToGrid w:val="0"/>
      <w:spacing w:line="360" w:lineRule="auto"/>
      <w:ind w:firstLine="480" w:firstLineChars="200"/>
    </w:pPr>
    <w:rPr>
      <w:kern w:val="11"/>
      <w:sz w:val="24"/>
    </w:rPr>
  </w:style>
  <w:style w:type="character" w:customStyle="1" w:styleId="838">
    <w:name w:val="样式 正文1 Char Char + 字距调整七号 Char Char Char"/>
    <w:uiPriority w:val="0"/>
    <w:rPr>
      <w:rFonts w:eastAsia="宋体"/>
      <w:kern w:val="11"/>
      <w:sz w:val="24"/>
      <w:szCs w:val="28"/>
      <w:lang w:val="en-US" w:eastAsia="zh-CN" w:bidi="ar-SA"/>
    </w:rPr>
  </w:style>
  <w:style w:type="character" w:customStyle="1" w:styleId="839">
    <w:name w:val="样式 正文1 Char Char + 字距调整七号 Char1 Char Char"/>
    <w:qFormat/>
    <w:uiPriority w:val="0"/>
    <w:rPr>
      <w:rFonts w:eastAsia="宋体"/>
      <w:kern w:val="11"/>
      <w:sz w:val="24"/>
      <w:szCs w:val="28"/>
      <w:lang w:val="en-US" w:eastAsia="zh-CN" w:bidi="ar-SA"/>
    </w:rPr>
  </w:style>
  <w:style w:type="paragraph" w:customStyle="1" w:styleId="840">
    <w:name w:val="样式 正文1 Char Char + 字距调整七号 Char1 Char"/>
    <w:basedOn w:val="1"/>
    <w:uiPriority w:val="0"/>
    <w:pPr>
      <w:suppressLineNumbers/>
      <w:suppressAutoHyphens/>
      <w:topLinePunct/>
      <w:adjustRightInd w:val="0"/>
      <w:snapToGrid w:val="0"/>
      <w:spacing w:line="360" w:lineRule="auto"/>
      <w:ind w:firstLine="480" w:firstLineChars="200"/>
    </w:pPr>
    <w:rPr>
      <w:kern w:val="11"/>
      <w:sz w:val="24"/>
    </w:rPr>
  </w:style>
  <w:style w:type="paragraph" w:customStyle="1" w:styleId="841">
    <w:name w:val="正文1 Char Char Char Char Char"/>
    <w:basedOn w:val="1"/>
    <w:uiPriority w:val="0"/>
    <w:pPr>
      <w:suppressLineNumbers/>
      <w:suppressAutoHyphens/>
      <w:topLinePunct/>
      <w:adjustRightInd w:val="0"/>
      <w:snapToGrid w:val="0"/>
      <w:spacing w:line="360" w:lineRule="auto"/>
      <w:ind w:firstLine="480" w:firstLineChars="200"/>
    </w:pPr>
    <w:rPr>
      <w:sz w:val="24"/>
    </w:rPr>
  </w:style>
  <w:style w:type="character" w:customStyle="1" w:styleId="842">
    <w:name w:val="正文1 Char Char Char Char Char Char"/>
    <w:uiPriority w:val="0"/>
    <w:rPr>
      <w:rFonts w:eastAsia="宋体"/>
      <w:kern w:val="2"/>
      <w:sz w:val="24"/>
      <w:szCs w:val="28"/>
      <w:lang w:val="en-US" w:eastAsia="zh-CN" w:bidi="ar-SA"/>
    </w:rPr>
  </w:style>
  <w:style w:type="character" w:customStyle="1" w:styleId="843">
    <w:name w:val="正文1 Char Char Char Char1 Char Char"/>
    <w:uiPriority w:val="0"/>
    <w:rPr>
      <w:rFonts w:eastAsia="宋体"/>
      <w:kern w:val="2"/>
      <w:sz w:val="24"/>
      <w:szCs w:val="28"/>
      <w:lang w:val="en-US" w:eastAsia="zh-CN" w:bidi="ar-SA"/>
    </w:rPr>
  </w:style>
  <w:style w:type="paragraph" w:customStyle="1" w:styleId="844">
    <w:name w:val="正文1 Char Char Char Char1 Char"/>
    <w:basedOn w:val="1"/>
    <w:uiPriority w:val="0"/>
    <w:pPr>
      <w:suppressLineNumbers/>
      <w:suppressAutoHyphens/>
      <w:topLinePunct/>
      <w:adjustRightInd w:val="0"/>
      <w:snapToGrid w:val="0"/>
      <w:spacing w:line="360" w:lineRule="auto"/>
      <w:ind w:firstLine="480" w:firstLineChars="200"/>
    </w:pPr>
    <w:rPr>
      <w:sz w:val="24"/>
    </w:rPr>
  </w:style>
  <w:style w:type="character" w:customStyle="1" w:styleId="845">
    <w:name w:val="标题 21"/>
    <w:uiPriority w:val="0"/>
    <w:rPr>
      <w:rFonts w:ascii="黑体" w:hAnsi="Arial" w:eastAsia="黑体"/>
      <w:kern w:val="2"/>
      <w:sz w:val="30"/>
      <w:szCs w:val="30"/>
      <w:lang w:val="en-US" w:eastAsia="zh-CN" w:bidi="ar-SA"/>
    </w:rPr>
  </w:style>
  <w:style w:type="paragraph" w:customStyle="1" w:styleId="846">
    <w:name w:val="表名称"/>
    <w:basedOn w:val="1"/>
    <w:uiPriority w:val="0"/>
    <w:pPr>
      <w:suppressLineNumbers/>
      <w:suppressAutoHyphens/>
      <w:topLinePunct/>
      <w:adjustRightInd w:val="0"/>
      <w:snapToGrid w:val="0"/>
      <w:spacing w:before="120" w:beforeLines="50" w:after="72" w:afterLines="30"/>
      <w:ind w:firstLine="480" w:firstLineChars="200"/>
    </w:pPr>
    <w:rPr>
      <w:rFonts w:ascii="黑体" w:eastAsia="黑体"/>
      <w:sz w:val="24"/>
    </w:rPr>
  </w:style>
  <w:style w:type="paragraph" w:customStyle="1" w:styleId="847">
    <w:name w:val="插表名称"/>
    <w:basedOn w:val="846"/>
    <w:uiPriority w:val="0"/>
    <w:rPr>
      <w:rFonts w:ascii="Times New Roman"/>
    </w:rPr>
  </w:style>
  <w:style w:type="paragraph" w:customStyle="1" w:styleId="848">
    <w:name w:val="插表文字五号"/>
    <w:basedOn w:val="836"/>
    <w:uiPriority w:val="0"/>
  </w:style>
  <w:style w:type="paragraph" w:customStyle="1" w:styleId="849">
    <w:name w:val="封面"/>
    <w:basedOn w:val="1"/>
    <w:next w:val="17"/>
    <w:uiPriority w:val="0"/>
    <w:pPr>
      <w:suppressLineNumbers/>
      <w:suppressAutoHyphens/>
      <w:topLinePunct/>
      <w:adjustRightInd w:val="0"/>
      <w:snapToGrid w:val="0"/>
      <w:spacing w:line="360" w:lineRule="auto"/>
      <w:ind w:firstLine="480" w:firstLineChars="200"/>
      <w:jc w:val="center"/>
    </w:pPr>
    <w:rPr>
      <w:rFonts w:ascii="宋体"/>
      <w:b/>
      <w:color w:val="000000"/>
      <w:sz w:val="32"/>
    </w:rPr>
  </w:style>
  <w:style w:type="paragraph" w:customStyle="1" w:styleId="850">
    <w:name w:val="备注"/>
    <w:basedOn w:val="1"/>
    <w:uiPriority w:val="0"/>
    <w:pPr>
      <w:ind w:firstLine="420" w:firstLineChars="200"/>
    </w:pPr>
    <w:rPr>
      <w:sz w:val="18"/>
      <w:szCs w:val="20"/>
    </w:rPr>
  </w:style>
  <w:style w:type="paragraph" w:customStyle="1" w:styleId="851">
    <w:name w:val="表字五号缩进"/>
    <w:basedOn w:val="836"/>
    <w:uiPriority w:val="0"/>
    <w:pPr>
      <w:spacing w:before="31" w:after="31"/>
      <w:ind w:firstLine="420" w:firstLineChars="200"/>
      <w:jc w:val="both"/>
    </w:pPr>
    <w:rPr>
      <w:color w:val="000000"/>
    </w:rPr>
  </w:style>
  <w:style w:type="paragraph" w:customStyle="1" w:styleId="852">
    <w:name w:val="表后正文"/>
    <w:basedOn w:val="1"/>
    <w:uiPriority w:val="0"/>
    <w:pPr>
      <w:suppressLineNumbers/>
      <w:suppressAutoHyphens/>
      <w:topLinePunct/>
      <w:adjustRightInd w:val="0"/>
      <w:snapToGrid w:val="0"/>
      <w:spacing w:before="168" w:beforeLines="70" w:line="360" w:lineRule="auto"/>
      <w:ind w:firstLine="560" w:firstLineChars="200"/>
    </w:pPr>
    <w:rPr>
      <w:sz w:val="24"/>
    </w:rPr>
  </w:style>
  <w:style w:type="paragraph" w:customStyle="1" w:styleId="853">
    <w:name w:val="ST20_1"/>
    <w:basedOn w:val="1"/>
    <w:uiPriority w:val="0"/>
    <w:pPr>
      <w:autoSpaceDE w:val="0"/>
      <w:autoSpaceDN w:val="0"/>
      <w:adjustRightInd w:val="0"/>
      <w:spacing w:line="360" w:lineRule="atLeast"/>
      <w:ind w:firstLine="510"/>
      <w:textAlignment w:val="baseline"/>
    </w:pPr>
    <w:rPr>
      <w:rFonts w:ascii="宋体" w:hAnsi="Tms Rmn" w:eastAsia="楷体_GB2312"/>
      <w:spacing w:val="40"/>
      <w:kern w:val="0"/>
      <w:sz w:val="24"/>
      <w:szCs w:val="20"/>
    </w:rPr>
  </w:style>
  <w:style w:type="paragraph" w:customStyle="1" w:styleId="854">
    <w:name w:val="Normal1"/>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character" w:customStyle="1" w:styleId="855">
    <w:name w:val="正文1 Char Char Char1"/>
    <w:uiPriority w:val="0"/>
    <w:rPr>
      <w:rFonts w:eastAsia="仿宋_GB2312"/>
      <w:color w:val="000000"/>
      <w:kern w:val="2"/>
      <w:sz w:val="28"/>
      <w:szCs w:val="28"/>
      <w:lang w:val="en-US" w:eastAsia="zh-CN" w:bidi="ar-SA"/>
    </w:rPr>
  </w:style>
  <w:style w:type="paragraph" w:customStyle="1" w:styleId="856">
    <w:name w:val="表字1"/>
    <w:basedOn w:val="17"/>
    <w:uiPriority w:val="0"/>
    <w:pPr>
      <w:spacing w:after="120" w:line="240" w:lineRule="auto"/>
      <w:ind w:firstLine="0" w:firstLineChars="0"/>
      <w:jc w:val="center"/>
    </w:pPr>
    <w:rPr>
      <w:rFonts w:ascii="Times New Roman" w:hAnsi="Times New Roman" w:eastAsia="宋体" w:cs="Times New Roman"/>
      <w:sz w:val="21"/>
      <w:szCs w:val="21"/>
    </w:rPr>
  </w:style>
  <w:style w:type="paragraph" w:customStyle="1" w:styleId="857">
    <w:name w:val="样式 标题 4 + 段前: 0.5 行"/>
    <w:basedOn w:val="6"/>
    <w:uiPriority w:val="0"/>
    <w:pPr>
      <w:keepNext w:val="0"/>
      <w:keepLines w:val="0"/>
      <w:numPr>
        <w:ilvl w:val="0"/>
        <w:numId w:val="0"/>
      </w:numPr>
      <w:tabs>
        <w:tab w:val="left" w:pos="1680"/>
        <w:tab w:val="clear" w:pos="780"/>
        <w:tab w:val="clear" w:pos="840"/>
        <w:tab w:val="clear" w:pos="1140"/>
        <w:tab w:val="clear" w:pos="1200"/>
        <w:tab w:val="clear" w:pos="1620"/>
        <w:tab w:val="clear" w:pos="2040"/>
        <w:tab w:val="clear" w:pos="6231"/>
        <w:tab w:val="clear" w:pos="1044"/>
      </w:tabs>
      <w:snapToGrid w:val="0"/>
      <w:spacing w:before="120" w:beforeLines="50" w:after="0" w:afterLines="0"/>
      <w:ind w:left="1680" w:hanging="420" w:firstLineChars="200"/>
    </w:pPr>
    <w:rPr>
      <w:rFonts w:ascii="Times New Roman" w:hAnsi="Times New Roman" w:eastAsia="黑体" w:cs="宋体"/>
      <w:b w:val="0"/>
      <w:szCs w:val="20"/>
    </w:rPr>
  </w:style>
  <w:style w:type="character" w:customStyle="1" w:styleId="858">
    <w:name w:val="正文1 Char Char1"/>
    <w:uiPriority w:val="0"/>
    <w:rPr>
      <w:rFonts w:eastAsia="仿宋_GB2312"/>
      <w:snapToGrid w:val="0"/>
      <w:kern w:val="2"/>
      <w:sz w:val="28"/>
      <w:szCs w:val="28"/>
      <w:lang w:val="en-US" w:eastAsia="zh-CN" w:bidi="ar-SA"/>
    </w:rPr>
  </w:style>
  <w:style w:type="paragraph" w:customStyle="1" w:styleId="859">
    <w:name w:val="样式 表名称 + 首行缩进:  2 字符 段前: 0.5 行 段后: 0.3 行"/>
    <w:basedOn w:val="846"/>
    <w:uiPriority w:val="0"/>
    <w:pPr>
      <w:suppressLineNumbers w:val="0"/>
      <w:suppressAutoHyphens w:val="0"/>
      <w:spacing w:before="30" w:beforeLines="30" w:after="30"/>
      <w:ind w:firstLine="200"/>
    </w:pPr>
    <w:rPr>
      <w:szCs w:val="20"/>
    </w:rPr>
  </w:style>
  <w:style w:type="paragraph" w:customStyle="1" w:styleId="860">
    <w:name w:val="样式 表名 + 段前: 0.5 行"/>
    <w:basedOn w:val="1"/>
    <w:uiPriority w:val="0"/>
    <w:pPr>
      <w:spacing w:before="156" w:after="30" w:afterLines="30" w:line="360" w:lineRule="exact"/>
      <w:jc w:val="center"/>
    </w:pPr>
    <w:rPr>
      <w:rFonts w:eastAsia="黑体" w:cs="宋体"/>
      <w:sz w:val="24"/>
      <w:szCs w:val="20"/>
    </w:rPr>
  </w:style>
  <w:style w:type="character" w:customStyle="1" w:styleId="861">
    <w:name w:val="正文1 Char Char3"/>
    <w:uiPriority w:val="0"/>
    <w:rPr>
      <w:rFonts w:eastAsia="仿宋_GB2312"/>
      <w:kern w:val="2"/>
      <w:sz w:val="28"/>
      <w:szCs w:val="28"/>
      <w:lang w:val="en-US" w:eastAsia="zh-CN" w:bidi="ar-SA"/>
    </w:rPr>
  </w:style>
  <w:style w:type="paragraph" w:customStyle="1" w:styleId="862">
    <w:name w:val="样式 标题 1 + 段后: 0.3 行"/>
    <w:basedOn w:val="2"/>
    <w:uiPriority w:val="0"/>
    <w:pPr>
      <w:keepNext w:val="0"/>
      <w:keepLines w:val="0"/>
      <w:numPr>
        <w:numId w:val="0"/>
      </w:numPr>
      <w:tabs>
        <w:tab w:val="left" w:pos="0"/>
        <w:tab w:val="left" w:pos="1800"/>
        <w:tab w:val="clear" w:pos="294"/>
        <w:tab w:val="clear" w:pos="720"/>
        <w:tab w:val="clear" w:pos="1080"/>
        <w:tab w:val="clear" w:pos="1440"/>
      </w:tabs>
      <w:adjustRightInd/>
      <w:snapToGrid/>
      <w:spacing w:before="120" w:beforeLines="50" w:after="72" w:afterLines="30" w:line="300" w:lineRule="auto"/>
      <w:ind w:firstLine="709"/>
    </w:pPr>
    <w:rPr>
      <w:rFonts w:ascii="黑体" w:hAnsi="Times New Roman" w:eastAsia="黑体" w:cs="Arial"/>
      <w:sz w:val="30"/>
      <w:szCs w:val="30"/>
    </w:rPr>
  </w:style>
  <w:style w:type="paragraph" w:customStyle="1" w:styleId="863">
    <w:name w:val="样式 标题 2标题 2 Char Char + 段前: 0.3 行"/>
    <w:basedOn w:val="3"/>
    <w:uiPriority w:val="0"/>
    <w:pPr>
      <w:keepNext w:val="0"/>
      <w:keepLines w:val="0"/>
      <w:numPr>
        <w:ilvl w:val="0"/>
        <w:numId w:val="0"/>
      </w:numPr>
      <w:tabs>
        <w:tab w:val="left" w:pos="1425"/>
        <w:tab w:val="clear" w:pos="780"/>
        <w:tab w:val="clear" w:pos="840"/>
        <w:tab w:val="clear" w:pos="1140"/>
        <w:tab w:val="clear" w:pos="1200"/>
        <w:tab w:val="clear" w:pos="1620"/>
        <w:tab w:val="clear" w:pos="2040"/>
        <w:tab w:val="clear" w:pos="6231"/>
      </w:tabs>
      <w:snapToGrid w:val="0"/>
      <w:spacing w:before="120" w:after="0" w:afterLines="0"/>
      <w:ind w:left="1425" w:hanging="1005"/>
    </w:pPr>
    <w:rPr>
      <w:rFonts w:ascii="黑体" w:hAnsi="Arial" w:eastAsia="黑体" w:cs="宋体"/>
      <w:b w:val="0"/>
    </w:rPr>
  </w:style>
  <w:style w:type="character" w:customStyle="1" w:styleId="864">
    <w:name w:val="正文1 Char Char2"/>
    <w:uiPriority w:val="0"/>
    <w:rPr>
      <w:rFonts w:eastAsia="仿宋_GB2312"/>
      <w:kern w:val="2"/>
      <w:sz w:val="28"/>
      <w:szCs w:val="28"/>
      <w:lang w:val="en-US" w:eastAsia="zh-CN" w:bidi="ar-SA"/>
    </w:rPr>
  </w:style>
  <w:style w:type="character" w:customStyle="1" w:styleId="865">
    <w:name w:val="表名称 Char"/>
    <w:uiPriority w:val="0"/>
    <w:rPr>
      <w:rFonts w:ascii="黑体" w:eastAsia="黑体"/>
      <w:kern w:val="2"/>
      <w:sz w:val="24"/>
      <w:szCs w:val="28"/>
      <w:lang w:val="en-US" w:eastAsia="zh-CN" w:bidi="ar-SA"/>
    </w:rPr>
  </w:style>
  <w:style w:type="paragraph" w:customStyle="1" w:styleId="866">
    <w:name w:val="样式 正文1 Char + 宋体 小四 首行缩进:  2 字符"/>
    <w:basedOn w:val="1"/>
    <w:uiPriority w:val="0"/>
    <w:pPr>
      <w:suppressLineNumbers/>
      <w:suppressAutoHyphens/>
      <w:topLinePunct/>
      <w:adjustRightInd w:val="0"/>
      <w:snapToGrid w:val="0"/>
      <w:spacing w:line="360" w:lineRule="auto"/>
      <w:ind w:firstLine="480" w:firstLineChars="200"/>
    </w:pPr>
    <w:rPr>
      <w:rFonts w:cs="宋体"/>
      <w:kern w:val="0"/>
      <w:sz w:val="24"/>
    </w:rPr>
  </w:style>
  <w:style w:type="paragraph" w:customStyle="1" w:styleId="867">
    <w:name w:val="样式 表名1 + 段前: 0.3 行"/>
    <w:basedOn w:val="677"/>
    <w:uiPriority w:val="0"/>
    <w:pPr>
      <w:keepNext w:val="0"/>
      <w:overflowPunct/>
      <w:spacing w:before="40" w:beforeLines="40" w:line="300" w:lineRule="auto"/>
      <w:textAlignment w:val="auto"/>
    </w:pPr>
    <w:rPr>
      <w:rFonts w:cs="宋体"/>
      <w:kern w:val="2"/>
      <w:sz w:val="24"/>
      <w:szCs w:val="20"/>
    </w:rPr>
  </w:style>
  <w:style w:type="paragraph" w:customStyle="1" w:styleId="868">
    <w:name w:val="插图1"/>
    <w:basedOn w:val="1"/>
    <w:uiPriority w:val="0"/>
    <w:pPr>
      <w:suppressLineNumbers/>
      <w:suppressAutoHyphens/>
      <w:topLinePunct/>
      <w:adjustRightInd w:val="0"/>
      <w:snapToGrid w:val="0"/>
      <w:spacing w:before="62" w:beforeLines="20" w:line="360" w:lineRule="auto"/>
      <w:jc w:val="center"/>
    </w:pPr>
    <w:rPr>
      <w:b/>
      <w:szCs w:val="21"/>
    </w:rPr>
  </w:style>
  <w:style w:type="paragraph" w:customStyle="1" w:styleId="869">
    <w:name w:val="样式 标题 3Sottoparagrafo + 段前: 0.5 行"/>
    <w:basedOn w:val="5"/>
    <w:uiPriority w:val="0"/>
    <w:pPr>
      <w:keepNext w:val="0"/>
      <w:keepLines w:val="0"/>
      <w:numPr>
        <w:ilvl w:val="0"/>
        <w:numId w:val="0"/>
      </w:numPr>
      <w:tabs>
        <w:tab w:val="left" w:pos="1260"/>
        <w:tab w:val="clear" w:pos="780"/>
        <w:tab w:val="clear" w:pos="840"/>
        <w:tab w:val="clear" w:pos="1140"/>
        <w:tab w:val="clear" w:pos="1200"/>
        <w:tab w:val="clear" w:pos="1620"/>
        <w:tab w:val="clear" w:pos="2040"/>
        <w:tab w:val="clear" w:pos="6231"/>
      </w:tabs>
      <w:adjustRightInd w:val="0"/>
      <w:snapToGrid w:val="0"/>
      <w:spacing w:before="0" w:beforeLines="0" w:after="0" w:afterLines="0" w:line="360" w:lineRule="auto"/>
      <w:ind w:left="1260" w:hanging="420" w:firstLineChars="200"/>
    </w:pPr>
    <w:rPr>
      <w:rFonts w:cs="宋体"/>
      <w:sz w:val="28"/>
      <w:szCs w:val="20"/>
    </w:rPr>
  </w:style>
  <w:style w:type="paragraph" w:customStyle="1" w:styleId="870">
    <w:name w:val="样式 样式 标题 2标题 2 Char Char + 段前: 0.3 行 + 段前: 0.5 行"/>
    <w:basedOn w:val="863"/>
    <w:uiPriority w:val="0"/>
    <w:pPr>
      <w:spacing w:before="156"/>
    </w:pPr>
  </w:style>
  <w:style w:type="paragraph" w:customStyle="1" w:styleId="871">
    <w:name w:val="样式 表字五号 + 段前: 0.1 行 段后: 0.1 行"/>
    <w:basedOn w:val="836"/>
    <w:uiPriority w:val="0"/>
    <w:pPr>
      <w:spacing w:before="31" w:after="31"/>
    </w:pPr>
    <w:rPr>
      <w:rFonts w:cs="宋体"/>
      <w:szCs w:val="21"/>
    </w:rPr>
  </w:style>
  <w:style w:type="character" w:customStyle="1" w:styleId="872">
    <w:name w:val="正文1 Char Char4"/>
    <w:uiPriority w:val="0"/>
    <w:rPr>
      <w:rFonts w:eastAsia="宋体"/>
      <w:kern w:val="2"/>
      <w:sz w:val="24"/>
      <w:szCs w:val="28"/>
      <w:lang w:val="en-US" w:eastAsia="zh-CN" w:bidi="ar-SA"/>
    </w:rPr>
  </w:style>
  <w:style w:type="character" w:customStyle="1" w:styleId="873">
    <w:name w:val="xxxxxx"/>
    <w:uiPriority w:val="0"/>
    <w:rPr>
      <w:rFonts w:eastAsia="黑体"/>
      <w:kern w:val="2"/>
      <w:sz w:val="30"/>
      <w:szCs w:val="30"/>
      <w:lang w:val="en-US" w:eastAsia="zh-CN" w:bidi="ar-SA"/>
    </w:rPr>
  </w:style>
  <w:style w:type="paragraph" w:customStyle="1" w:styleId="874">
    <w:name w:val="正文1 Char Char"/>
    <w:basedOn w:val="1"/>
    <w:uiPriority w:val="0"/>
    <w:pPr>
      <w:suppressLineNumbers/>
      <w:suppressAutoHyphens/>
      <w:topLinePunct/>
      <w:adjustRightInd w:val="0"/>
      <w:snapToGrid w:val="0"/>
      <w:spacing w:before="156" w:beforeLines="50" w:line="300" w:lineRule="auto"/>
      <w:ind w:firstLine="432" w:firstLineChars="180"/>
    </w:pPr>
    <w:rPr>
      <w:rFonts w:eastAsia="楷体_GB2312"/>
      <w:color w:val="000000"/>
      <w:sz w:val="24"/>
    </w:rPr>
  </w:style>
  <w:style w:type="paragraph" w:customStyle="1" w:styleId="875">
    <w:name w:val="Body Text 21"/>
    <w:basedOn w:val="1"/>
    <w:uiPriority w:val="0"/>
    <w:pPr>
      <w:adjustRightInd w:val="0"/>
      <w:snapToGrid w:val="0"/>
      <w:spacing w:line="480" w:lineRule="exact"/>
      <w:ind w:firstLine="510"/>
      <w:textAlignment w:val="baseline"/>
    </w:pPr>
    <w:rPr>
      <w:rFonts w:eastAsia="楷体_GB2312"/>
      <w:kern w:val="0"/>
      <w:sz w:val="24"/>
      <w:szCs w:val="20"/>
    </w:rPr>
  </w:style>
  <w:style w:type="paragraph" w:customStyle="1" w:styleId="876">
    <w:name w:val="样式 小五 居中 首行缩进:  2 字符"/>
    <w:basedOn w:val="1"/>
    <w:uiPriority w:val="0"/>
    <w:pPr>
      <w:jc w:val="center"/>
    </w:pPr>
    <w:rPr>
      <w:rFonts w:cs="宋体"/>
      <w:sz w:val="18"/>
      <w:szCs w:val="20"/>
    </w:rPr>
  </w:style>
  <w:style w:type="paragraph" w:customStyle="1" w:styleId="877">
    <w:name w:val="样式 标题 1 + 加粗 首行缩进:  0 厘米"/>
    <w:basedOn w:val="2"/>
    <w:uiPriority w:val="0"/>
    <w:pPr>
      <w:widowControl/>
      <w:numPr>
        <w:numId w:val="0"/>
      </w:numPr>
      <w:tabs>
        <w:tab w:val="left" w:pos="1800"/>
        <w:tab w:val="clear" w:pos="294"/>
        <w:tab w:val="clear" w:pos="720"/>
        <w:tab w:val="clear" w:pos="1080"/>
        <w:tab w:val="clear" w:pos="1440"/>
      </w:tabs>
      <w:adjustRightInd/>
      <w:snapToGrid/>
      <w:spacing w:before="360" w:beforeLines="200" w:after="360" w:afterLines="0" w:line="480" w:lineRule="atLeast"/>
    </w:pPr>
    <w:rPr>
      <w:rFonts w:ascii="Times New Roman" w:hAnsi="Times New Roman" w:cs="宋体"/>
      <w:b w:val="0"/>
      <w:bCs/>
      <w:sz w:val="44"/>
      <w:szCs w:val="44"/>
    </w:rPr>
  </w:style>
  <w:style w:type="paragraph" w:customStyle="1" w:styleId="878">
    <w:name w:val="正文大"/>
    <w:basedOn w:val="1"/>
    <w:uiPriority w:val="0"/>
    <w:pPr>
      <w:spacing w:line="480" w:lineRule="auto"/>
      <w:ind w:firstLine="539"/>
    </w:pPr>
    <w:rPr>
      <w:b/>
      <w:sz w:val="24"/>
    </w:rPr>
  </w:style>
  <w:style w:type="character" w:customStyle="1" w:styleId="879">
    <w:name w:val="dectext1"/>
    <w:uiPriority w:val="0"/>
    <w:rPr>
      <w:rFonts w:hint="eastAsia" w:ascii="宋体" w:hAnsi="宋体" w:eastAsia="宋体"/>
      <w:color w:val="333333"/>
      <w:kern w:val="2"/>
      <w:sz w:val="21"/>
      <w:szCs w:val="21"/>
      <w:u w:val="none"/>
      <w:lang w:val="en-US" w:eastAsia="zh-CN" w:bidi="ar-SA"/>
    </w:rPr>
  </w:style>
  <w:style w:type="paragraph" w:customStyle="1" w:styleId="880">
    <w:name w:val="样式 表名1 + 段前: 0.3 行1"/>
    <w:basedOn w:val="677"/>
    <w:uiPriority w:val="0"/>
    <w:pPr>
      <w:keepNext w:val="0"/>
      <w:overflowPunct/>
      <w:spacing w:before="72" w:beforeLines="30" w:line="300" w:lineRule="auto"/>
      <w:textAlignment w:val="auto"/>
    </w:pPr>
    <w:rPr>
      <w:rFonts w:cs="宋体"/>
      <w:kern w:val="2"/>
      <w:sz w:val="24"/>
      <w:szCs w:val="24"/>
    </w:rPr>
  </w:style>
  <w:style w:type="paragraph" w:customStyle="1" w:styleId="881">
    <w:name w:val="正文1 Char Char Char"/>
    <w:basedOn w:val="1"/>
    <w:uiPriority w:val="0"/>
    <w:pPr>
      <w:suppressLineNumbers/>
      <w:suppressAutoHyphens/>
      <w:topLinePunct/>
      <w:adjustRightInd w:val="0"/>
      <w:snapToGrid w:val="0"/>
      <w:spacing w:line="360" w:lineRule="auto"/>
      <w:ind w:firstLine="480" w:firstLineChars="200"/>
    </w:pPr>
    <w:rPr>
      <w:sz w:val="24"/>
    </w:rPr>
  </w:style>
  <w:style w:type="paragraph" w:customStyle="1" w:styleId="882">
    <w:name w:val="列表名称 Char Char"/>
    <w:basedOn w:val="1"/>
    <w:uiPriority w:val="0"/>
    <w:pPr>
      <w:tabs>
        <w:tab w:val="left" w:pos="3777"/>
        <w:tab w:val="left" w:pos="5106"/>
        <w:tab w:val="left" w:pos="6313"/>
        <w:tab w:val="left" w:pos="7998"/>
        <w:tab w:val="left" w:pos="9238"/>
      </w:tabs>
      <w:spacing w:line="480" w:lineRule="exact"/>
      <w:jc w:val="center"/>
    </w:pPr>
    <w:rPr>
      <w:rFonts w:eastAsia="黑体"/>
      <w:bCs/>
      <w:sz w:val="24"/>
    </w:rPr>
  </w:style>
  <w:style w:type="paragraph" w:customStyle="1" w:styleId="883">
    <w:name w:val="样式 列表列表 Char列表 Char Char Char Char Char1列表 Char Char Char Cha..."/>
    <w:basedOn w:val="67"/>
    <w:uiPriority w:val="0"/>
    <w:pPr>
      <w:spacing w:line="500" w:lineRule="exact"/>
      <w:ind w:left="0" w:firstLine="200" w:firstLineChars="200"/>
      <w:jc w:val="center"/>
    </w:pPr>
    <w:rPr>
      <w:rFonts w:eastAsia="黑体"/>
    </w:rPr>
  </w:style>
  <w:style w:type="paragraph" w:customStyle="1" w:styleId="884">
    <w:name w:val="样式 正文1 Char Char + 字距调整七号 Char"/>
    <w:basedOn w:val="1"/>
    <w:uiPriority w:val="0"/>
    <w:pPr>
      <w:suppressLineNumbers/>
      <w:suppressAutoHyphens/>
      <w:topLinePunct/>
      <w:adjustRightInd w:val="0"/>
      <w:snapToGrid w:val="0"/>
      <w:spacing w:line="360" w:lineRule="auto"/>
      <w:ind w:firstLine="480" w:firstLineChars="200"/>
    </w:pPr>
    <w:rPr>
      <w:kern w:val="11"/>
      <w:sz w:val="24"/>
    </w:rPr>
  </w:style>
  <w:style w:type="paragraph" w:customStyle="1" w:styleId="885">
    <w:name w:val="正文1 Char Char Char Char"/>
    <w:basedOn w:val="1"/>
    <w:uiPriority w:val="0"/>
    <w:pPr>
      <w:suppressLineNumbers/>
      <w:suppressAutoHyphens/>
      <w:topLinePunct/>
      <w:adjustRightInd w:val="0"/>
      <w:snapToGrid w:val="0"/>
      <w:spacing w:line="360" w:lineRule="auto"/>
      <w:ind w:firstLine="480" w:firstLineChars="200"/>
    </w:pPr>
    <w:rPr>
      <w:sz w:val="24"/>
    </w:rPr>
  </w:style>
  <w:style w:type="paragraph" w:customStyle="1" w:styleId="886">
    <w:name w:val="样式 正文1 Char Char + 字距调整七号 Char1"/>
    <w:basedOn w:val="1"/>
    <w:uiPriority w:val="0"/>
    <w:pPr>
      <w:suppressLineNumbers/>
      <w:suppressAutoHyphens/>
      <w:topLinePunct/>
      <w:adjustRightInd w:val="0"/>
      <w:snapToGrid w:val="0"/>
      <w:spacing w:line="360" w:lineRule="auto"/>
      <w:ind w:firstLine="480" w:firstLineChars="200"/>
    </w:pPr>
    <w:rPr>
      <w:kern w:val="11"/>
      <w:sz w:val="24"/>
    </w:rPr>
  </w:style>
  <w:style w:type="paragraph" w:customStyle="1" w:styleId="887">
    <w:name w:val="正文1 Char Char Char Char1"/>
    <w:basedOn w:val="1"/>
    <w:uiPriority w:val="0"/>
    <w:pPr>
      <w:suppressLineNumbers/>
      <w:suppressAutoHyphens/>
      <w:topLinePunct/>
      <w:adjustRightInd w:val="0"/>
      <w:snapToGrid w:val="0"/>
      <w:spacing w:line="360" w:lineRule="auto"/>
      <w:ind w:firstLine="480" w:firstLineChars="200"/>
    </w:pPr>
    <w:rPr>
      <w:sz w:val="24"/>
    </w:rPr>
  </w:style>
  <w:style w:type="character" w:customStyle="1" w:styleId="888">
    <w:name w:val="列表名称 Char Char Char"/>
    <w:uiPriority w:val="0"/>
    <w:rPr>
      <w:rFonts w:eastAsia="黑体"/>
      <w:bCs/>
      <w:kern w:val="2"/>
      <w:sz w:val="24"/>
      <w:szCs w:val="24"/>
      <w:lang w:val="en-US" w:eastAsia="zh-CN" w:bidi="ar-SA"/>
    </w:rPr>
  </w:style>
  <w:style w:type="paragraph" w:customStyle="1" w:styleId="889">
    <w:name w:val="样式 样式 正文1 + 首行缩进:  2 字符2 + 首行缩进:  2 字符"/>
    <w:basedOn w:val="1"/>
    <w:uiPriority w:val="0"/>
    <w:pPr>
      <w:suppressLineNumbers/>
      <w:suppressAutoHyphens/>
      <w:adjustRightInd w:val="0"/>
      <w:snapToGrid w:val="0"/>
      <w:spacing w:before="24" w:beforeLines="10" w:after="24" w:afterLines="10" w:line="360" w:lineRule="auto"/>
      <w:ind w:firstLine="480" w:firstLineChars="200"/>
    </w:pPr>
    <w:rPr>
      <w:color w:val="000000"/>
      <w:sz w:val="24"/>
    </w:rPr>
  </w:style>
  <w:style w:type="paragraph" w:customStyle="1" w:styleId="890">
    <w:name w:val="Puce fleche"/>
    <w:basedOn w:val="17"/>
    <w:uiPriority w:val="0"/>
    <w:pPr>
      <w:widowControl/>
      <w:tabs>
        <w:tab w:val="left" w:pos="851"/>
      </w:tabs>
      <w:spacing w:before="60" w:line="240" w:lineRule="auto"/>
      <w:ind w:left="851" w:hanging="851" w:firstLineChars="0"/>
      <w:jc w:val="both"/>
    </w:pPr>
    <w:rPr>
      <w:rFonts w:eastAsia="宋体" w:cs="Times New Roman"/>
      <w:kern w:val="0"/>
      <w:sz w:val="20"/>
      <w:szCs w:val="20"/>
      <w:lang w:val="en-GB" w:eastAsia="fr-FR"/>
    </w:rPr>
  </w:style>
  <w:style w:type="paragraph" w:customStyle="1" w:styleId="891">
    <w:name w:val="Lettre-8pts"/>
    <w:basedOn w:val="1"/>
    <w:uiPriority w:val="0"/>
    <w:pPr>
      <w:keepLines/>
      <w:widowControl/>
      <w:tabs>
        <w:tab w:val="left" w:pos="1280"/>
      </w:tabs>
      <w:spacing w:before="160"/>
      <w:ind w:left="1280" w:hanging="720"/>
    </w:pPr>
    <w:rPr>
      <w:rFonts w:ascii="Arial" w:hAnsi="Arial"/>
      <w:kern w:val="0"/>
      <w:sz w:val="20"/>
      <w:szCs w:val="20"/>
      <w:lang w:eastAsia="fr-FR"/>
    </w:rPr>
  </w:style>
  <w:style w:type="paragraph" w:customStyle="1" w:styleId="892">
    <w:name w:val="Numéro-8pts"/>
    <w:basedOn w:val="1"/>
    <w:uiPriority w:val="0"/>
    <w:pPr>
      <w:keepLines/>
      <w:widowControl/>
      <w:tabs>
        <w:tab w:val="left" w:pos="0"/>
      </w:tabs>
      <w:spacing w:before="160"/>
      <w:ind w:left="1418" w:hanging="284"/>
    </w:pPr>
    <w:rPr>
      <w:rFonts w:ascii="Arial" w:hAnsi="Arial"/>
      <w:spacing w:val="-2"/>
      <w:kern w:val="0"/>
      <w:sz w:val="20"/>
      <w:szCs w:val="20"/>
      <w:lang w:eastAsia="fr-FR"/>
    </w:rPr>
  </w:style>
  <w:style w:type="paragraph" w:customStyle="1" w:styleId="893">
    <w:name w:val="Puce1-8 pts"/>
    <w:basedOn w:val="894"/>
    <w:uiPriority w:val="0"/>
    <w:pPr>
      <w:keepLines/>
      <w:tabs>
        <w:tab w:val="left" w:pos="0"/>
        <w:tab w:val="left" w:pos="851"/>
        <w:tab w:val="left" w:pos="1560"/>
      </w:tabs>
      <w:spacing w:before="160"/>
      <w:ind w:left="851" w:hanging="851"/>
    </w:pPr>
  </w:style>
  <w:style w:type="paragraph" w:customStyle="1" w:styleId="894">
    <w:name w:val="puce1-3pts"/>
    <w:basedOn w:val="1"/>
    <w:uiPriority w:val="0"/>
    <w:pPr>
      <w:widowControl/>
      <w:tabs>
        <w:tab w:val="left" w:pos="0"/>
        <w:tab w:val="left" w:pos="1560"/>
      </w:tabs>
      <w:spacing w:before="60"/>
      <w:ind w:left="1559" w:hanging="425"/>
    </w:pPr>
    <w:rPr>
      <w:rFonts w:ascii="Arial" w:hAnsi="Arial" w:eastAsia="MS Mincho"/>
      <w:kern w:val="0"/>
      <w:sz w:val="20"/>
      <w:szCs w:val="20"/>
      <w:lang w:eastAsia="fr-FR"/>
    </w:rPr>
  </w:style>
  <w:style w:type="paragraph" w:customStyle="1" w:styleId="895">
    <w:name w:val="Puce2-3pts"/>
    <w:basedOn w:val="1"/>
    <w:uiPriority w:val="0"/>
    <w:pPr>
      <w:keepLines/>
      <w:widowControl/>
      <w:tabs>
        <w:tab w:val="left" w:pos="1200"/>
        <w:tab w:val="left" w:pos="1843"/>
      </w:tabs>
      <w:spacing w:before="60"/>
      <w:ind w:left="1843" w:hanging="720"/>
    </w:pPr>
    <w:rPr>
      <w:rFonts w:ascii="Arial" w:hAnsi="Arial" w:eastAsia="MS Mincho"/>
      <w:kern w:val="0"/>
      <w:sz w:val="20"/>
      <w:szCs w:val="20"/>
      <w:lang w:eastAsia="fr-FR"/>
    </w:rPr>
  </w:style>
  <w:style w:type="paragraph" w:customStyle="1" w:styleId="896">
    <w:name w:val="Puce2-8pts"/>
    <w:basedOn w:val="1"/>
    <w:uiPriority w:val="0"/>
    <w:pPr>
      <w:keepLines/>
      <w:widowControl/>
      <w:tabs>
        <w:tab w:val="left" w:pos="-283"/>
        <w:tab w:val="left" w:pos="1200"/>
      </w:tabs>
      <w:spacing w:before="160"/>
      <w:ind w:left="1701" w:hanging="720"/>
    </w:pPr>
    <w:rPr>
      <w:rFonts w:ascii="Arial" w:hAnsi="Arial"/>
      <w:kern w:val="0"/>
      <w:sz w:val="20"/>
      <w:szCs w:val="20"/>
      <w:lang w:eastAsia="fr-FR"/>
    </w:rPr>
  </w:style>
  <w:style w:type="paragraph" w:customStyle="1" w:styleId="897">
    <w:name w:val="样式 标题 1 + 首行缩进:  0 厘米 段前: 6 磅 段后: 12 磅 行距: 最小值 28 磅"/>
    <w:basedOn w:val="2"/>
    <w:uiPriority w:val="0"/>
    <w:pPr>
      <w:pageBreakBefore/>
      <w:widowControl/>
      <w:numPr>
        <w:numId w:val="0"/>
      </w:numPr>
      <w:tabs>
        <w:tab w:val="left" w:pos="1800"/>
        <w:tab w:val="clear" w:pos="294"/>
        <w:tab w:val="clear" w:pos="720"/>
        <w:tab w:val="clear" w:pos="1080"/>
        <w:tab w:val="clear" w:pos="1440"/>
      </w:tabs>
      <w:adjustRightInd/>
      <w:snapToGrid/>
      <w:spacing w:beforeLines="200" w:after="624" w:afterLines="0" w:line="560" w:lineRule="exact"/>
    </w:pPr>
    <w:rPr>
      <w:rFonts w:ascii="黑体" w:hAnsi="Times New Roman" w:eastAsia="黑体" w:cs="宋体"/>
      <w:b w:val="0"/>
      <w:bCs/>
      <w:color w:val="000000"/>
      <w:sz w:val="32"/>
      <w:szCs w:val="32"/>
      <w:u w:color="000000"/>
    </w:rPr>
  </w:style>
  <w:style w:type="paragraph" w:customStyle="1" w:styleId="898">
    <w:name w:val="样式 标题 1 + 首行缩进:  0 厘米 段前: 6 磅 段后: 6 磅 行距: 固定值 28 磅"/>
    <w:basedOn w:val="2"/>
    <w:uiPriority w:val="0"/>
    <w:pPr>
      <w:pageBreakBefore/>
      <w:widowControl/>
      <w:numPr>
        <w:numId w:val="0"/>
      </w:numPr>
      <w:tabs>
        <w:tab w:val="left" w:pos="1800"/>
        <w:tab w:val="clear" w:pos="294"/>
        <w:tab w:val="clear" w:pos="720"/>
        <w:tab w:val="clear" w:pos="1080"/>
        <w:tab w:val="clear" w:pos="1440"/>
      </w:tabs>
      <w:adjustRightInd/>
      <w:snapToGrid/>
      <w:spacing w:beforeLines="200" w:after="120" w:afterLines="0" w:line="560" w:lineRule="exact"/>
    </w:pPr>
    <w:rPr>
      <w:rFonts w:ascii="黑体" w:hAnsi="Times New Roman" w:eastAsia="黑体" w:cs="宋体"/>
      <w:b w:val="0"/>
      <w:bCs/>
      <w:color w:val="000000"/>
      <w:sz w:val="32"/>
      <w:szCs w:val="32"/>
      <w:u w:color="000000"/>
    </w:rPr>
  </w:style>
  <w:style w:type="character" w:customStyle="1" w:styleId="899">
    <w:name w:val="列表1 C"/>
    <w:uiPriority w:val="0"/>
    <w:rPr>
      <w:rFonts w:eastAsia="黑体"/>
      <w:kern w:val="2"/>
      <w:sz w:val="22"/>
      <w:szCs w:val="22"/>
      <w:lang w:val="en-US" w:eastAsia="zh-CN" w:bidi="ar-SA"/>
    </w:rPr>
  </w:style>
  <w:style w:type="paragraph" w:customStyle="1" w:styleId="900">
    <w:name w:val="正文1 Char Char2 Char"/>
    <w:basedOn w:val="1"/>
    <w:uiPriority w:val="0"/>
    <w:pPr>
      <w:adjustRightInd w:val="0"/>
      <w:snapToGrid w:val="0"/>
      <w:spacing w:line="516" w:lineRule="exact"/>
      <w:ind w:firstLine="200" w:firstLineChars="200"/>
    </w:pPr>
    <w:rPr>
      <w:rFonts w:eastAsia="仿宋_GB2312"/>
      <w:sz w:val="26"/>
      <w:szCs w:val="26"/>
    </w:rPr>
  </w:style>
  <w:style w:type="paragraph" w:customStyle="1" w:styleId="901">
    <w:name w:val="图头"/>
    <w:basedOn w:val="1"/>
    <w:uiPriority w:val="0"/>
    <w:pPr>
      <w:spacing w:line="400" w:lineRule="exact"/>
      <w:jc w:val="center"/>
    </w:pPr>
    <w:rPr>
      <w:rFonts w:ascii="黑体" w:eastAsia="黑体"/>
      <w:sz w:val="24"/>
    </w:rPr>
  </w:style>
  <w:style w:type="paragraph" w:customStyle="1" w:styleId="902">
    <w:name w:val="样式 标题 1 + Times New Roman 非加粗"/>
    <w:basedOn w:val="2"/>
    <w:uiPriority w:val="0"/>
    <w:pPr>
      <w:numPr>
        <w:numId w:val="0"/>
      </w:numPr>
      <w:shd w:val="clear" w:color="auto" w:fill="FFFFFF"/>
      <w:tabs>
        <w:tab w:val="clear" w:pos="294"/>
        <w:tab w:val="clear" w:pos="720"/>
        <w:tab w:val="clear" w:pos="1080"/>
        <w:tab w:val="clear" w:pos="1440"/>
      </w:tabs>
      <w:adjustRightInd/>
      <w:snapToGrid/>
      <w:spacing w:before="120" w:beforeLines="200" w:after="120" w:afterLines="0" w:line="560" w:lineRule="exact"/>
    </w:pPr>
    <w:rPr>
      <w:rFonts w:ascii="黑体" w:hAnsi="Arial" w:eastAsia="黑体" w:cs="Arial"/>
      <w:b w:val="0"/>
      <w:kern w:val="32"/>
      <w:sz w:val="32"/>
      <w:szCs w:val="24"/>
    </w:rPr>
  </w:style>
  <w:style w:type="paragraph" w:customStyle="1" w:styleId="903">
    <w:name w:val="样式 标题 3头小标题小节标题Sottoparagrafo标题 3 Char3标题 3 Char1 Char1So..."/>
    <w:basedOn w:val="5"/>
    <w:uiPriority w:val="0"/>
    <w:pPr>
      <w:numPr>
        <w:ilvl w:val="0"/>
        <w:numId w:val="0"/>
      </w:numPr>
      <w:tabs>
        <w:tab w:val="clear" w:pos="780"/>
        <w:tab w:val="clear" w:pos="840"/>
        <w:tab w:val="clear" w:pos="1140"/>
        <w:tab w:val="clear" w:pos="1200"/>
        <w:tab w:val="clear" w:pos="1620"/>
        <w:tab w:val="clear" w:pos="2040"/>
        <w:tab w:val="clear" w:pos="6231"/>
      </w:tabs>
      <w:snapToGrid w:val="0"/>
      <w:spacing w:before="240" w:beforeLines="0" w:after="240" w:afterLines="0" w:line="480" w:lineRule="exact"/>
    </w:pPr>
    <w:rPr>
      <w:kern w:val="0"/>
      <w:sz w:val="28"/>
      <w:szCs w:val="20"/>
    </w:rPr>
  </w:style>
  <w:style w:type="paragraph" w:customStyle="1" w:styleId="904">
    <w:name w:val="正文31"/>
    <w:basedOn w:val="1"/>
    <w:uiPriority w:val="0"/>
    <w:pPr>
      <w:adjustRightInd w:val="0"/>
      <w:snapToGrid w:val="0"/>
      <w:spacing w:line="560" w:lineRule="exact"/>
      <w:ind w:firstLine="200" w:firstLineChars="200"/>
    </w:pPr>
    <w:rPr>
      <w:rFonts w:eastAsia="仿宋_GB2312"/>
      <w:sz w:val="28"/>
      <w:szCs w:val="28"/>
    </w:rPr>
  </w:style>
  <w:style w:type="paragraph" w:customStyle="1" w:styleId="905">
    <w:name w:val="普通(Web)1"/>
    <w:basedOn w:val="1"/>
    <w:uiPriority w:val="0"/>
    <w:pPr>
      <w:widowControl/>
      <w:spacing w:before="75" w:after="100" w:afterAutospacing="1"/>
      <w:jc w:val="left"/>
    </w:pPr>
    <w:rPr>
      <w:rFonts w:ascii="宋体" w:hAnsi="宋体" w:cs="宋体"/>
      <w:kern w:val="0"/>
      <w:sz w:val="24"/>
    </w:rPr>
  </w:style>
  <w:style w:type="paragraph" w:customStyle="1" w:styleId="906">
    <w:name w:val="样式 正文1 Char + 仿宋_GB2312 四号 首行缩进:  2 字符 Char Char"/>
    <w:basedOn w:val="1"/>
    <w:uiPriority w:val="0"/>
    <w:pPr>
      <w:suppressLineNumbers/>
      <w:suppressAutoHyphens/>
      <w:topLinePunct/>
      <w:adjustRightInd w:val="0"/>
      <w:snapToGrid w:val="0"/>
      <w:spacing w:line="360" w:lineRule="auto"/>
      <w:ind w:firstLine="560" w:firstLineChars="200"/>
    </w:pPr>
    <w:rPr>
      <w:rFonts w:ascii="宋体" w:hAnsi="宋体" w:cs="宋体"/>
      <w:sz w:val="28"/>
      <w:szCs w:val="28"/>
    </w:rPr>
  </w:style>
  <w:style w:type="paragraph" w:customStyle="1" w:styleId="907">
    <w:name w:val="Char Char Char4"/>
    <w:basedOn w:val="1"/>
    <w:uiPriority w:val="0"/>
    <w:pPr>
      <w:spacing w:after="156" w:afterLines="50" w:line="560" w:lineRule="exact"/>
    </w:pPr>
    <w:rPr>
      <w:rFonts w:eastAsia="黑体"/>
      <w:sz w:val="30"/>
      <w:szCs w:val="30"/>
    </w:rPr>
  </w:style>
  <w:style w:type="paragraph" w:customStyle="1" w:styleId="908">
    <w:name w:val="表格文字1 Char Char Char Char"/>
    <w:basedOn w:val="1"/>
    <w:link w:val="909"/>
    <w:semiHidden/>
    <w:uiPriority w:val="0"/>
    <w:pPr>
      <w:adjustRightInd w:val="0"/>
      <w:snapToGrid w:val="0"/>
      <w:jc w:val="center"/>
    </w:pPr>
    <w:rPr>
      <w:rFonts w:ascii="宋体" w:hAnsi="宋体" w:eastAsia="宋体-方正超大字符集"/>
      <w:szCs w:val="21"/>
      <w:lang w:val="zh-CN" w:eastAsia="zh-CN"/>
    </w:rPr>
  </w:style>
  <w:style w:type="character" w:customStyle="1" w:styleId="909">
    <w:name w:val="表格文字1 Char Char Char Char Char"/>
    <w:link w:val="908"/>
    <w:uiPriority w:val="0"/>
    <w:rPr>
      <w:rFonts w:ascii="宋体" w:hAnsi="宋体" w:eastAsia="宋体-方正超大字符集" w:cs="Times New Roman"/>
      <w:szCs w:val="21"/>
      <w:lang w:val="zh-CN" w:eastAsia="zh-CN"/>
    </w:rPr>
  </w:style>
  <w:style w:type="paragraph" w:customStyle="1" w:styleId="910">
    <w:name w:val="表名 Char"/>
    <w:basedOn w:val="1"/>
    <w:link w:val="911"/>
    <w:uiPriority w:val="0"/>
    <w:pPr>
      <w:spacing w:line="480" w:lineRule="exact"/>
      <w:jc w:val="center"/>
    </w:pPr>
    <w:rPr>
      <w:rFonts w:eastAsia="黑体"/>
      <w:sz w:val="24"/>
      <w:lang w:val="zh-CN" w:eastAsia="zh-CN"/>
    </w:rPr>
  </w:style>
  <w:style w:type="character" w:customStyle="1" w:styleId="911">
    <w:name w:val="表名 Char Char"/>
    <w:link w:val="910"/>
    <w:uiPriority w:val="0"/>
    <w:rPr>
      <w:rFonts w:ascii="Times New Roman" w:hAnsi="Times New Roman" w:eastAsia="黑体" w:cs="Times New Roman"/>
      <w:sz w:val="24"/>
      <w:szCs w:val="24"/>
      <w:lang w:val="zh-CN" w:eastAsia="zh-CN"/>
    </w:rPr>
  </w:style>
  <w:style w:type="paragraph" w:customStyle="1" w:styleId="912">
    <w:name w:val="样式 表名1 + 段前: 0.3 行2"/>
    <w:basedOn w:val="1"/>
    <w:uiPriority w:val="0"/>
    <w:pPr>
      <w:adjustRightInd w:val="0"/>
      <w:snapToGrid w:val="0"/>
      <w:spacing w:before="93" w:beforeLines="30" w:after="62" w:afterLines="20"/>
      <w:jc w:val="center"/>
    </w:pPr>
    <w:rPr>
      <w:rFonts w:eastAsia="黑体" w:cs="宋体"/>
      <w:color w:val="000000"/>
      <w:sz w:val="24"/>
      <w:szCs w:val="20"/>
    </w:rPr>
  </w:style>
  <w:style w:type="character" w:customStyle="1" w:styleId="913">
    <w:name w:val="puntext"/>
    <w:uiPriority w:val="0"/>
    <w:rPr>
      <w:rFonts w:eastAsia="黑体"/>
      <w:kern w:val="2"/>
      <w:sz w:val="30"/>
      <w:szCs w:val="30"/>
      <w:lang w:val="en-US" w:eastAsia="zh-CN" w:bidi="ar-SA"/>
    </w:rPr>
  </w:style>
  <w:style w:type="paragraph" w:customStyle="1" w:styleId="914">
    <w:name w:val="标题3 Char Char Char"/>
    <w:basedOn w:val="1"/>
    <w:uiPriority w:val="0"/>
    <w:pPr>
      <w:spacing w:after="156" w:afterLines="50" w:line="560" w:lineRule="exact"/>
    </w:pPr>
    <w:rPr>
      <w:rFonts w:eastAsia="黑体"/>
      <w:sz w:val="30"/>
      <w:szCs w:val="30"/>
    </w:rPr>
  </w:style>
  <w:style w:type="paragraph" w:customStyle="1" w:styleId="915">
    <w:name w:val="标题3 Char Char Char Char Char Char1 Char Char Char"/>
    <w:basedOn w:val="1"/>
    <w:uiPriority w:val="0"/>
    <w:pPr>
      <w:spacing w:after="156" w:afterLines="50" w:line="560" w:lineRule="exact"/>
    </w:pPr>
    <w:rPr>
      <w:rFonts w:eastAsia="黑体"/>
      <w:sz w:val="30"/>
      <w:szCs w:val="30"/>
    </w:rPr>
  </w:style>
  <w:style w:type="table" w:customStyle="1" w:styleId="916">
    <w:name w:val="网格型1"/>
    <w:basedOn w:val="104"/>
    <w:uiPriority w:val="0"/>
    <w:pPr>
      <w:widowControl w:val="0"/>
      <w:spacing w:line="360" w:lineRule="auto"/>
      <w:ind w:firstLine="480" w:firstLineChars="20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917">
    <w:name w:val="8 Char1"/>
    <w:basedOn w:val="1"/>
    <w:link w:val="918"/>
    <w:semiHidden/>
    <w:uiPriority w:val="0"/>
    <w:pPr>
      <w:spacing w:line="360" w:lineRule="auto"/>
      <w:ind w:firstLine="480" w:firstLineChars="200"/>
    </w:pPr>
    <w:rPr>
      <w:kern w:val="10"/>
      <w:sz w:val="24"/>
      <w:lang w:val="zh-CN" w:eastAsia="zh-CN"/>
    </w:rPr>
  </w:style>
  <w:style w:type="character" w:customStyle="1" w:styleId="918">
    <w:name w:val="8 Char1 Char"/>
    <w:link w:val="917"/>
    <w:uiPriority w:val="0"/>
    <w:rPr>
      <w:rFonts w:ascii="Times New Roman" w:hAnsi="Times New Roman" w:eastAsia="宋体" w:cs="Times New Roman"/>
      <w:kern w:val="10"/>
      <w:sz w:val="24"/>
      <w:szCs w:val="24"/>
      <w:lang w:val="zh-CN" w:eastAsia="zh-CN"/>
    </w:rPr>
  </w:style>
  <w:style w:type="paragraph" w:customStyle="1" w:styleId="919">
    <w:name w:val="公式"/>
    <w:basedOn w:val="1"/>
    <w:uiPriority w:val="0"/>
    <w:pPr>
      <w:spacing w:line="360" w:lineRule="auto"/>
      <w:ind w:firstLine="482"/>
      <w:jc w:val="center"/>
    </w:pPr>
    <w:rPr>
      <w:rFonts w:ascii="Arial" w:cs="Arial"/>
      <w:sz w:val="24"/>
    </w:rPr>
  </w:style>
  <w:style w:type="paragraph" w:customStyle="1" w:styleId="920">
    <w:name w:val="样式 标题 2H2Heading 2 HiddenHeading 2 CCBS2nd levelh22Header..."/>
    <w:basedOn w:val="3"/>
    <w:uiPriority w:val="0"/>
    <w:pPr>
      <w:numPr>
        <w:ilvl w:val="0"/>
        <w:numId w:val="0"/>
      </w:numPr>
      <w:tabs>
        <w:tab w:val="clear" w:pos="780"/>
        <w:tab w:val="clear" w:pos="840"/>
        <w:tab w:val="clear" w:pos="1140"/>
        <w:tab w:val="clear" w:pos="1200"/>
        <w:tab w:val="clear" w:pos="1620"/>
        <w:tab w:val="clear" w:pos="2040"/>
        <w:tab w:val="clear" w:pos="6231"/>
      </w:tabs>
      <w:adjustRightInd/>
      <w:spacing w:before="120" w:beforeLines="0" w:after="120" w:afterLines="0" w:line="440" w:lineRule="exact"/>
      <w:jc w:val="left"/>
    </w:pPr>
    <w:rPr>
      <w:rFonts w:ascii="Arial" w:hAnsi="Arial" w:eastAsia="黑体" w:cs="宋体"/>
      <w:bCs/>
      <w:sz w:val="24"/>
      <w:szCs w:val="20"/>
    </w:rPr>
  </w:style>
  <w:style w:type="paragraph" w:customStyle="1" w:styleId="921">
    <w:name w:val="样式 标题 3小标题标题 3 Char头小节标题 + 段前: 12 磅 段后: 18 磅 行距: 固定值 25 磅"/>
    <w:basedOn w:val="5"/>
    <w:uiPriority w:val="0"/>
    <w:pPr>
      <w:numPr>
        <w:numId w:val="0"/>
      </w:numPr>
      <w:spacing w:before="120" w:beforeLines="0" w:after="120" w:afterLines="0" w:line="440" w:lineRule="exact"/>
    </w:pPr>
    <w:rPr>
      <w:rFonts w:ascii="Arial" w:cs="宋体"/>
      <w:b/>
      <w:bCs/>
      <w:szCs w:val="20"/>
    </w:rPr>
  </w:style>
  <w:style w:type="paragraph" w:customStyle="1" w:styleId="922">
    <w:name w:val="样式 表格 + 左侧:  0.85 厘米"/>
    <w:basedOn w:val="1"/>
    <w:uiPriority w:val="0"/>
    <w:rPr>
      <w:rFonts w:ascii="宋体" w:hAnsi="宋体" w:cs="宋体"/>
      <w:color w:val="000000"/>
      <w:sz w:val="18"/>
      <w:szCs w:val="20"/>
    </w:rPr>
  </w:style>
  <w:style w:type="paragraph" w:customStyle="1" w:styleId="923">
    <w:name w:val="样式 表格1 + 左侧:  0.85 厘米"/>
    <w:basedOn w:val="403"/>
    <w:uiPriority w:val="0"/>
    <w:pPr>
      <w:adjustRightInd w:val="0"/>
      <w:snapToGrid w:val="0"/>
      <w:spacing w:line="240" w:lineRule="auto"/>
      <w:ind w:firstLine="0" w:firstLineChars="0"/>
      <w:jc w:val="center"/>
    </w:pPr>
    <w:rPr>
      <w:rFonts w:ascii="宋体" w:hAnsi="宋体" w:cs="宋体"/>
      <w:color w:val="000000"/>
      <w:sz w:val="18"/>
      <w:szCs w:val="20"/>
      <w:lang w:val="zh-CN" w:eastAsia="zh-CN"/>
    </w:rPr>
  </w:style>
  <w:style w:type="paragraph" w:customStyle="1" w:styleId="924">
    <w:name w:val="样式 表格 + 段后: 6 磅3"/>
    <w:basedOn w:val="1"/>
    <w:uiPriority w:val="0"/>
    <w:rPr>
      <w:rFonts w:ascii="宋体" w:hAnsi="宋体" w:cs="宋体"/>
      <w:color w:val="000000"/>
      <w:sz w:val="18"/>
      <w:szCs w:val="20"/>
    </w:rPr>
  </w:style>
  <w:style w:type="paragraph" w:customStyle="1" w:styleId="925">
    <w:name w:val="二级标题"/>
    <w:basedOn w:val="2"/>
    <w:uiPriority w:val="0"/>
    <w:pPr>
      <w:numPr>
        <w:numId w:val="0"/>
      </w:numPr>
      <w:tabs>
        <w:tab w:val="left" w:pos="567"/>
        <w:tab w:val="clear" w:pos="294"/>
        <w:tab w:val="clear" w:pos="720"/>
        <w:tab w:val="clear" w:pos="1080"/>
        <w:tab w:val="clear" w:pos="1440"/>
      </w:tabs>
      <w:adjustRightInd/>
      <w:snapToGrid/>
      <w:spacing w:before="624" w:beforeLines="200" w:after="0" w:afterLines="0" w:line="360" w:lineRule="auto"/>
      <w:ind w:left="567" w:hanging="567"/>
    </w:pPr>
    <w:rPr>
      <w:rFonts w:ascii="Times New Roman" w:hAnsi="Times New Roman" w:cs="Arial"/>
      <w:b w:val="0"/>
      <w:bCs/>
      <w:color w:val="000000"/>
      <w:sz w:val="28"/>
      <w:szCs w:val="28"/>
    </w:rPr>
  </w:style>
  <w:style w:type="paragraph" w:customStyle="1" w:styleId="926">
    <w:name w:val="质报书正文"/>
    <w:basedOn w:val="1"/>
    <w:uiPriority w:val="0"/>
    <w:pPr>
      <w:ind w:firstLine="480" w:firstLineChars="200"/>
    </w:pPr>
    <w:rPr>
      <w:kern w:val="0"/>
      <w:sz w:val="24"/>
    </w:rPr>
  </w:style>
  <w:style w:type="character" w:customStyle="1" w:styleId="927">
    <w:name w:val="标题51"/>
    <w:uiPriority w:val="0"/>
    <w:rPr>
      <w:rFonts w:eastAsia="宋体"/>
      <w:b/>
      <w:sz w:val="24"/>
    </w:rPr>
  </w:style>
  <w:style w:type="paragraph" w:customStyle="1" w:styleId="928">
    <w:name w:val="Body Text Indent 21"/>
    <w:basedOn w:val="1"/>
    <w:uiPriority w:val="0"/>
    <w:pPr>
      <w:adjustRightInd w:val="0"/>
      <w:spacing w:line="360" w:lineRule="auto"/>
      <w:ind w:firstLine="480"/>
      <w:textAlignment w:val="baseline"/>
    </w:pPr>
    <w:rPr>
      <w:rFonts w:ascii="宋体"/>
      <w:kern w:val="0"/>
      <w:sz w:val="24"/>
      <w:szCs w:val="20"/>
    </w:rPr>
  </w:style>
  <w:style w:type="paragraph" w:customStyle="1" w:styleId="929">
    <w:name w:val="表格文字小四"/>
    <w:basedOn w:val="1"/>
    <w:uiPriority w:val="0"/>
    <w:pPr>
      <w:jc w:val="center"/>
    </w:pPr>
    <w:rPr>
      <w:rFonts w:ascii="Times" w:hAnsi="Times"/>
      <w:kern w:val="24"/>
      <w:sz w:val="24"/>
    </w:rPr>
  </w:style>
  <w:style w:type="paragraph" w:customStyle="1" w:styleId="930">
    <w:name w:val="style21"/>
    <w:basedOn w:val="1"/>
    <w:uiPriority w:val="0"/>
    <w:pPr>
      <w:widowControl/>
      <w:spacing w:before="100" w:beforeAutospacing="1" w:after="100" w:afterAutospacing="1"/>
      <w:jc w:val="left"/>
    </w:pPr>
    <w:rPr>
      <w:rFonts w:ascii="宋体" w:hAnsi="宋体" w:cs="宋体"/>
      <w:color w:val="000099"/>
      <w:kern w:val="0"/>
      <w:sz w:val="24"/>
    </w:rPr>
  </w:style>
  <w:style w:type="paragraph" w:customStyle="1" w:styleId="931">
    <w:name w:val="样式8"/>
    <w:basedOn w:val="1"/>
    <w:uiPriority w:val="0"/>
    <w:pPr>
      <w:spacing w:before="50" w:beforeLines="50" w:after="50" w:afterLines="50" w:line="360" w:lineRule="auto"/>
      <w:ind w:firstLine="573"/>
    </w:pPr>
    <w:rPr>
      <w:rFonts w:ascii="Arial" w:hAnsi="Arial" w:cs="Arial"/>
      <w:color w:val="000000"/>
      <w:sz w:val="24"/>
    </w:rPr>
  </w:style>
  <w:style w:type="paragraph" w:customStyle="1" w:styleId="932">
    <w:name w:val="A"/>
    <w:basedOn w:val="2"/>
    <w:uiPriority w:val="0"/>
    <w:pPr>
      <w:numPr>
        <w:numId w:val="0"/>
      </w:numPr>
      <w:tabs>
        <w:tab w:val="left" w:pos="3752"/>
        <w:tab w:val="clear" w:pos="294"/>
        <w:tab w:val="clear" w:pos="720"/>
        <w:tab w:val="clear" w:pos="1080"/>
        <w:tab w:val="clear" w:pos="1440"/>
      </w:tabs>
      <w:adjustRightInd/>
      <w:snapToGrid/>
      <w:spacing w:before="340" w:beforeLines="0" w:after="330" w:afterLines="0" w:line="578" w:lineRule="auto"/>
    </w:pPr>
    <w:rPr>
      <w:rFonts w:ascii="Times New Roman" w:hAnsi="Times New Roman" w:eastAsia="黑体"/>
      <w:bCs/>
      <w:color w:val="000000"/>
      <w:sz w:val="44"/>
      <w:szCs w:val="44"/>
    </w:rPr>
  </w:style>
  <w:style w:type="paragraph" w:customStyle="1" w:styleId="933">
    <w:name w:val="B"/>
    <w:basedOn w:val="3"/>
    <w:uiPriority w:val="0"/>
    <w:pPr>
      <w:numPr>
        <w:ilvl w:val="0"/>
        <w:numId w:val="0"/>
      </w:numPr>
      <w:tabs>
        <w:tab w:val="left" w:pos="3752"/>
        <w:tab w:val="clear" w:pos="780"/>
        <w:tab w:val="clear" w:pos="840"/>
        <w:tab w:val="clear" w:pos="1140"/>
        <w:tab w:val="clear" w:pos="1200"/>
        <w:tab w:val="clear" w:pos="1620"/>
        <w:tab w:val="clear" w:pos="2040"/>
        <w:tab w:val="clear" w:pos="6231"/>
      </w:tabs>
      <w:adjustRightInd/>
      <w:spacing w:before="260" w:beforeLines="0" w:after="260" w:afterLines="0" w:line="415" w:lineRule="auto"/>
      <w:jc w:val="left"/>
    </w:pPr>
    <w:rPr>
      <w:rFonts w:ascii="Arial" w:hAnsi="Arial" w:eastAsia="黑体"/>
      <w:bCs/>
      <w:color w:val="000000"/>
      <w:sz w:val="32"/>
      <w:szCs w:val="32"/>
    </w:rPr>
  </w:style>
  <w:style w:type="paragraph" w:customStyle="1" w:styleId="934">
    <w:name w:val="C"/>
    <w:basedOn w:val="5"/>
    <w:uiPriority w:val="0"/>
    <w:pPr>
      <w:numPr>
        <w:ilvl w:val="0"/>
        <w:numId w:val="0"/>
      </w:numPr>
      <w:tabs>
        <w:tab w:val="left" w:pos="3752"/>
        <w:tab w:val="clear" w:pos="780"/>
        <w:tab w:val="clear" w:pos="840"/>
        <w:tab w:val="clear" w:pos="1140"/>
        <w:tab w:val="clear" w:pos="1200"/>
        <w:tab w:val="clear" w:pos="1620"/>
        <w:tab w:val="clear" w:pos="2040"/>
        <w:tab w:val="clear" w:pos="6231"/>
      </w:tabs>
      <w:spacing w:before="120" w:beforeLines="0" w:after="120" w:afterLines="0" w:line="360" w:lineRule="auto"/>
    </w:pPr>
    <w:rPr>
      <w:rFonts w:ascii="Arial" w:hAnsi="Arial"/>
      <w:b/>
      <w:bCs/>
      <w:color w:val="000000"/>
      <w:sz w:val="28"/>
      <w:szCs w:val="28"/>
    </w:rPr>
  </w:style>
  <w:style w:type="paragraph" w:customStyle="1" w:styleId="935">
    <w:name w:val="D"/>
    <w:basedOn w:val="6"/>
    <w:uiPriority w:val="0"/>
    <w:pPr>
      <w:numPr>
        <w:ilvl w:val="0"/>
        <w:numId w:val="0"/>
      </w:numPr>
      <w:tabs>
        <w:tab w:val="clear" w:pos="780"/>
        <w:tab w:val="clear" w:pos="840"/>
        <w:tab w:val="clear" w:pos="1140"/>
        <w:tab w:val="clear" w:pos="1200"/>
        <w:tab w:val="clear" w:pos="1620"/>
        <w:tab w:val="clear" w:pos="2040"/>
        <w:tab w:val="clear" w:pos="6231"/>
        <w:tab w:val="clear" w:pos="1044"/>
      </w:tabs>
      <w:adjustRightInd/>
      <w:spacing w:before="120" w:beforeLines="0" w:after="120" w:afterLines="0"/>
    </w:pPr>
    <w:rPr>
      <w:bCs/>
      <w:color w:val="000000"/>
    </w:rPr>
  </w:style>
  <w:style w:type="paragraph" w:customStyle="1" w:styleId="936">
    <w:name w:val="E"/>
    <w:basedOn w:val="7"/>
    <w:uiPriority w:val="0"/>
    <w:pPr>
      <w:numPr>
        <w:ilvl w:val="0"/>
        <w:numId w:val="0"/>
      </w:numPr>
      <w:tabs>
        <w:tab w:val="clear" w:pos="780"/>
        <w:tab w:val="clear" w:pos="840"/>
        <w:tab w:val="clear" w:pos="1140"/>
        <w:tab w:val="clear" w:pos="1200"/>
        <w:tab w:val="clear" w:pos="1620"/>
        <w:tab w:val="clear" w:pos="2040"/>
        <w:tab w:val="clear" w:pos="6231"/>
      </w:tabs>
      <w:spacing w:before="0" w:after="0" w:line="360" w:lineRule="auto"/>
    </w:pPr>
    <w:rPr>
      <w:rFonts w:ascii="Arial" w:hAnsi="Arial"/>
      <w:b w:val="0"/>
      <w:color w:val="000000"/>
      <w:sz w:val="24"/>
      <w:szCs w:val="24"/>
    </w:rPr>
  </w:style>
  <w:style w:type="paragraph" w:customStyle="1" w:styleId="937">
    <w:name w:val="Char Char Char Char Char Char Char2"/>
    <w:basedOn w:val="1"/>
    <w:uiPriority w:val="0"/>
    <w:pPr>
      <w:spacing w:line="360" w:lineRule="auto"/>
      <w:ind w:firstLine="200" w:firstLineChars="200"/>
    </w:pPr>
    <w:rPr>
      <w:rFonts w:ascii="宋体" w:hAnsi="宋体" w:cs="宋体"/>
      <w:sz w:val="24"/>
    </w:rPr>
  </w:style>
  <w:style w:type="paragraph" w:customStyle="1" w:styleId="938">
    <w:name w:val="char"/>
    <w:basedOn w:val="1"/>
    <w:uiPriority w:val="0"/>
    <w:pPr>
      <w:widowControl/>
      <w:spacing w:after="160" w:line="240" w:lineRule="exact"/>
      <w:jc w:val="left"/>
    </w:pPr>
    <w:rPr>
      <w:szCs w:val="20"/>
    </w:rPr>
  </w:style>
  <w:style w:type="paragraph" w:customStyle="1" w:styleId="939">
    <w:name w:val="样式 标题 1"/>
    <w:basedOn w:val="2"/>
    <w:uiPriority w:val="0"/>
    <w:pPr>
      <w:widowControl/>
      <w:numPr>
        <w:numId w:val="0"/>
      </w:numPr>
      <w:tabs>
        <w:tab w:val="clear" w:pos="294"/>
        <w:tab w:val="clear" w:pos="720"/>
        <w:tab w:val="clear" w:pos="1080"/>
        <w:tab w:val="clear" w:pos="1440"/>
      </w:tabs>
      <w:adjustRightInd/>
      <w:snapToGrid/>
      <w:spacing w:before="0" w:beforeLines="0" w:after="0" w:afterLines="0" w:line="360" w:lineRule="auto"/>
    </w:pPr>
    <w:rPr>
      <w:rFonts w:ascii="黑体" w:eastAsia="黑体" w:cs="宋体"/>
      <w:bCs/>
      <w:shadow/>
      <w:spacing w:val="6"/>
      <w:kern w:val="2"/>
      <w:szCs w:val="20"/>
    </w:rPr>
  </w:style>
  <w:style w:type="character" w:customStyle="1" w:styleId="940">
    <w:name w:val="王正文 Char Char"/>
    <w:link w:val="941"/>
    <w:uiPriority w:val="0"/>
    <w:rPr>
      <w:rFonts w:hAnsi="宋体"/>
      <w:sz w:val="24"/>
    </w:rPr>
  </w:style>
  <w:style w:type="paragraph" w:customStyle="1" w:styleId="941">
    <w:name w:val="王正文"/>
    <w:basedOn w:val="1"/>
    <w:link w:val="940"/>
    <w:uiPriority w:val="0"/>
    <w:pPr>
      <w:spacing w:line="360" w:lineRule="auto"/>
      <w:ind w:firstLine="480" w:firstLineChars="200"/>
    </w:pPr>
    <w:rPr>
      <w:rFonts w:hAnsi="宋体" w:asciiTheme="minorHAnsi" w:eastAsiaTheme="minorEastAsia" w:cstheme="minorBidi"/>
      <w:sz w:val="24"/>
      <w:szCs w:val="22"/>
    </w:rPr>
  </w:style>
  <w:style w:type="paragraph" w:customStyle="1" w:styleId="942">
    <w:name w:val="王三级标题"/>
    <w:basedOn w:val="1"/>
    <w:uiPriority w:val="0"/>
    <w:pPr>
      <w:adjustRightInd w:val="0"/>
      <w:snapToGrid w:val="0"/>
      <w:spacing w:before="156" w:beforeLines="50" w:after="156" w:afterLines="50" w:line="360" w:lineRule="auto"/>
      <w:outlineLvl w:val="2"/>
    </w:pPr>
    <w:rPr>
      <w:b/>
      <w:sz w:val="28"/>
      <w:szCs w:val="20"/>
    </w:rPr>
  </w:style>
  <w:style w:type="character" w:customStyle="1" w:styleId="943">
    <w:name w:val="王正文 Char"/>
    <w:uiPriority w:val="0"/>
    <w:rPr>
      <w:rFonts w:hAnsi="宋体" w:eastAsia="宋体" w:cs="宋体"/>
      <w:kern w:val="2"/>
      <w:sz w:val="24"/>
      <w:lang w:val="en-US" w:eastAsia="zh-CN" w:bidi="ar-SA"/>
    </w:rPr>
  </w:style>
  <w:style w:type="paragraph" w:customStyle="1" w:styleId="944">
    <w:name w:val="王表格正文"/>
    <w:basedOn w:val="1"/>
    <w:uiPriority w:val="0"/>
    <w:pPr>
      <w:jc w:val="center"/>
    </w:pPr>
    <w:rPr>
      <w:rFonts w:hAnsi="宋体" w:cs="宋体"/>
      <w:sz w:val="18"/>
      <w:szCs w:val="20"/>
    </w:rPr>
  </w:style>
  <w:style w:type="paragraph" w:customStyle="1" w:styleId="945">
    <w:name w:val="王四级标题"/>
    <w:basedOn w:val="6"/>
    <w:uiPriority w:val="0"/>
    <w:pPr>
      <w:numPr>
        <w:ilvl w:val="0"/>
        <w:numId w:val="0"/>
      </w:numPr>
      <w:tabs>
        <w:tab w:val="clear" w:pos="780"/>
        <w:tab w:val="clear" w:pos="840"/>
        <w:tab w:val="clear" w:pos="1140"/>
        <w:tab w:val="clear" w:pos="1200"/>
        <w:tab w:val="clear" w:pos="1620"/>
        <w:tab w:val="clear" w:pos="2040"/>
        <w:tab w:val="clear" w:pos="6231"/>
        <w:tab w:val="clear" w:pos="1044"/>
      </w:tabs>
      <w:adjustRightInd/>
      <w:spacing w:before="120" w:beforeLines="0" w:after="120" w:afterLines="0" w:line="240" w:lineRule="auto"/>
    </w:pPr>
    <w:rPr>
      <w:rFonts w:ascii="Times New Roman" w:hAnsi="Times New Roman" w:cs="宋体"/>
      <w:bCs/>
      <w:szCs w:val="20"/>
    </w:rPr>
  </w:style>
  <w:style w:type="character" w:customStyle="1" w:styleId="946">
    <w:name w:val="流程图 Char"/>
    <w:link w:val="665"/>
    <w:uiPriority w:val="0"/>
    <w:rPr>
      <w:rFonts w:ascii="Times New Roman" w:hAnsi="Times New Roman" w:eastAsia="宋体" w:cs="Times New Roman"/>
      <w:szCs w:val="18"/>
      <w:lang w:val="zh-CN" w:eastAsia="zh-CN"/>
    </w:rPr>
  </w:style>
  <w:style w:type="character" w:customStyle="1" w:styleId="947">
    <w:name w:val="样式 (西文) 楷体_GB2312 (中文) 黑体 三号"/>
    <w:uiPriority w:val="0"/>
    <w:rPr>
      <w:rFonts w:ascii="Times New Roman" w:hAnsi="Times New Roman" w:eastAsia="宋体"/>
      <w:sz w:val="24"/>
    </w:rPr>
  </w:style>
  <w:style w:type="paragraph" w:customStyle="1" w:styleId="948">
    <w:name w:val="样式 表头样式1 + (符号) Times New Roman"/>
    <w:basedOn w:val="640"/>
    <w:link w:val="949"/>
    <w:uiPriority w:val="0"/>
    <w:pPr>
      <w:widowControl/>
      <w:spacing w:after="0" w:line="240" w:lineRule="auto"/>
    </w:pPr>
    <w:rPr>
      <w:bCs/>
      <w:lang w:val="zh-CN" w:eastAsia="zh-CN"/>
    </w:rPr>
  </w:style>
  <w:style w:type="character" w:customStyle="1" w:styleId="949">
    <w:name w:val="样式 表头样式1 + (符号) Times New Roman Char"/>
    <w:link w:val="948"/>
    <w:uiPriority w:val="0"/>
    <w:rPr>
      <w:rFonts w:ascii="Times New Roman" w:hAnsi="Times New Roman" w:eastAsia="黑体" w:cs="Times New Roman"/>
      <w:b/>
      <w:bCs/>
      <w:sz w:val="24"/>
      <w:szCs w:val="20"/>
      <w:lang w:val="zh-CN" w:eastAsia="zh-CN"/>
    </w:rPr>
  </w:style>
  <w:style w:type="paragraph" w:customStyle="1" w:styleId="950">
    <w:name w:val="正文程"/>
    <w:basedOn w:val="1"/>
    <w:link w:val="951"/>
    <w:uiPriority w:val="0"/>
    <w:pPr>
      <w:widowControl/>
      <w:spacing w:line="360" w:lineRule="auto"/>
      <w:ind w:firstLine="480" w:firstLineChars="200"/>
      <w:jc w:val="left"/>
    </w:pPr>
    <w:rPr>
      <w:rFonts w:ascii="Calibri" w:hAnsi="Calibri" w:cs="宋体"/>
      <w:kern w:val="0"/>
      <w:sz w:val="24"/>
      <w:szCs w:val="20"/>
      <w:lang w:val="zh-CN" w:eastAsia="en-US" w:bidi="en-US"/>
    </w:rPr>
  </w:style>
  <w:style w:type="character" w:customStyle="1" w:styleId="951">
    <w:name w:val="正文程 Char"/>
    <w:link w:val="950"/>
    <w:uiPriority w:val="0"/>
    <w:rPr>
      <w:rFonts w:ascii="Calibri" w:hAnsi="Calibri" w:eastAsia="宋体" w:cs="宋体"/>
      <w:kern w:val="0"/>
      <w:sz w:val="24"/>
      <w:szCs w:val="20"/>
      <w:lang w:val="zh-CN" w:eastAsia="en-US" w:bidi="en-US"/>
    </w:rPr>
  </w:style>
  <w:style w:type="paragraph" w:customStyle="1" w:styleId="952">
    <w:name w:val="样式 四号 行距: 1.5 倍行距 首行缩进:  2 字符"/>
    <w:basedOn w:val="1"/>
    <w:uiPriority w:val="0"/>
    <w:pPr>
      <w:spacing w:line="360" w:lineRule="auto"/>
      <w:ind w:firstLine="560" w:firstLineChars="200"/>
    </w:pPr>
    <w:rPr>
      <w:rFonts w:cs="宋体"/>
      <w:sz w:val="28"/>
      <w:szCs w:val="20"/>
    </w:rPr>
  </w:style>
  <w:style w:type="paragraph" w:customStyle="1" w:styleId="953">
    <w:name w:val="王表头"/>
    <w:basedOn w:val="1"/>
    <w:uiPriority w:val="0"/>
    <w:pPr>
      <w:spacing w:line="360" w:lineRule="auto"/>
      <w:jc w:val="center"/>
    </w:pPr>
    <w:rPr>
      <w:rFonts w:hAnsi="宋体" w:cs="宋体"/>
      <w:b/>
      <w:bCs/>
      <w:sz w:val="24"/>
      <w:szCs w:val="20"/>
    </w:rPr>
  </w:style>
  <w:style w:type="paragraph" w:customStyle="1" w:styleId="954">
    <w:name w:val="表格居中"/>
    <w:basedOn w:val="67"/>
    <w:next w:val="1"/>
    <w:uiPriority w:val="0"/>
    <w:pPr>
      <w:spacing w:line="240" w:lineRule="auto"/>
      <w:ind w:left="0" w:firstLine="0" w:firstLineChars="0"/>
      <w:contextualSpacing/>
      <w:jc w:val="center"/>
    </w:pPr>
    <w:rPr>
      <w:sz w:val="21"/>
      <w:szCs w:val="21"/>
    </w:rPr>
  </w:style>
  <w:style w:type="character" w:customStyle="1" w:styleId="955">
    <w:name w:val="页脚 Char Char"/>
    <w:uiPriority w:val="0"/>
    <w:rPr>
      <w:kern w:val="2"/>
      <w:sz w:val="18"/>
      <w:szCs w:val="18"/>
    </w:rPr>
  </w:style>
  <w:style w:type="character" w:customStyle="1" w:styleId="956">
    <w:name w:val="页眉 Char Char"/>
    <w:uiPriority w:val="0"/>
    <w:rPr>
      <w:kern w:val="2"/>
      <w:sz w:val="18"/>
      <w:szCs w:val="18"/>
    </w:rPr>
  </w:style>
  <w:style w:type="paragraph" w:customStyle="1" w:styleId="957">
    <w:name w:val="图文框"/>
    <w:basedOn w:val="1"/>
    <w:uiPriority w:val="0"/>
    <w:pPr>
      <w:spacing w:line="280" w:lineRule="exact"/>
      <w:jc w:val="center"/>
    </w:pPr>
    <w:rPr>
      <w:szCs w:val="20"/>
    </w:rPr>
  </w:style>
  <w:style w:type="paragraph" w:customStyle="1" w:styleId="958">
    <w:name w:val="环科院正文"/>
    <w:basedOn w:val="1"/>
    <w:link w:val="959"/>
    <w:uiPriority w:val="0"/>
    <w:pPr>
      <w:spacing w:line="300" w:lineRule="auto"/>
      <w:ind w:firstLine="480" w:firstLineChars="200"/>
    </w:pPr>
    <w:rPr>
      <w:rFonts w:ascii="宋体" w:hAnsi="宋体"/>
      <w:color w:val="000000"/>
      <w:kern w:val="0"/>
      <w:sz w:val="24"/>
      <w:u w:color="000000"/>
      <w:lang w:val="zh-CN" w:eastAsia="zh-CN"/>
    </w:rPr>
  </w:style>
  <w:style w:type="character" w:customStyle="1" w:styleId="959">
    <w:name w:val="环科院正文 Char"/>
    <w:link w:val="958"/>
    <w:uiPriority w:val="0"/>
    <w:rPr>
      <w:rFonts w:ascii="宋体" w:hAnsi="宋体" w:eastAsia="宋体" w:cs="Times New Roman"/>
      <w:color w:val="000000"/>
      <w:kern w:val="0"/>
      <w:sz w:val="24"/>
      <w:szCs w:val="24"/>
      <w:u w:color="000000"/>
      <w:lang w:val="zh-CN" w:eastAsia="zh-CN"/>
    </w:rPr>
  </w:style>
  <w:style w:type="paragraph" w:customStyle="1" w:styleId="960">
    <w:name w:val="环科院表格标题"/>
    <w:basedOn w:val="1"/>
    <w:link w:val="961"/>
    <w:uiPriority w:val="0"/>
    <w:pPr>
      <w:spacing w:before="156" w:beforeLines="50"/>
      <w:ind w:firstLine="450"/>
      <w:jc w:val="center"/>
    </w:pPr>
    <w:rPr>
      <w:rFonts w:ascii="黑体" w:hAnsi="宋体" w:eastAsia="黑体"/>
      <w:color w:val="000000"/>
      <w:sz w:val="24"/>
      <w:lang w:val="zh-CN" w:eastAsia="zh-CN"/>
    </w:rPr>
  </w:style>
  <w:style w:type="character" w:customStyle="1" w:styleId="961">
    <w:name w:val="环科院表格标题 Char"/>
    <w:link w:val="960"/>
    <w:uiPriority w:val="0"/>
    <w:rPr>
      <w:rFonts w:ascii="黑体" w:hAnsi="宋体" w:eastAsia="黑体" w:cs="Times New Roman"/>
      <w:color w:val="000000"/>
      <w:sz w:val="24"/>
      <w:szCs w:val="24"/>
      <w:lang w:val="zh-CN" w:eastAsia="zh-CN"/>
    </w:rPr>
  </w:style>
  <w:style w:type="character" w:customStyle="1" w:styleId="962">
    <w:name w:val="章三级 Char Char"/>
    <w:link w:val="963"/>
    <w:uiPriority w:val="0"/>
    <w:rPr>
      <w:b/>
      <w:sz w:val="24"/>
      <w:szCs w:val="24"/>
    </w:rPr>
  </w:style>
  <w:style w:type="paragraph" w:customStyle="1" w:styleId="963">
    <w:name w:val="章三级"/>
    <w:basedOn w:val="1"/>
    <w:link w:val="962"/>
    <w:uiPriority w:val="0"/>
    <w:pPr>
      <w:tabs>
        <w:tab w:val="left" w:pos="10980"/>
      </w:tabs>
      <w:outlineLvl w:val="0"/>
    </w:pPr>
    <w:rPr>
      <w:rFonts w:asciiTheme="minorHAnsi" w:hAnsiTheme="minorHAnsi" w:eastAsiaTheme="minorEastAsia" w:cstheme="minorBidi"/>
      <w:b/>
      <w:sz w:val="24"/>
    </w:rPr>
  </w:style>
  <w:style w:type="character" w:customStyle="1" w:styleId="964">
    <w:name w:val="8 Char3"/>
    <w:link w:val="586"/>
    <w:uiPriority w:val="0"/>
    <w:rPr>
      <w:rFonts w:ascii="Times New Roman" w:hAnsi="Times New Roman" w:eastAsia="宋体" w:cs="Times New Roman"/>
      <w:sz w:val="24"/>
      <w:szCs w:val="24"/>
      <w:lang w:val="zh-CN" w:eastAsia="zh-CN"/>
    </w:rPr>
  </w:style>
  <w:style w:type="character" w:customStyle="1" w:styleId="965">
    <w:name w:val="表格内容 Char"/>
    <w:link w:val="327"/>
    <w:uiPriority w:val="0"/>
    <w:rPr>
      <w:rFonts w:ascii="宋体" w:hAnsi="宋体" w:eastAsia="宋体" w:cs="Arial Unicode MS"/>
      <w:bCs/>
      <w:color w:val="000000"/>
      <w:sz w:val="18"/>
      <w:szCs w:val="24"/>
    </w:rPr>
  </w:style>
  <w:style w:type="paragraph" w:customStyle="1" w:styleId="966">
    <w:name w:val="样式wc"/>
    <w:basedOn w:val="1"/>
    <w:next w:val="1"/>
    <w:uiPriority w:val="0"/>
    <w:pPr>
      <w:spacing w:line="500" w:lineRule="exact"/>
      <w:ind w:firstLine="200" w:firstLineChars="200"/>
      <w:jc w:val="left"/>
    </w:pPr>
    <w:rPr>
      <w:rFonts w:cs="宋体"/>
      <w:kern w:val="0"/>
      <w:sz w:val="24"/>
      <w:szCs w:val="20"/>
    </w:rPr>
  </w:style>
  <w:style w:type="paragraph" w:customStyle="1" w:styleId="967">
    <w:name w:val="样式 (符号) 宋体 首行缩进:  0.93 厘米 段前: 6 磅 段后: 6 磅 行距: 固定值 18 磅1"/>
    <w:basedOn w:val="1"/>
    <w:uiPriority w:val="0"/>
    <w:pPr>
      <w:spacing w:before="160" w:after="160" w:line="320" w:lineRule="exact"/>
      <w:ind w:firstLine="527"/>
    </w:pPr>
    <w:rPr>
      <w:rFonts w:hAnsi="宋体"/>
      <w:sz w:val="24"/>
      <w:szCs w:val="20"/>
    </w:rPr>
  </w:style>
  <w:style w:type="paragraph" w:customStyle="1" w:styleId="968">
    <w:name w:val="环科院标题3"/>
    <w:basedOn w:val="5"/>
    <w:uiPriority w:val="0"/>
    <w:pPr>
      <w:numPr>
        <w:ilvl w:val="0"/>
        <w:numId w:val="0"/>
      </w:numPr>
      <w:tabs>
        <w:tab w:val="clear" w:pos="780"/>
        <w:tab w:val="clear" w:pos="840"/>
        <w:tab w:val="clear" w:pos="1140"/>
        <w:tab w:val="clear" w:pos="1200"/>
        <w:tab w:val="clear" w:pos="1620"/>
        <w:tab w:val="clear" w:pos="2040"/>
        <w:tab w:val="clear" w:pos="6231"/>
      </w:tabs>
      <w:spacing w:before="0" w:beforeLines="0" w:after="0" w:afterLines="0"/>
    </w:pPr>
    <w:rPr>
      <w:rFonts w:ascii="华文中宋" w:hAnsi="华文中宋" w:eastAsia="华文中宋"/>
      <w:b/>
      <w:bCs/>
      <w:color w:val="000000"/>
      <w:kern w:val="0"/>
      <w:sz w:val="28"/>
      <w:szCs w:val="28"/>
    </w:rPr>
  </w:style>
  <w:style w:type="paragraph" w:customStyle="1" w:styleId="969">
    <w:name w:val="环科院标题2"/>
    <w:basedOn w:val="3"/>
    <w:uiPriority w:val="0"/>
    <w:pPr>
      <w:numPr>
        <w:numId w:val="12"/>
      </w:numPr>
      <w:tabs>
        <w:tab w:val="left" w:pos="360"/>
        <w:tab w:val="left" w:pos="425"/>
        <w:tab w:val="left" w:pos="540"/>
      </w:tabs>
      <w:adjustRightInd/>
      <w:spacing w:before="120" w:beforeLines="0" w:after="0" w:afterLines="0" w:line="240" w:lineRule="auto"/>
    </w:pPr>
    <w:rPr>
      <w:rFonts w:ascii="Times New Roman" w:hAnsi="Times New Roman" w:eastAsia="华文中宋"/>
      <w:bCs/>
      <w:sz w:val="32"/>
      <w:szCs w:val="32"/>
    </w:rPr>
  </w:style>
  <w:style w:type="paragraph" w:customStyle="1" w:styleId="970">
    <w:name w:val="列出段落1"/>
    <w:basedOn w:val="1"/>
    <w:uiPriority w:val="0"/>
    <w:pPr>
      <w:ind w:firstLine="420" w:firstLineChars="200"/>
    </w:pPr>
    <w:rPr>
      <w:rFonts w:ascii="Calibri" w:hAnsi="Calibri"/>
      <w:szCs w:val="22"/>
    </w:rPr>
  </w:style>
  <w:style w:type="character" w:customStyle="1" w:styleId="971">
    <w:name w:val="图表 Char"/>
    <w:locked/>
    <w:uiPriority w:val="0"/>
    <w:rPr>
      <w:rFonts w:ascii="楷体_GB2312" w:hAnsi="宋体" w:eastAsia="楷体_GB2312"/>
      <w:bCs/>
      <w:szCs w:val="21"/>
    </w:rPr>
  </w:style>
  <w:style w:type="paragraph" w:customStyle="1" w:styleId="972">
    <w:name w:val="引用1"/>
    <w:basedOn w:val="1"/>
    <w:next w:val="1"/>
    <w:link w:val="973"/>
    <w:uiPriority w:val="0"/>
    <w:pPr>
      <w:autoSpaceDE w:val="0"/>
      <w:autoSpaceDN w:val="0"/>
      <w:adjustRightInd w:val="0"/>
      <w:spacing w:beforeLines="50" w:after="156" w:line="300" w:lineRule="auto"/>
      <w:ind w:firstLine="480" w:firstLineChars="200"/>
      <w:jc w:val="left"/>
    </w:pPr>
    <w:rPr>
      <w:bCs/>
      <w:i/>
      <w:iCs/>
      <w:color w:val="000000"/>
      <w:sz w:val="24"/>
    </w:rPr>
  </w:style>
  <w:style w:type="character" w:customStyle="1" w:styleId="973">
    <w:name w:val="Quote Char"/>
    <w:link w:val="972"/>
    <w:locked/>
    <w:uiPriority w:val="0"/>
    <w:rPr>
      <w:rFonts w:ascii="Times New Roman" w:hAnsi="Times New Roman" w:eastAsia="宋体" w:cs="Times New Roman"/>
      <w:bCs/>
      <w:i/>
      <w:iCs/>
      <w:color w:val="000000"/>
      <w:sz w:val="24"/>
      <w:szCs w:val="24"/>
    </w:rPr>
  </w:style>
  <w:style w:type="character" w:customStyle="1" w:styleId="974">
    <w:name w:val="headline-content"/>
    <w:basedOn w:val="87"/>
    <w:uiPriority w:val="0"/>
  </w:style>
  <w:style w:type="character" w:customStyle="1" w:styleId="975">
    <w:name w:val="标题2 Char Char"/>
    <w:uiPriority w:val="0"/>
    <w:rPr>
      <w:rFonts w:ascii="Times New Roman" w:hAnsi="Times New Roman"/>
      <w:b/>
      <w:bCs/>
      <w:kern w:val="2"/>
      <w:sz w:val="32"/>
      <w:szCs w:val="30"/>
    </w:rPr>
  </w:style>
  <w:style w:type="character" w:customStyle="1" w:styleId="976">
    <w:name w:val="君邦正文 Char"/>
    <w:uiPriority w:val="0"/>
    <w:rPr>
      <w:rFonts w:ascii="Times New Roman" w:hAnsi="Times New Roman"/>
      <w:bCs/>
      <w:snapToGrid w:val="0"/>
      <w:sz w:val="24"/>
      <w:lang w:val="en-US" w:eastAsia="zh-CN" w:bidi="ar-SA"/>
    </w:rPr>
  </w:style>
  <w:style w:type="character" w:customStyle="1" w:styleId="977">
    <w:name w:val="Char Char5"/>
    <w:uiPriority w:val="0"/>
    <w:rPr>
      <w:rFonts w:ascii="Times New Roman" w:hAnsi="Times New Roman"/>
      <w:b/>
      <w:bCs/>
      <w:kern w:val="44"/>
      <w:sz w:val="44"/>
      <w:szCs w:val="44"/>
    </w:rPr>
  </w:style>
  <w:style w:type="character" w:customStyle="1" w:styleId="978">
    <w:name w:val="标题3 Char Char"/>
    <w:uiPriority w:val="0"/>
    <w:rPr>
      <w:rFonts w:ascii="Times New Roman" w:hAnsi="Times New Roman"/>
      <w:b/>
      <w:bCs/>
      <w:kern w:val="2"/>
      <w:sz w:val="30"/>
      <w:szCs w:val="32"/>
    </w:rPr>
  </w:style>
  <w:style w:type="character" w:customStyle="1" w:styleId="979">
    <w:name w:val="Char Char3"/>
    <w:uiPriority w:val="0"/>
    <w:rPr>
      <w:rFonts w:ascii="Times New Roman" w:hAnsi="Times New Roman" w:eastAsia="宋体" w:cs="Times New Roman"/>
      <w:sz w:val="18"/>
      <w:szCs w:val="18"/>
    </w:rPr>
  </w:style>
  <w:style w:type="paragraph" w:customStyle="1" w:styleId="980">
    <w:name w:val="表格文字2"/>
    <w:basedOn w:val="1"/>
    <w:link w:val="981"/>
    <w:uiPriority w:val="0"/>
    <w:pPr>
      <w:tabs>
        <w:tab w:val="left" w:pos="277"/>
        <w:tab w:val="left" w:pos="600"/>
        <w:tab w:val="left" w:pos="780"/>
        <w:tab w:val="left" w:pos="2517"/>
      </w:tabs>
      <w:adjustRightInd w:val="0"/>
      <w:spacing w:before="60" w:line="360" w:lineRule="auto"/>
      <w:jc w:val="center"/>
      <w:textAlignment w:val="baseline"/>
    </w:pPr>
    <w:rPr>
      <w:kern w:val="0"/>
      <w:sz w:val="24"/>
      <w:szCs w:val="21"/>
    </w:rPr>
  </w:style>
  <w:style w:type="character" w:customStyle="1" w:styleId="981">
    <w:name w:val="表格文字2 Char"/>
    <w:link w:val="980"/>
    <w:uiPriority w:val="0"/>
    <w:rPr>
      <w:rFonts w:ascii="Times New Roman" w:hAnsi="Times New Roman" w:eastAsia="宋体" w:cs="Times New Roman"/>
      <w:kern w:val="0"/>
      <w:sz w:val="24"/>
      <w:szCs w:val="21"/>
    </w:rPr>
  </w:style>
  <w:style w:type="paragraph" w:customStyle="1" w:styleId="982">
    <w:name w:val="表格字"/>
    <w:basedOn w:val="1"/>
    <w:uiPriority w:val="0"/>
    <w:pPr>
      <w:adjustRightInd w:val="0"/>
      <w:spacing w:line="360" w:lineRule="auto"/>
      <w:jc w:val="center"/>
      <w:textAlignment w:val="baseline"/>
    </w:pPr>
    <w:rPr>
      <w:rFonts w:eastAsia="仿宋_GB2312"/>
      <w:kern w:val="0"/>
      <w:sz w:val="24"/>
      <w:szCs w:val="20"/>
    </w:rPr>
  </w:style>
  <w:style w:type="character" w:customStyle="1" w:styleId="983">
    <w:name w:val="Char Char43"/>
    <w:uiPriority w:val="0"/>
    <w:rPr>
      <w:rFonts w:ascii="Times New Roman" w:hAnsi="Times New Roman"/>
      <w:b/>
      <w:bCs/>
      <w:kern w:val="2"/>
      <w:sz w:val="28"/>
      <w:szCs w:val="28"/>
    </w:rPr>
  </w:style>
  <w:style w:type="paragraph" w:customStyle="1" w:styleId="984">
    <w:name w:val="样式 样式 样式 样式 (西文) 仿宋_GB2312 (中文) 仿宋_GB2312 加粗 段前: 0.5 行 段后: 6 磅 行..."/>
    <w:basedOn w:val="1"/>
    <w:uiPriority w:val="0"/>
    <w:pPr>
      <w:adjustRightInd w:val="0"/>
      <w:snapToGrid w:val="0"/>
      <w:spacing w:after="156" w:afterLines="50" w:line="300" w:lineRule="auto"/>
      <w:ind w:firstLine="200" w:firstLineChars="200"/>
    </w:pPr>
    <w:rPr>
      <w:rFonts w:eastAsia="仿宋_GB2312" w:cs="宋体"/>
      <w:b/>
      <w:bCs/>
      <w:sz w:val="28"/>
      <w:szCs w:val="20"/>
    </w:rPr>
  </w:style>
  <w:style w:type="paragraph" w:customStyle="1" w:styleId="985">
    <w:name w:val="p15"/>
    <w:basedOn w:val="1"/>
    <w:uiPriority w:val="0"/>
    <w:pPr>
      <w:widowControl/>
    </w:pPr>
    <w:rPr>
      <w:rFonts w:ascii="Cambria" w:hAnsi="Cambria" w:cs="宋体"/>
      <w:kern w:val="0"/>
      <w:sz w:val="20"/>
      <w:szCs w:val="20"/>
    </w:rPr>
  </w:style>
  <w:style w:type="character" w:customStyle="1" w:styleId="986">
    <w:name w:val="Char Char14"/>
    <w:uiPriority w:val="0"/>
    <w:rPr>
      <w:rFonts w:ascii="Calibri" w:hAnsi="Calibri" w:eastAsia="宋体" w:cs="Times New Roman"/>
      <w:b/>
      <w:bCs/>
      <w:kern w:val="44"/>
      <w:sz w:val="44"/>
      <w:szCs w:val="44"/>
    </w:rPr>
  </w:style>
  <w:style w:type="character" w:customStyle="1" w:styleId="987">
    <w:name w:val="Char Char13"/>
    <w:uiPriority w:val="0"/>
    <w:rPr>
      <w:rFonts w:ascii="Cambria" w:hAnsi="Cambria" w:eastAsia="宋体" w:cs="Times New Roman"/>
      <w:b/>
      <w:bCs/>
      <w:kern w:val="2"/>
      <w:sz w:val="32"/>
      <w:szCs w:val="32"/>
    </w:rPr>
  </w:style>
  <w:style w:type="character" w:customStyle="1" w:styleId="988">
    <w:name w:val="Char Char12"/>
    <w:uiPriority w:val="0"/>
    <w:rPr>
      <w:rFonts w:ascii="Calibri" w:hAnsi="Calibri" w:eastAsia="宋体" w:cs="Times New Roman"/>
      <w:b/>
      <w:bCs/>
      <w:kern w:val="2"/>
      <w:sz w:val="32"/>
      <w:szCs w:val="32"/>
    </w:rPr>
  </w:style>
  <w:style w:type="character" w:customStyle="1" w:styleId="989">
    <w:name w:val="Char Char10"/>
    <w:uiPriority w:val="0"/>
    <w:rPr>
      <w:rFonts w:ascii="Calibri" w:hAnsi="Calibri"/>
      <w:b/>
      <w:bCs/>
      <w:kern w:val="2"/>
      <w:sz w:val="28"/>
      <w:szCs w:val="28"/>
    </w:rPr>
  </w:style>
  <w:style w:type="character" w:customStyle="1" w:styleId="990">
    <w:name w:val="样式 (西文) 仿宋_GB2312 (中文) 仿宋_GB2312 Char"/>
    <w:link w:val="991"/>
    <w:uiPriority w:val="0"/>
    <w:rPr>
      <w:rFonts w:ascii="仿宋_GB2312" w:eastAsia="仿宋_GB2312"/>
      <w:sz w:val="28"/>
      <w:szCs w:val="30"/>
    </w:rPr>
  </w:style>
  <w:style w:type="paragraph" w:customStyle="1" w:styleId="991">
    <w:name w:val="样式 (西文) 仿宋_GB2312 (中文) 仿宋_GB2312"/>
    <w:basedOn w:val="1"/>
    <w:link w:val="990"/>
    <w:uiPriority w:val="0"/>
    <w:pPr>
      <w:adjustRightInd w:val="0"/>
      <w:snapToGrid w:val="0"/>
      <w:spacing w:after="312" w:afterLines="100" w:line="300" w:lineRule="auto"/>
      <w:ind w:firstLine="200" w:firstLineChars="200"/>
    </w:pPr>
    <w:rPr>
      <w:rFonts w:ascii="仿宋_GB2312" w:eastAsia="仿宋_GB2312" w:hAnsiTheme="minorHAnsi" w:cstheme="minorBidi"/>
      <w:sz w:val="28"/>
      <w:szCs w:val="30"/>
    </w:rPr>
  </w:style>
  <w:style w:type="character" w:customStyle="1" w:styleId="992">
    <w:name w:val="样式 (西文) 仿宋_GB2312 (中文) 仿宋_GB2312 黑色 Char"/>
    <w:link w:val="993"/>
    <w:uiPriority w:val="0"/>
    <w:rPr>
      <w:rFonts w:ascii="仿宋_GB2312" w:eastAsia="仿宋_GB2312"/>
      <w:color w:val="000000"/>
      <w:sz w:val="28"/>
      <w:szCs w:val="24"/>
    </w:rPr>
  </w:style>
  <w:style w:type="paragraph" w:customStyle="1" w:styleId="993">
    <w:name w:val="样式 (西文) 仿宋_GB2312 (中文) 仿宋_GB2312 黑色"/>
    <w:basedOn w:val="1"/>
    <w:link w:val="992"/>
    <w:uiPriority w:val="0"/>
    <w:pPr>
      <w:adjustRightInd w:val="0"/>
      <w:snapToGrid w:val="0"/>
      <w:spacing w:after="312" w:afterLines="100" w:line="300" w:lineRule="auto"/>
      <w:ind w:firstLine="200" w:firstLineChars="200"/>
    </w:pPr>
    <w:rPr>
      <w:rFonts w:ascii="仿宋_GB2312" w:eastAsia="仿宋_GB2312" w:hAnsiTheme="minorHAnsi" w:cstheme="minorBidi"/>
      <w:color w:val="000000"/>
      <w:sz w:val="28"/>
    </w:rPr>
  </w:style>
  <w:style w:type="character" w:customStyle="1" w:styleId="994">
    <w:name w:val="样式 样式 段前: 0.5 行 行距: 1.5 倍行距 首行缩进:  2 字符 + (符号) 宋体 Char"/>
    <w:link w:val="995"/>
    <w:uiPriority w:val="0"/>
    <w:rPr>
      <w:rFonts w:eastAsia="仿宋_GB2312"/>
      <w:sz w:val="28"/>
    </w:rPr>
  </w:style>
  <w:style w:type="paragraph" w:customStyle="1" w:styleId="995">
    <w:name w:val="样式 样式 段前: 0.5 行 行距: 1.5 倍行距 首行缩进:  2 字符 + (符号) 宋体"/>
    <w:basedOn w:val="1"/>
    <w:link w:val="994"/>
    <w:uiPriority w:val="0"/>
    <w:pPr>
      <w:adjustRightInd w:val="0"/>
      <w:snapToGrid w:val="0"/>
      <w:spacing w:after="312" w:afterLines="100" w:line="300" w:lineRule="auto"/>
      <w:ind w:firstLine="200" w:firstLineChars="200"/>
    </w:pPr>
    <w:rPr>
      <w:rFonts w:eastAsia="仿宋_GB2312" w:asciiTheme="minorHAnsi" w:hAnsiTheme="minorHAnsi" w:cstheme="minorBidi"/>
      <w:sz w:val="28"/>
      <w:szCs w:val="22"/>
    </w:rPr>
  </w:style>
  <w:style w:type="character" w:customStyle="1" w:styleId="996">
    <w:name w:val="Char Char7"/>
    <w:uiPriority w:val="0"/>
    <w:rPr>
      <w:b/>
      <w:bCs/>
      <w:sz w:val="32"/>
      <w:szCs w:val="32"/>
    </w:rPr>
  </w:style>
  <w:style w:type="character" w:customStyle="1" w:styleId="997">
    <w:name w:val="Char Char8"/>
    <w:uiPriority w:val="0"/>
    <w:rPr>
      <w:rFonts w:ascii="Cambria" w:hAnsi="Cambria" w:eastAsia="宋体" w:cs="Times New Roman"/>
      <w:b/>
      <w:bCs/>
      <w:sz w:val="32"/>
      <w:szCs w:val="32"/>
    </w:rPr>
  </w:style>
  <w:style w:type="paragraph" w:customStyle="1" w:styleId="998">
    <w:name w:val="样式 样式 标题 3 + 黑体 小四 非加粗 段前: 0.5 行 段后: 0 磅 行距: 多倍行距 1.73 字行 + 非加粗"/>
    <w:basedOn w:val="999"/>
    <w:uiPriority w:val="0"/>
    <w:pPr>
      <w:tabs>
        <w:tab w:val="left" w:pos="2138"/>
      </w:tabs>
    </w:pPr>
  </w:style>
  <w:style w:type="paragraph" w:customStyle="1" w:styleId="999">
    <w:name w:val="样式 标题 3 + 黑体 小四 非加粗 段前: 0.5 行 段后: 0 磅 行距: 多倍行距 1.73 字行"/>
    <w:basedOn w:val="5"/>
    <w:uiPriority w:val="0"/>
    <w:pPr>
      <w:numPr>
        <w:ilvl w:val="0"/>
        <w:numId w:val="0"/>
      </w:numPr>
      <w:tabs>
        <w:tab w:val="clear" w:pos="425"/>
        <w:tab w:val="clear" w:pos="780"/>
        <w:tab w:val="clear" w:pos="840"/>
        <w:tab w:val="clear" w:pos="1140"/>
        <w:tab w:val="clear" w:pos="1200"/>
        <w:tab w:val="clear" w:pos="1620"/>
        <w:tab w:val="clear" w:pos="2040"/>
        <w:tab w:val="clear" w:pos="6231"/>
      </w:tabs>
      <w:adjustRightInd w:val="0"/>
      <w:snapToGrid w:val="0"/>
      <w:spacing w:after="0" w:afterLines="0" w:line="413" w:lineRule="auto"/>
      <w:ind w:firstLine="420"/>
    </w:pPr>
    <w:rPr>
      <w:rFonts w:ascii="黑体" w:hAnsi="仿宋_GB2312" w:cs="宋体"/>
      <w:b/>
      <w:sz w:val="28"/>
      <w:szCs w:val="20"/>
    </w:rPr>
  </w:style>
  <w:style w:type="paragraph" w:customStyle="1" w:styleId="1000">
    <w:name w:val="样式 样式 仿宋_GB2312 段前: 0.5 行 段后: 6 磅 行距: 1.5 倍行距 + 首行缩进:  2 字符 段后:...2"/>
    <w:basedOn w:val="1"/>
    <w:uiPriority w:val="0"/>
    <w:pPr>
      <w:adjustRightInd w:val="0"/>
      <w:snapToGrid w:val="0"/>
      <w:spacing w:after="312" w:afterLines="100" w:line="300" w:lineRule="auto"/>
      <w:ind w:firstLine="200" w:firstLineChars="200"/>
    </w:pPr>
    <w:rPr>
      <w:rFonts w:ascii="仿宋_GB2312" w:eastAsia="仿宋_GB2312" w:cs="宋体"/>
      <w:sz w:val="28"/>
      <w:szCs w:val="20"/>
    </w:rPr>
  </w:style>
  <w:style w:type="paragraph" w:customStyle="1" w:styleId="1001">
    <w:name w:val="样式 样式 样式 样式 样式 样式 (西文) 仿宋_GB2312 (中文) 仿宋_GB2312 加粗 段前: 0.5 行 段后:..."/>
    <w:basedOn w:val="1"/>
    <w:uiPriority w:val="0"/>
    <w:pPr>
      <w:adjustRightInd w:val="0"/>
      <w:snapToGrid w:val="0"/>
      <w:spacing w:after="156" w:afterLines="50" w:line="300" w:lineRule="auto"/>
      <w:ind w:firstLine="200" w:firstLineChars="200"/>
    </w:pPr>
    <w:rPr>
      <w:rFonts w:eastAsia="仿宋_GB2312" w:cs="宋体"/>
      <w:b/>
      <w:bCs/>
      <w:sz w:val="28"/>
      <w:szCs w:val="20"/>
    </w:rPr>
  </w:style>
  <w:style w:type="paragraph" w:customStyle="1" w:styleId="1002">
    <w:name w:val="样式 样式 样式 仿宋_GB2312 段前: 0.5 行 段后: 6 磅 行距: 1.5 倍行距 + 首行缩进:  2 字符 段..."/>
    <w:basedOn w:val="1"/>
    <w:uiPriority w:val="0"/>
    <w:pPr>
      <w:adjustRightInd w:val="0"/>
      <w:snapToGrid w:val="0"/>
      <w:spacing w:after="156" w:afterLines="50" w:line="300" w:lineRule="auto"/>
      <w:ind w:firstLine="200" w:firstLineChars="200"/>
    </w:pPr>
    <w:rPr>
      <w:rFonts w:eastAsia="仿宋_GB2312" w:cs="宋体"/>
      <w:sz w:val="28"/>
      <w:szCs w:val="20"/>
    </w:rPr>
  </w:style>
  <w:style w:type="paragraph" w:customStyle="1" w:styleId="1003">
    <w:name w:val="样式 (西文) 仿宋_GB2312 (中文) 仿宋_GB2312 黑色 段前: 0.5 行 行距: 1.5 倍行距 首...1"/>
    <w:basedOn w:val="1"/>
    <w:uiPriority w:val="0"/>
    <w:pPr>
      <w:adjustRightInd w:val="0"/>
      <w:snapToGrid w:val="0"/>
      <w:spacing w:after="312" w:afterLines="100" w:line="300" w:lineRule="auto"/>
      <w:ind w:firstLine="200" w:firstLineChars="200"/>
    </w:pPr>
    <w:rPr>
      <w:rFonts w:ascii="仿宋_GB2312" w:eastAsia="仿宋_GB2312" w:cs="宋体"/>
      <w:color w:val="000000"/>
      <w:sz w:val="28"/>
      <w:szCs w:val="20"/>
    </w:rPr>
  </w:style>
  <w:style w:type="paragraph" w:customStyle="1" w:styleId="1004">
    <w:name w:val="样式 (西文) 仿宋_GB2312 (中文) 仿宋_GB2312 黑色 段前: 0.5 行 行距: 1.5 倍行距 首...2"/>
    <w:basedOn w:val="1"/>
    <w:uiPriority w:val="0"/>
    <w:pPr>
      <w:adjustRightInd w:val="0"/>
      <w:snapToGrid w:val="0"/>
      <w:spacing w:after="312" w:afterLines="100" w:line="300" w:lineRule="auto"/>
      <w:ind w:firstLine="200" w:firstLineChars="200"/>
    </w:pPr>
    <w:rPr>
      <w:rFonts w:ascii="仿宋_GB2312" w:eastAsia="仿宋_GB2312" w:cs="宋体"/>
      <w:color w:val="000000"/>
      <w:sz w:val="28"/>
      <w:szCs w:val="20"/>
    </w:rPr>
  </w:style>
  <w:style w:type="paragraph" w:customStyle="1" w:styleId="1005">
    <w:name w:val="样式 (西文) 仿宋_GB2312 (中文) 仿宋_GB2312 黑色 悬挂缩进: 3 字符 段前: 0.5 行 行距..."/>
    <w:basedOn w:val="1"/>
    <w:uiPriority w:val="0"/>
    <w:pPr>
      <w:adjustRightInd w:val="0"/>
      <w:snapToGrid w:val="0"/>
      <w:spacing w:after="312" w:afterLines="100" w:line="300" w:lineRule="auto"/>
      <w:ind w:left="475" w:leftChars="175" w:hanging="300" w:hangingChars="300"/>
    </w:pPr>
    <w:rPr>
      <w:rFonts w:ascii="仿宋_GB2312" w:eastAsia="仿宋_GB2312" w:cs="宋体"/>
      <w:color w:val="000000"/>
      <w:sz w:val="28"/>
      <w:szCs w:val="20"/>
    </w:rPr>
  </w:style>
  <w:style w:type="paragraph" w:customStyle="1" w:styleId="1006">
    <w:name w:val="样式 样式 (西文) 仿宋_GB2312 (中文) 仿宋_GB2312 黑色 段前: 0.5 行 行距: 1.5 倍行距 首....."/>
    <w:basedOn w:val="1003"/>
    <w:uiPriority w:val="0"/>
    <w:rPr>
      <w:rFonts w:ascii="Times New Roman"/>
    </w:rPr>
  </w:style>
  <w:style w:type="paragraph" w:customStyle="1" w:styleId="1007">
    <w:name w:val="样式 段前: 0.5 行 段后: 6 磅 首行缩进:  5 字符"/>
    <w:basedOn w:val="1"/>
    <w:uiPriority w:val="0"/>
    <w:pPr>
      <w:adjustRightInd w:val="0"/>
      <w:snapToGrid w:val="0"/>
      <w:spacing w:before="156" w:beforeLines="50" w:after="120" w:line="300" w:lineRule="auto"/>
      <w:ind w:firstLine="1400" w:firstLineChars="500"/>
    </w:pPr>
    <w:rPr>
      <w:rFonts w:eastAsia="仿宋_GB2312" w:cs="宋体"/>
      <w:sz w:val="28"/>
      <w:szCs w:val="20"/>
    </w:rPr>
  </w:style>
  <w:style w:type="paragraph" w:customStyle="1" w:styleId="1008">
    <w:name w:val="样式 样式 段前: 0.5 行 行距: 1.5 倍行距 首行缩进:  2 字符 + 首行缩进:  2 字符 段后: 1 行"/>
    <w:basedOn w:val="1"/>
    <w:uiPriority w:val="0"/>
    <w:pPr>
      <w:adjustRightInd w:val="0"/>
      <w:snapToGrid w:val="0"/>
      <w:spacing w:after="312" w:afterLines="100" w:line="300" w:lineRule="auto"/>
      <w:ind w:firstLine="200" w:firstLineChars="200"/>
    </w:pPr>
    <w:rPr>
      <w:rFonts w:cs="宋体"/>
      <w:sz w:val="28"/>
      <w:szCs w:val="20"/>
    </w:rPr>
  </w:style>
  <w:style w:type="paragraph" w:customStyle="1" w:styleId="1009">
    <w:name w:val="样式 样式 样式 段前: 0.5 行 行距: 1.5 倍行距 首行缩进:  2 字符 + 首行缩进:  2 字符 段后: 1 行..."/>
    <w:basedOn w:val="1008"/>
    <w:uiPriority w:val="0"/>
    <w:rPr>
      <w:rFonts w:eastAsia="仿宋_GB2312"/>
    </w:rPr>
  </w:style>
  <w:style w:type="paragraph" w:customStyle="1" w:styleId="1010">
    <w:name w:val="样式 样式 样式 样式 (西文) 仿宋_GB2312 (中文) 仿宋_GB2312 加粗 段前: 0.5 行 段后: 6 磅 行...1"/>
    <w:basedOn w:val="1"/>
    <w:uiPriority w:val="0"/>
    <w:pPr>
      <w:adjustRightInd w:val="0"/>
      <w:snapToGrid w:val="0"/>
      <w:spacing w:after="156" w:afterLines="50" w:line="300" w:lineRule="auto"/>
      <w:ind w:firstLine="200" w:firstLineChars="200"/>
    </w:pPr>
    <w:rPr>
      <w:rFonts w:eastAsia="仿宋_GB2312" w:cs="宋体"/>
      <w:b/>
      <w:bCs/>
      <w:sz w:val="28"/>
      <w:szCs w:val="20"/>
    </w:rPr>
  </w:style>
  <w:style w:type="paragraph" w:customStyle="1" w:styleId="1011">
    <w:name w:val="样式 样式 样式 样式 样式 (西文) 仿宋_GB2312 (中文) 仿宋_GB2312 加粗 段前: 0.5 行 段后: 6 ..."/>
    <w:basedOn w:val="1010"/>
    <w:uiPriority w:val="0"/>
  </w:style>
  <w:style w:type="paragraph" w:customStyle="1" w:styleId="1012">
    <w:name w:val="样式 (中文) 仿宋_GB2312 加粗 首行缩进:  0.35 厘米 段前: 0.5 行 段后: 5 磅"/>
    <w:basedOn w:val="1"/>
    <w:uiPriority w:val="0"/>
    <w:pPr>
      <w:adjustRightInd w:val="0"/>
      <w:snapToGrid w:val="0"/>
      <w:spacing w:after="312" w:afterLines="100" w:line="300" w:lineRule="auto"/>
      <w:ind w:firstLine="200" w:firstLineChars="200"/>
    </w:pPr>
    <w:rPr>
      <w:rFonts w:eastAsia="仿宋_GB2312" w:cs="宋体"/>
      <w:b/>
      <w:bCs/>
      <w:sz w:val="28"/>
      <w:szCs w:val="20"/>
    </w:rPr>
  </w:style>
  <w:style w:type="paragraph" w:customStyle="1" w:styleId="1013">
    <w:name w:val="样式 样式 (西文) 仿宋_GB2312 (中文) 仿宋_GB2312 + (西文) Times New Roman 首行缩进..."/>
    <w:basedOn w:val="991"/>
    <w:uiPriority w:val="0"/>
    <w:pPr>
      <w:spacing w:after="156" w:afterLines="50"/>
      <w:ind w:firstLine="500" w:firstLineChars="500"/>
    </w:pPr>
    <w:rPr>
      <w:rFonts w:ascii="Times New Roman" w:cs="宋体"/>
      <w:szCs w:val="20"/>
    </w:rPr>
  </w:style>
  <w:style w:type="paragraph" w:customStyle="1" w:styleId="1014">
    <w:name w:val="样式 样式 (西文) 仿宋_GB2312 (中文) 仿宋_GB2312 + (西文) Times New Roman 首行缩进...1"/>
    <w:basedOn w:val="991"/>
    <w:uiPriority w:val="0"/>
    <w:pPr>
      <w:spacing w:after="156" w:afterLines="50"/>
    </w:pPr>
    <w:rPr>
      <w:rFonts w:ascii="Times New Roman" w:cs="宋体"/>
      <w:szCs w:val="20"/>
    </w:rPr>
  </w:style>
  <w:style w:type="paragraph" w:customStyle="1" w:styleId="1015">
    <w:name w:val="样式 样式 仿宋_GB2312 段前: 0.5 行 段后: 6 磅 行距: 1.5 倍行距 + 首行缩进:  2 字符 段后:...3"/>
    <w:basedOn w:val="1"/>
    <w:uiPriority w:val="0"/>
    <w:pPr>
      <w:adjustRightInd w:val="0"/>
      <w:snapToGrid w:val="0"/>
      <w:spacing w:after="312" w:afterLines="100" w:line="300" w:lineRule="auto"/>
      <w:ind w:firstLine="200" w:firstLineChars="200"/>
    </w:pPr>
    <w:rPr>
      <w:rFonts w:ascii="仿宋_GB2312" w:eastAsia="仿宋_GB2312" w:cs="宋体"/>
      <w:sz w:val="28"/>
      <w:szCs w:val="20"/>
    </w:rPr>
  </w:style>
  <w:style w:type="paragraph" w:customStyle="1" w:styleId="1016">
    <w:name w:val="样式 样式 (西文) 仿宋_GB2312 (中文) 仿宋_GB2312 黑色 悬挂缩进: 3 字符 段前: 0.5 行 行距....."/>
    <w:basedOn w:val="1"/>
    <w:uiPriority w:val="0"/>
    <w:pPr>
      <w:adjustRightInd w:val="0"/>
      <w:snapToGrid w:val="0"/>
      <w:spacing w:after="312" w:afterLines="100" w:line="300" w:lineRule="auto"/>
      <w:ind w:left="500" w:leftChars="200" w:hanging="300" w:hangingChars="300"/>
    </w:pPr>
    <w:rPr>
      <w:rFonts w:ascii="仿宋_GB2312" w:eastAsia="仿宋_GB2312" w:cs="宋体"/>
      <w:color w:val="000000"/>
      <w:sz w:val="28"/>
      <w:szCs w:val="20"/>
    </w:rPr>
  </w:style>
  <w:style w:type="paragraph" w:customStyle="1" w:styleId="1017">
    <w:name w:val="样式 (西文) 仿宋_GB2312 (中文) 仿宋_GB2312 黑色 段前: 0.5 行 行距: 1.5 倍行距 左..."/>
    <w:basedOn w:val="1"/>
    <w:uiPriority w:val="0"/>
    <w:pPr>
      <w:adjustRightInd w:val="0"/>
      <w:snapToGrid w:val="0"/>
      <w:spacing w:after="312" w:afterLines="100" w:line="300" w:lineRule="auto"/>
      <w:ind w:left="450" w:leftChars="450" w:firstLine="50" w:firstLineChars="50"/>
    </w:pPr>
    <w:rPr>
      <w:rFonts w:ascii="仿宋_GB2312" w:eastAsia="仿宋_GB2312" w:cs="宋体"/>
      <w:color w:val="000000"/>
      <w:sz w:val="28"/>
      <w:szCs w:val="20"/>
    </w:rPr>
  </w:style>
  <w:style w:type="paragraph" w:customStyle="1" w:styleId="1018">
    <w:name w:val="样式 样式 样式 段前: 0.5 行 行距: 1.5 倍行距 首行缩进:  2 字符 + 首行缩进:  2 字符 段后: 1 行...1"/>
    <w:basedOn w:val="1008"/>
    <w:uiPriority w:val="0"/>
    <w:pPr>
      <w:spacing w:after="156" w:afterLines="50"/>
      <w:ind w:firstLine="500" w:firstLineChars="500"/>
    </w:pPr>
  </w:style>
  <w:style w:type="paragraph" w:customStyle="1" w:styleId="1019">
    <w:name w:val="样式 样式 (西文) 仿宋_GB2312 (中文) 仿宋_GB2312 (符号) 宋体 段前: 0.5 行 行距: 1.5 倍...."/>
    <w:basedOn w:val="1"/>
    <w:uiPriority w:val="0"/>
    <w:pPr>
      <w:adjustRightInd w:val="0"/>
      <w:snapToGrid w:val="0"/>
      <w:spacing w:after="312" w:afterLines="100" w:line="300" w:lineRule="auto"/>
      <w:ind w:firstLine="200" w:firstLineChars="200"/>
    </w:pPr>
    <w:rPr>
      <w:rFonts w:ascii="仿宋_GB2312" w:hAnsi="宋体" w:eastAsia="仿宋_GB2312" w:cs="宋体"/>
      <w:sz w:val="28"/>
      <w:szCs w:val="20"/>
    </w:rPr>
  </w:style>
  <w:style w:type="paragraph" w:customStyle="1" w:styleId="1020">
    <w:name w:val="样式 标题 2 + (西文) Arial (中文) 黑体 四号 段前: 0.5 行 段后: 6 磅 行距: 多倍行距 ..."/>
    <w:basedOn w:val="3"/>
    <w:next w:val="1021"/>
    <w:uiPriority w:val="0"/>
    <w:pPr>
      <w:numPr>
        <w:ilvl w:val="0"/>
        <w:numId w:val="0"/>
      </w:numPr>
      <w:tabs>
        <w:tab w:val="clear" w:pos="425"/>
        <w:tab w:val="clear" w:pos="780"/>
        <w:tab w:val="clear" w:pos="840"/>
        <w:tab w:val="clear" w:pos="1140"/>
        <w:tab w:val="clear" w:pos="1200"/>
        <w:tab w:val="clear" w:pos="1620"/>
        <w:tab w:val="clear" w:pos="2040"/>
        <w:tab w:val="clear" w:pos="6231"/>
      </w:tabs>
      <w:snapToGrid w:val="0"/>
      <w:spacing w:after="120" w:afterLines="0" w:line="413" w:lineRule="auto"/>
      <w:ind w:firstLine="420"/>
    </w:pPr>
    <w:rPr>
      <w:rFonts w:ascii="Arial" w:hAnsi="Arial" w:eastAsia="黑体" w:cs="宋体"/>
      <w:bCs/>
      <w:sz w:val="32"/>
      <w:szCs w:val="20"/>
    </w:rPr>
  </w:style>
  <w:style w:type="paragraph" w:customStyle="1" w:styleId="1021">
    <w:name w:val="样式 样式 (西文) 仿宋_GB2312 (中文) 仿宋_GB2312 (符号) 宋体 加粗 段前: 0.5 行 行距: 1....."/>
    <w:basedOn w:val="1"/>
    <w:qFormat/>
    <w:uiPriority w:val="0"/>
    <w:pPr>
      <w:adjustRightInd w:val="0"/>
      <w:snapToGrid w:val="0"/>
      <w:spacing w:after="312" w:afterLines="100" w:line="300" w:lineRule="auto"/>
      <w:ind w:firstLine="200" w:firstLineChars="200"/>
    </w:pPr>
    <w:rPr>
      <w:rFonts w:ascii="仿宋_GB2312" w:hAnsi="宋体" w:eastAsia="仿宋_GB2312" w:cs="宋体"/>
      <w:b/>
      <w:bCs/>
      <w:sz w:val="28"/>
      <w:szCs w:val="20"/>
    </w:rPr>
  </w:style>
  <w:style w:type="character" w:customStyle="1" w:styleId="1022">
    <w:name w:val="Footnote Text Char"/>
    <w:semiHidden/>
    <w:locked/>
    <w:uiPriority w:val="0"/>
    <w:rPr>
      <w:rFonts w:ascii="宋体" w:eastAsia="宋体"/>
      <w:kern w:val="2"/>
      <w:sz w:val="18"/>
      <w:lang w:val="en-US" w:eastAsia="zh-CN" w:bidi="ar-SA"/>
    </w:rPr>
  </w:style>
  <w:style w:type="character" w:customStyle="1" w:styleId="1023">
    <w:name w:val="正文1 Char"/>
    <w:uiPriority w:val="0"/>
    <w:rPr>
      <w:rFonts w:eastAsia="宋体"/>
      <w:kern w:val="2"/>
      <w:sz w:val="21"/>
      <w:szCs w:val="24"/>
      <w:lang w:val="en-US" w:eastAsia="zh-CN" w:bidi="ar-SA"/>
    </w:rPr>
  </w:style>
  <w:style w:type="paragraph" w:customStyle="1" w:styleId="1024">
    <w:name w:val="文本文字"/>
    <w:basedOn w:val="1"/>
    <w:qFormat/>
    <w:uiPriority w:val="0"/>
    <w:pPr>
      <w:spacing w:line="480" w:lineRule="exact"/>
      <w:ind w:firstLine="200" w:firstLineChars="200"/>
    </w:pPr>
    <w:rPr>
      <w:rFonts w:ascii="Calibri" w:hAnsi="Calibri" w:eastAsia="Times New Roman"/>
      <w:sz w:val="24"/>
      <w:szCs w:val="22"/>
    </w:rPr>
  </w:style>
  <w:style w:type="paragraph" w:customStyle="1" w:styleId="1025">
    <w:name w:val="无间隔1"/>
    <w:uiPriority w:val="0"/>
    <w:pPr>
      <w:widowControl w:val="0"/>
      <w:spacing w:afterLines="20"/>
      <w:ind w:firstLine="880" w:firstLineChars="200"/>
      <w:jc w:val="both"/>
    </w:pPr>
    <w:rPr>
      <w:rFonts w:ascii="Times New Roman" w:hAnsi="Times New Roman" w:eastAsia="宋体" w:cs="Times New Roman"/>
      <w:kern w:val="2"/>
      <w:sz w:val="24"/>
      <w:szCs w:val="24"/>
      <w:lang w:val="en-US" w:eastAsia="zh-CN" w:bidi="ar-SA"/>
    </w:rPr>
  </w:style>
  <w:style w:type="paragraph" w:customStyle="1" w:styleId="1026">
    <w:name w:val="列出段落3"/>
    <w:basedOn w:val="1"/>
    <w:qFormat/>
    <w:uiPriority w:val="34"/>
    <w:pPr>
      <w:ind w:firstLine="420" w:firstLineChars="200"/>
    </w:pPr>
    <w:rPr>
      <w:szCs w:val="20"/>
    </w:rPr>
  </w:style>
  <w:style w:type="character" w:customStyle="1" w:styleId="1027">
    <w:name w:val="font41"/>
    <w:uiPriority w:val="0"/>
    <w:rPr>
      <w:rFonts w:hint="default" w:ascii="Times New Roman" w:hAnsi="Times New Roman" w:cs="Times New Roman"/>
      <w:color w:val="000000"/>
      <w:sz w:val="20"/>
      <w:szCs w:val="20"/>
      <w:u w:val="none"/>
    </w:rPr>
  </w:style>
  <w:style w:type="paragraph" w:customStyle="1" w:styleId="1028">
    <w:name w:val="样式 宋体 四号 黑色"/>
    <w:basedOn w:val="1"/>
    <w:uiPriority w:val="0"/>
    <w:pPr>
      <w:ind w:firstLine="560" w:firstLineChars="200"/>
    </w:pPr>
    <w:rPr>
      <w:rFonts w:ascii="宋体" w:hAnsi="宋体" w:cs="宋体"/>
      <w:color w:val="000000"/>
      <w:sz w:val="24"/>
      <w:szCs w:val="20"/>
    </w:rPr>
  </w:style>
  <w:style w:type="character" w:customStyle="1" w:styleId="1029">
    <w:name w:val="页眉 Char1"/>
    <w:uiPriority w:val="99"/>
    <w:rPr>
      <w:rFonts w:ascii="Times New Roman" w:hAnsi="Times New Roman" w:eastAsia="宋体" w:cs="Times New Roman"/>
      <w:sz w:val="18"/>
      <w:szCs w:val="18"/>
    </w:rPr>
  </w:style>
  <w:style w:type="character" w:customStyle="1" w:styleId="1030">
    <w:name w:val="正文文本缩进 2 Char1"/>
    <w:semiHidden/>
    <w:uiPriority w:val="99"/>
    <w:rPr>
      <w:rFonts w:ascii="Times New Roman" w:hAnsi="Times New Roman" w:eastAsia="宋体" w:cs="Times New Roman"/>
      <w:sz w:val="24"/>
      <w:szCs w:val="20"/>
    </w:rPr>
  </w:style>
  <w:style w:type="paragraph" w:customStyle="1" w:styleId="1031">
    <w:name w:val="样式 首行缩进:  0.85 厘米"/>
    <w:next w:val="29"/>
    <w:uiPriority w:val="0"/>
    <w:pPr>
      <w:spacing w:line="360" w:lineRule="auto"/>
      <w:ind w:firstLine="482"/>
    </w:pPr>
    <w:rPr>
      <w:rFonts w:ascii="宋体" w:hAnsi="Times New Roman" w:eastAsia="宋体" w:cs="Times New Roman"/>
      <w:snapToGrid w:val="0"/>
      <w:kern w:val="0"/>
      <w:sz w:val="24"/>
      <w:szCs w:val="20"/>
      <w:lang w:val="en-US" w:eastAsia="zh-CN" w:bidi="ar-SA"/>
    </w:rPr>
  </w:style>
  <w:style w:type="paragraph" w:customStyle="1" w:styleId="1032">
    <w:name w:val="标题3."/>
    <w:basedOn w:val="5"/>
    <w:uiPriority w:val="0"/>
    <w:pPr>
      <w:numPr>
        <w:ilvl w:val="0"/>
        <w:numId w:val="0"/>
      </w:numPr>
      <w:tabs>
        <w:tab w:val="clear" w:pos="425"/>
        <w:tab w:val="clear" w:pos="780"/>
        <w:tab w:val="clear" w:pos="840"/>
        <w:tab w:val="clear" w:pos="1140"/>
        <w:tab w:val="clear" w:pos="1200"/>
        <w:tab w:val="clear" w:pos="1620"/>
        <w:tab w:val="clear" w:pos="2040"/>
        <w:tab w:val="clear" w:pos="6231"/>
      </w:tabs>
      <w:spacing w:before="120" w:beforeLines="0" w:after="120" w:afterLines="0" w:line="360" w:lineRule="auto"/>
    </w:pPr>
    <w:rPr>
      <w:b/>
      <w:bCs/>
      <w:sz w:val="28"/>
      <w:szCs w:val="20"/>
    </w:rPr>
  </w:style>
  <w:style w:type="paragraph" w:customStyle="1" w:styleId="1033">
    <w:name w:val="表格样式"/>
    <w:basedOn w:val="1"/>
    <w:qFormat/>
    <w:uiPriority w:val="0"/>
    <w:pPr>
      <w:spacing w:line="240" w:lineRule="atLeast"/>
    </w:pPr>
    <w:rPr>
      <w:rFonts w:ascii="Arial" w:hAnsi="Arial"/>
      <w:sz w:val="18"/>
      <w:szCs w:val="22"/>
    </w:rPr>
  </w:style>
  <w:style w:type="character" w:customStyle="1" w:styleId="1034">
    <w:name w:val="样式2 Char Char"/>
    <w:uiPriority w:val="0"/>
    <w:rPr>
      <w:rFonts w:ascii="Times New Roman" w:hAnsi="Times New Roman" w:eastAsia="黑体" w:cs="Times New Roman"/>
      <w:b/>
      <w:sz w:val="30"/>
      <w:szCs w:val="24"/>
    </w:rPr>
  </w:style>
  <w:style w:type="paragraph" w:customStyle="1" w:styleId="1035">
    <w:name w:val="Char Char Char Char Char Char Char Char1 Char Char Char Char1"/>
    <w:basedOn w:val="1"/>
    <w:uiPriority w:val="0"/>
  </w:style>
  <w:style w:type="character" w:customStyle="1" w:styleId="1036">
    <w:name w:val="正文文本缩进 Char1"/>
    <w:semiHidden/>
    <w:uiPriority w:val="99"/>
    <w:rPr>
      <w:rFonts w:ascii="Times New Roman" w:hAnsi="Times New Roman" w:eastAsia="宋体" w:cs="Times New Roman"/>
      <w:sz w:val="24"/>
      <w:szCs w:val="20"/>
    </w:rPr>
  </w:style>
  <w:style w:type="character" w:customStyle="1" w:styleId="1037">
    <w:name w:val="正文文本缩进 3 Char1"/>
    <w:semiHidden/>
    <w:uiPriority w:val="99"/>
    <w:rPr>
      <w:rFonts w:ascii="Times New Roman" w:hAnsi="Times New Roman" w:eastAsia="宋体" w:cs="Times New Roman"/>
      <w:sz w:val="16"/>
      <w:szCs w:val="16"/>
    </w:rPr>
  </w:style>
  <w:style w:type="character" w:customStyle="1" w:styleId="1038">
    <w:name w:val="批注框文本 Char1"/>
    <w:semiHidden/>
    <w:uiPriority w:val="99"/>
    <w:rPr>
      <w:rFonts w:ascii="Times New Roman" w:hAnsi="Times New Roman" w:eastAsia="宋体" w:cs="Times New Roman"/>
      <w:sz w:val="18"/>
      <w:szCs w:val="18"/>
    </w:rPr>
  </w:style>
  <w:style w:type="character" w:customStyle="1" w:styleId="1039">
    <w:name w:val="正文文本 3 Char1"/>
    <w:semiHidden/>
    <w:uiPriority w:val="99"/>
    <w:rPr>
      <w:rFonts w:ascii="Times New Roman" w:hAnsi="Times New Roman" w:eastAsia="宋体" w:cs="Times New Roman"/>
      <w:sz w:val="16"/>
      <w:szCs w:val="16"/>
    </w:rPr>
  </w:style>
  <w:style w:type="character" w:customStyle="1" w:styleId="1040">
    <w:name w:val="文档结构图 Char1"/>
    <w:semiHidden/>
    <w:uiPriority w:val="99"/>
    <w:rPr>
      <w:rFonts w:ascii="宋体" w:hAnsi="Times New Roman" w:eastAsia="宋体" w:cs="Times New Roman"/>
      <w:sz w:val="18"/>
      <w:szCs w:val="18"/>
    </w:rPr>
  </w:style>
  <w:style w:type="character" w:customStyle="1" w:styleId="1041">
    <w:name w:val="日期 Char1"/>
    <w:semiHidden/>
    <w:uiPriority w:val="99"/>
    <w:rPr>
      <w:rFonts w:ascii="Times New Roman" w:hAnsi="Times New Roman" w:eastAsia="宋体" w:cs="Times New Roman"/>
      <w:sz w:val="24"/>
      <w:szCs w:val="20"/>
    </w:rPr>
  </w:style>
  <w:style w:type="character" w:customStyle="1" w:styleId="1042">
    <w:name w:val="批注文字 Char1"/>
    <w:semiHidden/>
    <w:uiPriority w:val="99"/>
    <w:rPr>
      <w:rFonts w:ascii="Times New Roman" w:hAnsi="Times New Roman" w:eastAsia="宋体" w:cs="Times New Roman"/>
      <w:sz w:val="24"/>
      <w:szCs w:val="20"/>
    </w:rPr>
  </w:style>
  <w:style w:type="character" w:customStyle="1" w:styleId="1043">
    <w:name w:val="Char Char15"/>
    <w:uiPriority w:val="0"/>
    <w:rPr>
      <w:rFonts w:ascii="宋体" w:hAnsi="Courier New" w:eastAsia="宋体"/>
      <w:snapToGrid w:val="0"/>
      <w:sz w:val="28"/>
      <w:lang w:val="en-US" w:eastAsia="zh-CN" w:bidi="ar-SA"/>
    </w:rPr>
  </w:style>
  <w:style w:type="paragraph" w:customStyle="1" w:styleId="1044">
    <w:name w:val="Char Char Char Char Char Char Char Char Char Char2"/>
    <w:basedOn w:val="1"/>
    <w:uiPriority w:val="0"/>
    <w:pPr>
      <w:spacing w:line="360" w:lineRule="auto"/>
      <w:ind w:firstLine="200" w:firstLineChars="200"/>
    </w:pPr>
    <w:rPr>
      <w:rFonts w:ascii="宋体" w:hAnsi="宋体" w:cs="宋体"/>
      <w:sz w:val="24"/>
    </w:rPr>
  </w:style>
  <w:style w:type="character" w:customStyle="1" w:styleId="1045">
    <w:name w:val="Char Char91"/>
    <w:uiPriority w:val="0"/>
    <w:rPr>
      <w:rFonts w:eastAsia="宋体"/>
      <w:kern w:val="2"/>
      <w:sz w:val="24"/>
      <w:lang w:val="en-US" w:eastAsia="zh-CN" w:bidi="ar-SA"/>
    </w:rPr>
  </w:style>
  <w:style w:type="character" w:customStyle="1" w:styleId="1046">
    <w:name w:val="Char Char112"/>
    <w:uiPriority w:val="0"/>
    <w:rPr>
      <w:rFonts w:eastAsia="宋体"/>
      <w:kern w:val="2"/>
      <w:sz w:val="21"/>
      <w:szCs w:val="24"/>
      <w:lang w:val="en-US" w:eastAsia="zh-CN" w:bidi="ar-SA"/>
    </w:rPr>
  </w:style>
  <w:style w:type="paragraph" w:customStyle="1" w:styleId="1047">
    <w:name w:val="Char Char Char1 Char1"/>
    <w:basedOn w:val="1"/>
    <w:uiPriority w:val="0"/>
    <w:rPr>
      <w:sz w:val="24"/>
    </w:rPr>
  </w:style>
  <w:style w:type="paragraph" w:customStyle="1" w:styleId="1048">
    <w:name w:val="Char7"/>
    <w:basedOn w:val="1"/>
    <w:uiPriority w:val="0"/>
    <w:rPr>
      <w:szCs w:val="20"/>
    </w:rPr>
  </w:style>
  <w:style w:type="paragraph" w:customStyle="1" w:styleId="1049">
    <w:name w:val="Char22"/>
    <w:basedOn w:val="1"/>
    <w:uiPriority w:val="0"/>
  </w:style>
  <w:style w:type="paragraph" w:customStyle="1" w:styleId="1050">
    <w:name w:val="Char Char Char Char2"/>
    <w:basedOn w:val="1"/>
    <w:uiPriority w:val="0"/>
  </w:style>
  <w:style w:type="paragraph" w:customStyle="1" w:styleId="1051">
    <w:name w:val="Char Char Char1 Char Char Char Char1"/>
    <w:basedOn w:val="1"/>
    <w:next w:val="1"/>
    <w:semiHidden/>
    <w:uiPriority w:val="0"/>
    <w:pPr>
      <w:spacing w:line="360" w:lineRule="auto"/>
      <w:ind w:firstLine="200" w:firstLineChars="200"/>
    </w:pPr>
    <w:rPr>
      <w:rFonts w:ascii="宋体" w:hAnsi="宋体" w:eastAsia="汉鼎简书宋" w:cs="宋体"/>
      <w:sz w:val="24"/>
    </w:rPr>
  </w:style>
  <w:style w:type="paragraph" w:customStyle="1" w:styleId="1052">
    <w:name w:val="Char Char Char Char Char Char1 Char2"/>
    <w:basedOn w:val="1"/>
    <w:semiHidden/>
    <w:uiPriority w:val="0"/>
  </w:style>
  <w:style w:type="paragraph" w:customStyle="1" w:styleId="1053">
    <w:name w:val="日期2"/>
    <w:basedOn w:val="1"/>
    <w:next w:val="1"/>
    <w:semiHidden/>
    <w:uiPriority w:val="0"/>
    <w:pPr>
      <w:adjustRightInd w:val="0"/>
      <w:jc w:val="left"/>
      <w:textAlignment w:val="baseline"/>
    </w:pPr>
    <w:rPr>
      <w:rFonts w:ascii="宋体"/>
      <w:spacing w:val="24"/>
      <w:kern w:val="24"/>
      <w:sz w:val="24"/>
      <w:szCs w:val="20"/>
    </w:rPr>
  </w:style>
  <w:style w:type="paragraph" w:customStyle="1" w:styleId="1054">
    <w:name w:val="正文4"/>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character" w:customStyle="1" w:styleId="1055">
    <w:name w:val="标题10"/>
    <w:semiHidden/>
    <w:uiPriority w:val="0"/>
    <w:rPr>
      <w:rFonts w:ascii="宋体" w:hAnsi="宋体" w:eastAsia="黑体" w:cs="宋体"/>
      <w:kern w:val="2"/>
      <w:sz w:val="28"/>
      <w:szCs w:val="24"/>
      <w:lang w:val="en-US" w:eastAsia="zh-CN" w:bidi="ar-SA"/>
    </w:rPr>
  </w:style>
  <w:style w:type="paragraph" w:customStyle="1" w:styleId="1056">
    <w:name w:val="Char Char Char Char Char Char Char Char Char2"/>
    <w:basedOn w:val="1"/>
    <w:semiHidden/>
    <w:uiPriority w:val="0"/>
  </w:style>
  <w:style w:type="paragraph" w:customStyle="1" w:styleId="1057">
    <w:name w:val="Char Char Char Char Char Char Char Char Char Char Char Char Char Char Char Char Char Char Char Char Char Char Char Char Char Char Char Char Char Char Char Char Char Char Char Char Char Char Char Char Char Char1"/>
    <w:basedOn w:val="1"/>
    <w:semiHidden/>
    <w:uiPriority w:val="0"/>
  </w:style>
  <w:style w:type="paragraph" w:customStyle="1" w:styleId="1058">
    <w:name w:val="Char Char Char5"/>
    <w:basedOn w:val="1"/>
    <w:uiPriority w:val="0"/>
    <w:pPr>
      <w:spacing w:after="156" w:afterLines="50" w:line="560" w:lineRule="exact"/>
    </w:pPr>
    <w:rPr>
      <w:rFonts w:eastAsia="黑体"/>
      <w:sz w:val="30"/>
      <w:szCs w:val="30"/>
    </w:rPr>
  </w:style>
  <w:style w:type="paragraph" w:customStyle="1" w:styleId="1059">
    <w:name w:val="Char Char Char Char Char Char Char3"/>
    <w:basedOn w:val="1"/>
    <w:uiPriority w:val="0"/>
    <w:pPr>
      <w:spacing w:line="360" w:lineRule="auto"/>
      <w:ind w:firstLine="200" w:firstLineChars="200"/>
    </w:pPr>
    <w:rPr>
      <w:rFonts w:ascii="宋体" w:hAnsi="宋体" w:cs="宋体"/>
      <w:sz w:val="24"/>
    </w:rPr>
  </w:style>
  <w:style w:type="paragraph" w:customStyle="1" w:styleId="1060">
    <w:name w:val="列出段落2"/>
    <w:basedOn w:val="1"/>
    <w:qFormat/>
    <w:uiPriority w:val="99"/>
    <w:pPr>
      <w:ind w:firstLine="420" w:firstLineChars="200"/>
    </w:pPr>
    <w:rPr>
      <w:rFonts w:ascii="Calibri" w:hAnsi="Calibri"/>
      <w:szCs w:val="22"/>
    </w:rPr>
  </w:style>
  <w:style w:type="paragraph" w:customStyle="1" w:styleId="1061">
    <w:name w:val="引用2"/>
    <w:basedOn w:val="1"/>
    <w:next w:val="1"/>
    <w:uiPriority w:val="0"/>
    <w:pPr>
      <w:autoSpaceDE w:val="0"/>
      <w:autoSpaceDN w:val="0"/>
      <w:adjustRightInd w:val="0"/>
      <w:spacing w:beforeLines="50" w:after="156" w:line="300" w:lineRule="auto"/>
      <w:ind w:firstLine="480" w:firstLineChars="200"/>
      <w:jc w:val="left"/>
    </w:pPr>
    <w:rPr>
      <w:bCs/>
      <w:i/>
      <w:iCs/>
      <w:color w:val="000000"/>
      <w:sz w:val="24"/>
    </w:rPr>
  </w:style>
  <w:style w:type="character" w:customStyle="1" w:styleId="1062">
    <w:name w:val="Char Char51"/>
    <w:uiPriority w:val="0"/>
    <w:rPr>
      <w:rFonts w:ascii="Times New Roman" w:hAnsi="Times New Roman"/>
      <w:b/>
      <w:bCs/>
      <w:kern w:val="44"/>
      <w:sz w:val="44"/>
      <w:szCs w:val="44"/>
    </w:rPr>
  </w:style>
  <w:style w:type="character" w:customStyle="1" w:styleId="1063">
    <w:name w:val="Char Char31"/>
    <w:uiPriority w:val="0"/>
    <w:rPr>
      <w:rFonts w:ascii="Times New Roman" w:hAnsi="Times New Roman" w:eastAsia="宋体" w:cs="Times New Roman"/>
      <w:sz w:val="18"/>
      <w:szCs w:val="18"/>
    </w:rPr>
  </w:style>
  <w:style w:type="character" w:customStyle="1" w:styleId="1064">
    <w:name w:val="Char Char44"/>
    <w:uiPriority w:val="0"/>
    <w:rPr>
      <w:rFonts w:ascii="Times New Roman" w:hAnsi="Times New Roman"/>
      <w:b/>
      <w:bCs/>
      <w:kern w:val="2"/>
      <w:sz w:val="28"/>
      <w:szCs w:val="28"/>
    </w:rPr>
  </w:style>
  <w:style w:type="character" w:customStyle="1" w:styleId="1065">
    <w:name w:val="Char Char141"/>
    <w:uiPriority w:val="0"/>
    <w:rPr>
      <w:rFonts w:ascii="Calibri" w:hAnsi="Calibri" w:eastAsia="宋体" w:cs="Times New Roman"/>
      <w:b/>
      <w:bCs/>
      <w:kern w:val="44"/>
      <w:sz w:val="44"/>
      <w:szCs w:val="44"/>
    </w:rPr>
  </w:style>
  <w:style w:type="character" w:customStyle="1" w:styleId="1066">
    <w:name w:val="Char Char131"/>
    <w:uiPriority w:val="0"/>
    <w:rPr>
      <w:rFonts w:ascii="Cambria" w:hAnsi="Cambria" w:eastAsia="宋体" w:cs="Times New Roman"/>
      <w:b/>
      <w:bCs/>
      <w:kern w:val="2"/>
      <w:sz w:val="32"/>
      <w:szCs w:val="32"/>
    </w:rPr>
  </w:style>
  <w:style w:type="character" w:customStyle="1" w:styleId="1067">
    <w:name w:val="Char Char121"/>
    <w:uiPriority w:val="0"/>
    <w:rPr>
      <w:rFonts w:ascii="Calibri" w:hAnsi="Calibri" w:eastAsia="宋体" w:cs="Times New Roman"/>
      <w:b/>
      <w:bCs/>
      <w:kern w:val="2"/>
      <w:sz w:val="32"/>
      <w:szCs w:val="32"/>
    </w:rPr>
  </w:style>
  <w:style w:type="character" w:customStyle="1" w:styleId="1068">
    <w:name w:val="Char Char101"/>
    <w:uiPriority w:val="0"/>
    <w:rPr>
      <w:rFonts w:ascii="Calibri" w:hAnsi="Calibri"/>
      <w:b/>
      <w:bCs/>
      <w:kern w:val="2"/>
      <w:sz w:val="28"/>
      <w:szCs w:val="28"/>
    </w:rPr>
  </w:style>
  <w:style w:type="character" w:customStyle="1" w:styleId="1069">
    <w:name w:val="Char Char71"/>
    <w:uiPriority w:val="0"/>
    <w:rPr>
      <w:b/>
      <w:bCs/>
      <w:sz w:val="32"/>
      <w:szCs w:val="32"/>
    </w:rPr>
  </w:style>
  <w:style w:type="character" w:customStyle="1" w:styleId="1070">
    <w:name w:val="Char Char81"/>
    <w:uiPriority w:val="0"/>
    <w:rPr>
      <w:rFonts w:ascii="Cambria" w:hAnsi="Cambria" w:eastAsia="宋体" w:cs="Times New Roman"/>
      <w:b/>
      <w:bCs/>
      <w:sz w:val="32"/>
      <w:szCs w:val="32"/>
    </w:rPr>
  </w:style>
  <w:style w:type="paragraph" w:customStyle="1" w:styleId="1071">
    <w:name w:val="■"/>
    <w:basedOn w:val="1"/>
    <w:link w:val="1072"/>
    <w:qFormat/>
    <w:uiPriority w:val="0"/>
    <w:pPr>
      <w:widowControl/>
      <w:numPr>
        <w:ilvl w:val="0"/>
        <w:numId w:val="13"/>
      </w:numPr>
      <w:spacing w:beforeLines="50" w:afterLines="50" w:line="0" w:lineRule="atLeast"/>
      <w:jc w:val="left"/>
    </w:pPr>
    <w:rPr>
      <w:rFonts w:ascii="宋体" w:hAnsi="宋体" w:eastAsia="微软雅黑"/>
      <w:b/>
      <w:kern w:val="0"/>
      <w:sz w:val="24"/>
    </w:rPr>
  </w:style>
  <w:style w:type="character" w:customStyle="1" w:styleId="1072">
    <w:name w:val="■ Char"/>
    <w:link w:val="1071"/>
    <w:uiPriority w:val="0"/>
    <w:rPr>
      <w:rFonts w:ascii="宋体" w:hAnsi="宋体" w:eastAsia="微软雅黑" w:cs="Times New Roman"/>
      <w:b/>
      <w:kern w:val="0"/>
      <w:sz w:val="24"/>
      <w:szCs w:val="24"/>
    </w:rPr>
  </w:style>
  <w:style w:type="paragraph" w:customStyle="1" w:styleId="1073">
    <w:name w:val="表内容"/>
    <w:basedOn w:val="1"/>
    <w:link w:val="1074"/>
    <w:qFormat/>
    <w:uiPriority w:val="0"/>
    <w:pPr>
      <w:spacing w:line="0" w:lineRule="atLeast"/>
      <w:jc w:val="center"/>
    </w:pPr>
    <w:rPr>
      <w:rFonts w:ascii="微软雅黑" w:hAnsi="微软雅黑" w:eastAsia="微软雅黑"/>
      <w:kern w:val="0"/>
      <w:sz w:val="24"/>
      <w:szCs w:val="28"/>
    </w:rPr>
  </w:style>
  <w:style w:type="character" w:customStyle="1" w:styleId="1074">
    <w:name w:val="表内容 Char"/>
    <w:link w:val="1073"/>
    <w:uiPriority w:val="0"/>
    <w:rPr>
      <w:rFonts w:ascii="微软雅黑" w:hAnsi="微软雅黑" w:eastAsia="微软雅黑" w:cs="Times New Roman"/>
      <w:kern w:val="0"/>
      <w:sz w:val="24"/>
      <w:szCs w:val="28"/>
    </w:rPr>
  </w:style>
  <w:style w:type="paragraph" w:customStyle="1" w:styleId="1075">
    <w:name w:val="样式 仿宋_GB2312 四号 行距: 固定值 25 磅"/>
    <w:basedOn w:val="1"/>
    <w:uiPriority w:val="0"/>
    <w:pPr>
      <w:spacing w:line="500" w:lineRule="exact"/>
      <w:ind w:firstLine="560" w:firstLineChars="200"/>
    </w:pPr>
    <w:rPr>
      <w:rFonts w:eastAsia="仿宋_GB2312" w:cs="宋体"/>
      <w:sz w:val="28"/>
      <w:szCs w:val="28"/>
    </w:rPr>
  </w:style>
  <w:style w:type="paragraph" w:customStyle="1" w:styleId="1076">
    <w:name w:val="表格-五号"/>
    <w:basedOn w:val="186"/>
    <w:link w:val="1077"/>
    <w:uiPriority w:val="0"/>
    <w:pPr>
      <w:spacing w:line="400" w:lineRule="exact"/>
      <w:ind w:left="0" w:leftChars="0" w:right="0" w:rightChars="0"/>
      <w:jc w:val="center"/>
    </w:pPr>
    <w:rPr>
      <w:rFonts w:ascii="仿宋_GB2312" w:hAnsi="宋体" w:eastAsia="仿宋_GB2312"/>
      <w:snapToGrid w:val="0"/>
      <w:kern w:val="0"/>
    </w:rPr>
  </w:style>
  <w:style w:type="character" w:customStyle="1" w:styleId="1077">
    <w:name w:val="表格-五号 Char"/>
    <w:link w:val="1076"/>
    <w:uiPriority w:val="0"/>
    <w:rPr>
      <w:rFonts w:ascii="仿宋_GB2312" w:hAnsi="宋体" w:eastAsia="仿宋_GB2312" w:cs="Times New Roman"/>
      <w:snapToGrid w:val="0"/>
      <w:kern w:val="0"/>
      <w:szCs w:val="21"/>
    </w:rPr>
  </w:style>
  <w:style w:type="paragraph" w:customStyle="1" w:styleId="1078">
    <w:name w:val="Char14"/>
    <w:basedOn w:val="1"/>
    <w:uiPriority w:val="0"/>
    <w:pPr>
      <w:widowControl/>
      <w:spacing w:after="160" w:line="240" w:lineRule="exact"/>
      <w:jc w:val="left"/>
    </w:pPr>
    <w:rPr>
      <w:rFonts w:ascii="Tahoma" w:hAnsi="Tahoma"/>
      <w:kern w:val="0"/>
      <w:sz w:val="24"/>
      <w:lang w:eastAsia="en-US"/>
    </w:rPr>
  </w:style>
  <w:style w:type="paragraph" w:customStyle="1" w:styleId="1079">
    <w:name w:val="Char15"/>
    <w:basedOn w:val="1"/>
    <w:uiPriority w:val="0"/>
    <w:pPr>
      <w:widowControl/>
      <w:spacing w:after="160" w:line="240" w:lineRule="exact"/>
      <w:jc w:val="left"/>
    </w:pPr>
    <w:rPr>
      <w:rFonts w:ascii="Tahoma" w:hAnsi="Tahoma"/>
      <w:kern w:val="0"/>
      <w:sz w:val="24"/>
      <w:lang w:eastAsia="en-US"/>
    </w:rPr>
  </w:style>
  <w:style w:type="paragraph" w:customStyle="1" w:styleId="1080">
    <w:name w:val="Char Char Char Char Char Char Char Char1 Char Char Char Char2"/>
    <w:basedOn w:val="1"/>
    <w:uiPriority w:val="0"/>
  </w:style>
  <w:style w:type="paragraph" w:customStyle="1" w:styleId="1081">
    <w:name w:val="_Style 1080"/>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082">
    <w:name w:val="Char Char17"/>
    <w:uiPriority w:val="0"/>
    <w:rPr>
      <w:rFonts w:ascii="宋体" w:hAnsi="Courier New" w:eastAsia="宋体"/>
      <w:snapToGrid w:val="0"/>
      <w:sz w:val="28"/>
      <w:lang w:val="en-US" w:eastAsia="zh-CN" w:bidi="ar-SA"/>
    </w:rPr>
  </w:style>
  <w:style w:type="paragraph" w:customStyle="1" w:styleId="1083">
    <w:name w:val="Char Char Char Char Char Char Char Char Char Char3"/>
    <w:basedOn w:val="1"/>
    <w:uiPriority w:val="0"/>
    <w:pPr>
      <w:spacing w:line="360" w:lineRule="auto"/>
      <w:ind w:firstLine="200" w:firstLineChars="200"/>
    </w:pPr>
    <w:rPr>
      <w:rFonts w:ascii="宋体" w:hAnsi="宋体" w:cs="宋体"/>
      <w:sz w:val="24"/>
    </w:rPr>
  </w:style>
  <w:style w:type="character" w:customStyle="1" w:styleId="1084">
    <w:name w:val="Char Char92"/>
    <w:uiPriority w:val="0"/>
    <w:rPr>
      <w:rFonts w:eastAsia="宋体"/>
      <w:kern w:val="2"/>
      <w:sz w:val="24"/>
      <w:lang w:val="en-US" w:eastAsia="zh-CN" w:bidi="ar-SA"/>
    </w:rPr>
  </w:style>
  <w:style w:type="character" w:customStyle="1" w:styleId="1085">
    <w:name w:val="Char Char113"/>
    <w:uiPriority w:val="0"/>
    <w:rPr>
      <w:rFonts w:eastAsia="宋体"/>
      <w:kern w:val="2"/>
      <w:sz w:val="21"/>
      <w:szCs w:val="24"/>
      <w:lang w:val="en-US" w:eastAsia="zh-CN" w:bidi="ar-SA"/>
    </w:rPr>
  </w:style>
  <w:style w:type="paragraph" w:customStyle="1" w:styleId="1086">
    <w:name w:val="Char Char Char1 Char2"/>
    <w:basedOn w:val="1"/>
    <w:uiPriority w:val="0"/>
    <w:rPr>
      <w:sz w:val="24"/>
    </w:rPr>
  </w:style>
  <w:style w:type="paragraph" w:customStyle="1" w:styleId="1087">
    <w:name w:val="Char8"/>
    <w:basedOn w:val="1"/>
    <w:uiPriority w:val="0"/>
    <w:rPr>
      <w:szCs w:val="20"/>
    </w:rPr>
  </w:style>
  <w:style w:type="paragraph" w:customStyle="1" w:styleId="1088">
    <w:name w:val="Char23"/>
    <w:basedOn w:val="1"/>
    <w:uiPriority w:val="0"/>
  </w:style>
  <w:style w:type="paragraph" w:customStyle="1" w:styleId="1089">
    <w:name w:val="Char Char Char Char3"/>
    <w:basedOn w:val="1"/>
    <w:semiHidden/>
    <w:uiPriority w:val="0"/>
  </w:style>
  <w:style w:type="paragraph" w:customStyle="1" w:styleId="1090">
    <w:name w:val="Char Char Char1 Char Char Char Char2"/>
    <w:basedOn w:val="1"/>
    <w:next w:val="1"/>
    <w:semiHidden/>
    <w:uiPriority w:val="0"/>
    <w:pPr>
      <w:spacing w:line="360" w:lineRule="auto"/>
      <w:ind w:firstLine="200" w:firstLineChars="200"/>
    </w:pPr>
    <w:rPr>
      <w:rFonts w:ascii="宋体" w:hAnsi="宋体" w:eastAsia="汉鼎简书宋" w:cs="宋体"/>
      <w:sz w:val="24"/>
    </w:rPr>
  </w:style>
  <w:style w:type="paragraph" w:customStyle="1" w:styleId="1091">
    <w:name w:val="Char Char Char Char Char Char1 Char3"/>
    <w:basedOn w:val="1"/>
    <w:uiPriority w:val="0"/>
  </w:style>
  <w:style w:type="paragraph" w:customStyle="1" w:styleId="1092">
    <w:name w:val="日期3"/>
    <w:basedOn w:val="1"/>
    <w:next w:val="1"/>
    <w:semiHidden/>
    <w:uiPriority w:val="0"/>
    <w:pPr>
      <w:adjustRightInd w:val="0"/>
      <w:jc w:val="left"/>
      <w:textAlignment w:val="baseline"/>
    </w:pPr>
    <w:rPr>
      <w:rFonts w:ascii="宋体"/>
      <w:spacing w:val="24"/>
      <w:kern w:val="24"/>
      <w:sz w:val="24"/>
      <w:szCs w:val="20"/>
    </w:rPr>
  </w:style>
  <w:style w:type="paragraph" w:customStyle="1" w:styleId="1093">
    <w:name w:val="正文5"/>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character" w:customStyle="1" w:styleId="1094">
    <w:name w:val="标题11"/>
    <w:semiHidden/>
    <w:uiPriority w:val="0"/>
    <w:rPr>
      <w:rFonts w:ascii="宋体" w:hAnsi="宋体" w:eastAsia="黑体" w:cs="宋体"/>
      <w:kern w:val="2"/>
      <w:sz w:val="28"/>
      <w:szCs w:val="24"/>
      <w:lang w:val="en-US" w:eastAsia="zh-CN" w:bidi="ar-SA"/>
    </w:rPr>
  </w:style>
  <w:style w:type="paragraph" w:customStyle="1" w:styleId="1095">
    <w:name w:val="Char Char Char Char Char Char Char Char Char3"/>
    <w:basedOn w:val="1"/>
    <w:semiHidden/>
    <w:uiPriority w:val="0"/>
  </w:style>
  <w:style w:type="paragraph" w:customStyle="1" w:styleId="1096">
    <w:name w:val="Char Char Char Char Char Char Char Char Char Char Char Char Char Char Char Char Char Char Char Char Char Char Char Char Char Char Char Char Char Char Char Char Char Char Char Char Char Char Char Char Char Char2"/>
    <w:basedOn w:val="1"/>
    <w:semiHidden/>
    <w:uiPriority w:val="0"/>
  </w:style>
  <w:style w:type="paragraph" w:customStyle="1" w:styleId="1097">
    <w:name w:val="Char Char Char6"/>
    <w:basedOn w:val="1"/>
    <w:uiPriority w:val="0"/>
    <w:pPr>
      <w:spacing w:after="156" w:afterLines="50" w:line="560" w:lineRule="exact"/>
    </w:pPr>
    <w:rPr>
      <w:rFonts w:eastAsia="黑体"/>
      <w:sz w:val="30"/>
      <w:szCs w:val="30"/>
    </w:rPr>
  </w:style>
  <w:style w:type="paragraph" w:customStyle="1" w:styleId="1098">
    <w:name w:val="Char Char Char Char Char Char Char4"/>
    <w:basedOn w:val="1"/>
    <w:uiPriority w:val="0"/>
    <w:pPr>
      <w:spacing w:line="360" w:lineRule="auto"/>
      <w:ind w:firstLine="200" w:firstLineChars="200"/>
    </w:pPr>
    <w:rPr>
      <w:rFonts w:ascii="宋体" w:hAnsi="宋体" w:cs="宋体"/>
      <w:sz w:val="24"/>
    </w:rPr>
  </w:style>
  <w:style w:type="paragraph" w:customStyle="1" w:styleId="1099">
    <w:name w:val="列出段落4"/>
    <w:basedOn w:val="1"/>
    <w:uiPriority w:val="0"/>
    <w:pPr>
      <w:ind w:firstLine="420" w:firstLineChars="200"/>
    </w:pPr>
    <w:rPr>
      <w:rFonts w:ascii="Calibri" w:hAnsi="Calibri"/>
      <w:szCs w:val="22"/>
    </w:rPr>
  </w:style>
  <w:style w:type="paragraph" w:customStyle="1" w:styleId="1100">
    <w:name w:val="引用3"/>
    <w:basedOn w:val="1"/>
    <w:next w:val="1"/>
    <w:uiPriority w:val="0"/>
    <w:pPr>
      <w:autoSpaceDE w:val="0"/>
      <w:autoSpaceDN w:val="0"/>
      <w:adjustRightInd w:val="0"/>
      <w:spacing w:beforeLines="50" w:after="156" w:line="300" w:lineRule="auto"/>
      <w:ind w:firstLine="480" w:firstLineChars="200"/>
      <w:jc w:val="left"/>
    </w:pPr>
    <w:rPr>
      <w:bCs/>
      <w:i/>
      <w:iCs/>
      <w:color w:val="000000"/>
      <w:sz w:val="24"/>
    </w:rPr>
  </w:style>
  <w:style w:type="character" w:customStyle="1" w:styleId="1101">
    <w:name w:val="Char Char52"/>
    <w:uiPriority w:val="0"/>
    <w:rPr>
      <w:rFonts w:ascii="Times New Roman" w:hAnsi="Times New Roman"/>
      <w:b/>
      <w:bCs/>
      <w:kern w:val="44"/>
      <w:sz w:val="44"/>
      <w:szCs w:val="44"/>
    </w:rPr>
  </w:style>
  <w:style w:type="character" w:customStyle="1" w:styleId="1102">
    <w:name w:val="Char Char32"/>
    <w:uiPriority w:val="0"/>
    <w:rPr>
      <w:rFonts w:ascii="Times New Roman" w:hAnsi="Times New Roman" w:eastAsia="宋体" w:cs="Times New Roman"/>
      <w:sz w:val="18"/>
      <w:szCs w:val="18"/>
    </w:rPr>
  </w:style>
  <w:style w:type="character" w:customStyle="1" w:styleId="1103">
    <w:name w:val="Char Char45"/>
    <w:uiPriority w:val="0"/>
    <w:rPr>
      <w:rFonts w:ascii="Times New Roman" w:hAnsi="Times New Roman"/>
      <w:b/>
      <w:bCs/>
      <w:kern w:val="2"/>
      <w:sz w:val="28"/>
      <w:szCs w:val="28"/>
    </w:rPr>
  </w:style>
  <w:style w:type="character" w:customStyle="1" w:styleId="1104">
    <w:name w:val="Char Char142"/>
    <w:uiPriority w:val="0"/>
    <w:rPr>
      <w:rFonts w:ascii="Calibri" w:hAnsi="Calibri" w:eastAsia="宋体" w:cs="Times New Roman"/>
      <w:b/>
      <w:bCs/>
      <w:kern w:val="44"/>
      <w:sz w:val="44"/>
      <w:szCs w:val="44"/>
    </w:rPr>
  </w:style>
  <w:style w:type="character" w:customStyle="1" w:styleId="1105">
    <w:name w:val="Char Char132"/>
    <w:uiPriority w:val="0"/>
    <w:rPr>
      <w:rFonts w:ascii="Cambria" w:hAnsi="Cambria" w:eastAsia="宋体" w:cs="Times New Roman"/>
      <w:b/>
      <w:bCs/>
      <w:kern w:val="2"/>
      <w:sz w:val="32"/>
      <w:szCs w:val="32"/>
    </w:rPr>
  </w:style>
  <w:style w:type="character" w:customStyle="1" w:styleId="1106">
    <w:name w:val="Char Char122"/>
    <w:uiPriority w:val="0"/>
    <w:rPr>
      <w:rFonts w:ascii="Calibri" w:hAnsi="Calibri" w:eastAsia="宋体" w:cs="Times New Roman"/>
      <w:b/>
      <w:bCs/>
      <w:kern w:val="2"/>
      <w:sz w:val="32"/>
      <w:szCs w:val="32"/>
    </w:rPr>
  </w:style>
  <w:style w:type="character" w:customStyle="1" w:styleId="1107">
    <w:name w:val="Char Char102"/>
    <w:uiPriority w:val="0"/>
    <w:rPr>
      <w:rFonts w:ascii="Calibri" w:hAnsi="Calibri"/>
      <w:b/>
      <w:bCs/>
      <w:kern w:val="2"/>
      <w:sz w:val="28"/>
      <w:szCs w:val="28"/>
    </w:rPr>
  </w:style>
  <w:style w:type="character" w:customStyle="1" w:styleId="1108">
    <w:name w:val="Char Char72"/>
    <w:uiPriority w:val="0"/>
    <w:rPr>
      <w:b/>
      <w:bCs/>
      <w:sz w:val="32"/>
      <w:szCs w:val="32"/>
    </w:rPr>
  </w:style>
  <w:style w:type="character" w:customStyle="1" w:styleId="1109">
    <w:name w:val="Char Char82"/>
    <w:uiPriority w:val="0"/>
    <w:rPr>
      <w:rFonts w:ascii="Cambria" w:hAnsi="Cambria" w:eastAsia="宋体" w:cs="Times New Roman"/>
      <w:b/>
      <w:bCs/>
      <w:sz w:val="32"/>
      <w:szCs w:val="32"/>
    </w:rPr>
  </w:style>
  <w:style w:type="paragraph" w:customStyle="1" w:styleId="1110">
    <w:name w:val="Char Char2 Char Char1"/>
    <w:basedOn w:val="1"/>
    <w:uiPriority w:val="0"/>
  </w:style>
  <w:style w:type="character" w:customStyle="1" w:styleId="1111">
    <w:name w:val="longtext"/>
    <w:basedOn w:val="87"/>
    <w:uiPriority w:val="0"/>
  </w:style>
  <w:style w:type="paragraph" w:customStyle="1" w:styleId="1112">
    <w:name w:val="3级"/>
    <w:basedOn w:val="1"/>
    <w:link w:val="1113"/>
    <w:qFormat/>
    <w:uiPriority w:val="0"/>
    <w:pPr>
      <w:widowControl/>
      <w:snapToGrid w:val="0"/>
      <w:spacing w:beforeLines="50" w:afterLines="50"/>
      <w:jc w:val="left"/>
      <w:outlineLvl w:val="2"/>
    </w:pPr>
    <w:rPr>
      <w:rFonts w:eastAsia="微软雅黑"/>
      <w:b/>
      <w:kern w:val="0"/>
      <w:sz w:val="28"/>
      <w:lang w:bidi="en-US"/>
    </w:rPr>
  </w:style>
  <w:style w:type="character" w:customStyle="1" w:styleId="1113">
    <w:name w:val="3级 Char"/>
    <w:link w:val="1112"/>
    <w:uiPriority w:val="0"/>
    <w:rPr>
      <w:rFonts w:ascii="Times New Roman" w:hAnsi="Times New Roman" w:eastAsia="微软雅黑" w:cs="Times New Roman"/>
      <w:b/>
      <w:kern w:val="0"/>
      <w:sz w:val="28"/>
      <w:szCs w:val="24"/>
      <w:lang w:bidi="en-US"/>
    </w:rPr>
  </w:style>
  <w:style w:type="paragraph" w:customStyle="1" w:styleId="1114">
    <w:name w:val="图片"/>
    <w:basedOn w:val="1"/>
    <w:link w:val="1115"/>
    <w:qFormat/>
    <w:uiPriority w:val="0"/>
    <w:pPr>
      <w:jc w:val="center"/>
    </w:pPr>
    <w:rPr>
      <w:rFonts w:ascii="Calibri" w:hAnsi="Calibri" w:eastAsia="微软雅黑" w:cs="黑体"/>
      <w:sz w:val="24"/>
      <w:szCs w:val="22"/>
    </w:rPr>
  </w:style>
  <w:style w:type="character" w:customStyle="1" w:styleId="1115">
    <w:name w:val="图片 Char"/>
    <w:link w:val="1114"/>
    <w:uiPriority w:val="0"/>
    <w:rPr>
      <w:rFonts w:ascii="Calibri" w:hAnsi="Calibri" w:eastAsia="微软雅黑" w:cs="黑体"/>
      <w:sz w:val="24"/>
    </w:rPr>
  </w:style>
  <w:style w:type="paragraph" w:customStyle="1" w:styleId="1116">
    <w:name w:val="样式 Arial 四号 行距: 固定值 23 磅3 + 仿宋_GB2312 三号 首行缩进:  2 字符"/>
    <w:basedOn w:val="1"/>
    <w:link w:val="1117"/>
    <w:uiPriority w:val="0"/>
    <w:pPr>
      <w:spacing w:line="560" w:lineRule="exact"/>
      <w:ind w:firstLine="200" w:firstLineChars="200"/>
    </w:pPr>
    <w:rPr>
      <w:rFonts w:ascii="Arial" w:hAnsi="Arial" w:eastAsia="仿宋_GB2312" w:cs="宋体"/>
      <w:w w:val="90"/>
      <w:sz w:val="32"/>
      <w:szCs w:val="28"/>
    </w:rPr>
  </w:style>
  <w:style w:type="character" w:customStyle="1" w:styleId="1117">
    <w:name w:val="样式 Arial 四号 行距: 固定值 23 磅3 + 仿宋_GB2312 三号 首行缩进:  2 字符 Char"/>
    <w:link w:val="1116"/>
    <w:uiPriority w:val="0"/>
    <w:rPr>
      <w:rFonts w:ascii="Arial" w:hAnsi="Arial" w:eastAsia="仿宋_GB2312" w:cs="宋体"/>
      <w:w w:val="90"/>
      <w:sz w:val="32"/>
      <w:szCs w:val="28"/>
    </w:rPr>
  </w:style>
  <w:style w:type="paragraph" w:customStyle="1" w:styleId="1118">
    <w:name w:val="Char16"/>
    <w:basedOn w:val="1"/>
    <w:uiPriority w:val="0"/>
    <w:pPr>
      <w:widowControl/>
      <w:spacing w:after="160" w:line="240" w:lineRule="exact"/>
      <w:jc w:val="left"/>
    </w:pPr>
    <w:rPr>
      <w:rFonts w:ascii="Tahoma" w:hAnsi="Tahoma"/>
      <w:kern w:val="0"/>
      <w:sz w:val="24"/>
      <w:lang w:eastAsia="en-US"/>
    </w:rPr>
  </w:style>
  <w:style w:type="paragraph" w:customStyle="1" w:styleId="1119">
    <w:name w:val="表内文字"/>
    <w:basedOn w:val="1"/>
    <w:uiPriority w:val="0"/>
    <w:pPr>
      <w:adjustRightInd w:val="0"/>
      <w:snapToGrid w:val="0"/>
      <w:spacing w:line="320" w:lineRule="exact"/>
      <w:jc w:val="center"/>
    </w:pPr>
    <w:rPr>
      <w:rFonts w:eastAsia="仿宋_GB2312"/>
      <w:kern w:val="0"/>
      <w:sz w:val="18"/>
      <w:szCs w:val="18"/>
    </w:rPr>
  </w:style>
  <w:style w:type="paragraph" w:customStyle="1" w:styleId="1120">
    <w:name w:val="Char41"/>
    <w:basedOn w:val="1"/>
    <w:uiPriority w:val="0"/>
    <w:pPr>
      <w:spacing w:line="360" w:lineRule="auto"/>
      <w:ind w:firstLine="200" w:firstLineChars="200"/>
    </w:pPr>
    <w:rPr>
      <w:rFonts w:ascii="宋体" w:hAnsi="宋体" w:cs="宋体"/>
      <w:sz w:val="24"/>
    </w:rPr>
  </w:style>
  <w:style w:type="character" w:customStyle="1" w:styleId="1121">
    <w:name w:val="样式 首行缩进:  2 字符 Char Char1"/>
    <w:basedOn w:val="87"/>
    <w:uiPriority w:val="0"/>
    <w:rPr>
      <w:rFonts w:ascii="黑体" w:hAnsi="宋体" w:eastAsia="黑体" w:cs="宋体"/>
      <w:snapToGrid w:val="0"/>
      <w:color w:val="000000"/>
      <w:kern w:val="2"/>
      <w:sz w:val="24"/>
      <w:szCs w:val="24"/>
      <w:lang w:val="en-US" w:eastAsia="zh-CN" w:bidi="ar-SA"/>
    </w:rPr>
  </w:style>
  <w:style w:type="paragraph" w:customStyle="1" w:styleId="1122">
    <w:name w:val="常用图表样式"/>
    <w:basedOn w:val="1"/>
    <w:uiPriority w:val="0"/>
    <w:pPr>
      <w:adjustRightInd w:val="0"/>
      <w:snapToGrid w:val="0"/>
      <w:spacing w:line="360" w:lineRule="auto"/>
      <w:ind w:left="-105" w:leftChars="-50" w:right="-105" w:rightChars="-50" w:firstLine="105" w:firstLineChars="50"/>
    </w:pPr>
    <w:rPr>
      <w:rFonts w:cs="宋体"/>
      <w:color w:val="000000"/>
      <w:szCs w:val="21"/>
    </w:rPr>
  </w:style>
  <w:style w:type="character" w:customStyle="1" w:styleId="1123">
    <w:name w:val="未命名11"/>
    <w:basedOn w:val="87"/>
    <w:uiPriority w:val="0"/>
    <w:rPr>
      <w:rFonts w:hint="eastAsia" w:ascii="宋体" w:hAnsi="宋体" w:eastAsia="宋体"/>
      <w:sz w:val="18"/>
      <w:szCs w:val="18"/>
    </w:rPr>
  </w:style>
  <w:style w:type="paragraph" w:customStyle="1" w:styleId="1124">
    <w:name w:val="Char Char Char Char4"/>
    <w:basedOn w:val="1"/>
    <w:uiPriority w:val="0"/>
    <w:pPr>
      <w:spacing w:after="148" w:afterLines="50" w:line="560" w:lineRule="exact"/>
      <w:ind w:right="1224" w:rightChars="583" w:firstLine="600" w:firstLineChars="250"/>
    </w:pPr>
    <w:rPr>
      <w:rFonts w:eastAsia="黑体"/>
      <w:sz w:val="30"/>
      <w:szCs w:val="30"/>
    </w:rPr>
  </w:style>
  <w:style w:type="paragraph" w:customStyle="1" w:styleId="1125">
    <w:name w:val="Char Char Char Char Char Char1 Char Char Char Char Char Char1 Char"/>
    <w:basedOn w:val="1"/>
    <w:semiHidden/>
    <w:uiPriority w:val="0"/>
    <w:pPr>
      <w:spacing w:after="156" w:afterLines="50" w:line="560" w:lineRule="exact"/>
    </w:pPr>
    <w:rPr>
      <w:rFonts w:eastAsia="黑体"/>
      <w:sz w:val="30"/>
      <w:szCs w:val="30"/>
    </w:rPr>
  </w:style>
  <w:style w:type="paragraph" w:customStyle="1" w:styleId="1126">
    <w:name w:val="强条"/>
    <w:basedOn w:val="1"/>
    <w:link w:val="1127"/>
    <w:uiPriority w:val="0"/>
    <w:pPr>
      <w:spacing w:before="60" w:beforeLines="25" w:line="360" w:lineRule="auto"/>
      <w:ind w:firstLine="420" w:firstLineChars="200"/>
    </w:pPr>
    <w:rPr>
      <w:rFonts w:eastAsia="黑体"/>
      <w:b/>
      <w:i/>
      <w:sz w:val="24"/>
      <w:szCs w:val="21"/>
    </w:rPr>
  </w:style>
  <w:style w:type="character" w:customStyle="1" w:styleId="1127">
    <w:name w:val="强条 Char"/>
    <w:basedOn w:val="87"/>
    <w:link w:val="1126"/>
    <w:uiPriority w:val="0"/>
    <w:rPr>
      <w:rFonts w:ascii="Times New Roman" w:hAnsi="Times New Roman" w:eastAsia="黑体" w:cs="Times New Roman"/>
      <w:b/>
      <w:i/>
      <w:sz w:val="24"/>
      <w:szCs w:val="21"/>
    </w:rPr>
  </w:style>
  <w:style w:type="paragraph" w:customStyle="1" w:styleId="1128">
    <w:name w:val="四级目录"/>
    <w:basedOn w:val="1"/>
    <w:uiPriority w:val="0"/>
    <w:rPr>
      <w:b/>
      <w:color w:val="000000"/>
      <w:sz w:val="28"/>
      <w:szCs w:val="28"/>
    </w:rPr>
  </w:style>
  <w:style w:type="paragraph" w:customStyle="1" w:styleId="1129">
    <w:name w:val="册除格式 Char Char"/>
    <w:uiPriority w:val="0"/>
    <w:pPr>
      <w:spacing w:line="360" w:lineRule="auto"/>
      <w:ind w:firstLine="482"/>
    </w:pPr>
    <w:rPr>
      <w:rFonts w:ascii="黑体" w:hAnsi="Arial" w:eastAsia="宋体" w:cs="Arial"/>
      <w:snapToGrid w:val="0"/>
      <w:spacing w:val="4"/>
      <w:kern w:val="18"/>
      <w:sz w:val="24"/>
      <w:szCs w:val="28"/>
      <w:lang w:val="en-US" w:eastAsia="zh-CN" w:bidi="ar-SA"/>
    </w:rPr>
  </w:style>
  <w:style w:type="paragraph" w:customStyle="1" w:styleId="1130">
    <w:name w:val="....."/>
    <w:basedOn w:val="175"/>
    <w:next w:val="175"/>
    <w:uiPriority w:val="0"/>
    <w:rPr>
      <w:rFonts w:ascii=".." w:hAnsi="Times New Roman" w:eastAsia=".." w:cs="Times New Roman"/>
      <w:color w:val="auto"/>
    </w:rPr>
  </w:style>
  <w:style w:type="paragraph" w:customStyle="1" w:styleId="1131">
    <w:name w:val="headi"/>
    <w:basedOn w:val="1"/>
    <w:next w:val="1"/>
    <w:uiPriority w:val="0"/>
    <w:pPr>
      <w:tabs>
        <w:tab w:val="left" w:pos="1200"/>
      </w:tabs>
      <w:adjustRightInd w:val="0"/>
      <w:snapToGrid w:val="0"/>
      <w:spacing w:before="120" w:beforeLines="50" w:after="120" w:afterLines="50" w:line="480" w:lineRule="exact"/>
      <w:ind w:left="1200" w:leftChars="400" w:hanging="360" w:hangingChars="200"/>
    </w:pPr>
    <w:rPr>
      <w:rFonts w:eastAsia="黑体"/>
      <w:sz w:val="28"/>
      <w:szCs w:val="28"/>
    </w:rPr>
  </w:style>
  <w:style w:type="paragraph" w:customStyle="1" w:styleId="1132">
    <w:name w:val="样式  + 首行缩进:  0.75 厘米"/>
    <w:basedOn w:val="1"/>
    <w:uiPriority w:val="0"/>
    <w:pPr>
      <w:ind w:firstLine="425"/>
      <w:jc w:val="left"/>
    </w:pPr>
    <w:rPr>
      <w:bCs/>
      <w:sz w:val="24"/>
    </w:rPr>
  </w:style>
  <w:style w:type="paragraph" w:customStyle="1" w:styleId="1133">
    <w:name w:val="表格小五"/>
    <w:basedOn w:val="1"/>
    <w:uiPriority w:val="0"/>
    <w:pPr>
      <w:adjustRightInd w:val="0"/>
      <w:snapToGrid w:val="0"/>
      <w:jc w:val="center"/>
      <w:textAlignment w:val="baseline"/>
    </w:pPr>
    <w:rPr>
      <w:rFonts w:eastAsia="新宋体"/>
      <w:snapToGrid w:val="0"/>
      <w:kern w:val="40"/>
      <w:sz w:val="18"/>
      <w:szCs w:val="18"/>
    </w:rPr>
  </w:style>
  <w:style w:type="paragraph" w:customStyle="1" w:styleId="1134">
    <w:name w:val="默认段落字体 Para Char Char Char Char Char Char Char Char Char"/>
    <w:basedOn w:val="1"/>
    <w:uiPriority w:val="0"/>
    <w:pPr>
      <w:keepNext/>
      <w:keepLines/>
      <w:spacing w:line="360" w:lineRule="auto"/>
      <w:jc w:val="left"/>
    </w:pPr>
    <w:rPr>
      <w:rFonts w:ascii="Tahoma" w:hAnsi="Tahoma"/>
      <w:b/>
      <w:sz w:val="30"/>
      <w:szCs w:val="20"/>
    </w:rPr>
  </w:style>
  <w:style w:type="paragraph" w:customStyle="1" w:styleId="1135">
    <w:name w:val="宏福正文-2"/>
    <w:basedOn w:val="16"/>
    <w:uiPriority w:val="0"/>
    <w:pPr>
      <w:snapToGrid w:val="0"/>
      <w:spacing w:before="240" w:after="0" w:line="400" w:lineRule="atLeast"/>
      <w:ind w:firstLine="567" w:firstLineChars="0"/>
    </w:pPr>
    <w:rPr>
      <w:sz w:val="28"/>
      <w:szCs w:val="20"/>
    </w:rPr>
  </w:style>
  <w:style w:type="paragraph" w:customStyle="1" w:styleId="1136">
    <w:name w:val="Char Char"/>
    <w:basedOn w:val="1"/>
    <w:uiPriority w:val="0"/>
    <w:pPr>
      <w:spacing w:after="156" w:afterLines="50" w:line="560" w:lineRule="exact"/>
      <w:ind w:firstLine="200" w:firstLineChars="200"/>
      <w:jc w:val="left"/>
    </w:pPr>
    <w:rPr>
      <w:rFonts w:eastAsia="黑体"/>
      <w:sz w:val="30"/>
      <w:szCs w:val="30"/>
    </w:rPr>
  </w:style>
  <w:style w:type="character" w:customStyle="1" w:styleId="1137">
    <w:name w:val="样式 样式 首行缩进:  2 字符 + 首行缩进:  2 字符 Char"/>
    <w:basedOn w:val="87"/>
    <w:link w:val="820"/>
    <w:uiPriority w:val="0"/>
    <w:rPr>
      <w:rFonts w:ascii="Times New Roman" w:hAnsi="Times New Roman" w:eastAsia="宋体" w:cs="宋体"/>
      <w:sz w:val="24"/>
      <w:szCs w:val="20"/>
    </w:rPr>
  </w:style>
  <w:style w:type="paragraph" w:customStyle="1" w:styleId="1138">
    <w:name w:val="正文6"/>
    <w:link w:val="1139"/>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character" w:customStyle="1" w:styleId="1139">
    <w:name w:val="Normal Char"/>
    <w:basedOn w:val="87"/>
    <w:link w:val="1138"/>
    <w:uiPriority w:val="0"/>
    <w:rPr>
      <w:rFonts w:ascii="宋体" w:hAnsi="Times New Roman" w:eastAsia="宋体" w:cs="Times New Roman"/>
      <w:kern w:val="0"/>
      <w:sz w:val="34"/>
      <w:szCs w:val="20"/>
    </w:rPr>
  </w:style>
  <w:style w:type="paragraph" w:customStyle="1" w:styleId="1140">
    <w:name w:val="正文文本 21"/>
    <w:basedOn w:val="1"/>
    <w:uiPriority w:val="0"/>
    <w:pPr>
      <w:adjustRightInd w:val="0"/>
      <w:snapToGrid w:val="0"/>
      <w:spacing w:line="480" w:lineRule="exact"/>
      <w:ind w:firstLine="510"/>
      <w:textAlignment w:val="baseline"/>
    </w:pPr>
    <w:rPr>
      <w:rFonts w:eastAsia="楷体_GB2312"/>
      <w:kern w:val="0"/>
      <w:sz w:val="24"/>
      <w:szCs w:val="20"/>
    </w:rPr>
  </w:style>
  <w:style w:type="paragraph" w:customStyle="1" w:styleId="1141">
    <w:name w:val="Char Char Char7"/>
    <w:basedOn w:val="1"/>
    <w:uiPriority w:val="0"/>
    <w:pPr>
      <w:spacing w:after="156" w:afterLines="50" w:line="560" w:lineRule="exact"/>
    </w:pPr>
    <w:rPr>
      <w:rFonts w:eastAsia="黑体"/>
      <w:sz w:val="30"/>
      <w:szCs w:val="30"/>
    </w:rPr>
  </w:style>
  <w:style w:type="paragraph" w:customStyle="1" w:styleId="1142">
    <w:name w:val="册除格式 Char"/>
    <w:uiPriority w:val="0"/>
    <w:pPr>
      <w:spacing w:line="360" w:lineRule="auto"/>
      <w:ind w:firstLine="482"/>
    </w:pPr>
    <w:rPr>
      <w:rFonts w:ascii="黑体" w:hAnsi="Arial" w:eastAsia="宋体" w:cs="Arial"/>
      <w:snapToGrid w:val="0"/>
      <w:spacing w:val="4"/>
      <w:kern w:val="18"/>
      <w:sz w:val="24"/>
      <w:szCs w:val="28"/>
      <w:lang w:val="en-US" w:eastAsia="zh-CN" w:bidi="ar-SA"/>
    </w:rPr>
  </w:style>
  <w:style w:type="character" w:customStyle="1" w:styleId="1143">
    <w:name w:val="Char Char18"/>
    <w:basedOn w:val="87"/>
    <w:uiPriority w:val="0"/>
    <w:rPr>
      <w:rFonts w:eastAsia="黑体"/>
      <w:b/>
      <w:bCs/>
      <w:kern w:val="44"/>
      <w:sz w:val="36"/>
      <w:szCs w:val="36"/>
      <w:lang w:val="en-US" w:eastAsia="zh-CN" w:bidi="ar-SA"/>
    </w:rPr>
  </w:style>
  <w:style w:type="paragraph" w:customStyle="1" w:styleId="1144">
    <w:name w:val="1 Char Char Char Char Char Char Char"/>
    <w:basedOn w:val="1"/>
    <w:uiPriority w:val="0"/>
    <w:pPr>
      <w:spacing w:line="360" w:lineRule="auto"/>
      <w:ind w:firstLine="200" w:firstLineChars="200"/>
    </w:pPr>
    <w:rPr>
      <w:rFonts w:ascii="宋体" w:hAnsi="宋体" w:cs="宋体"/>
      <w:sz w:val="24"/>
    </w:rPr>
  </w:style>
  <w:style w:type="character" w:customStyle="1" w:styleId="1145">
    <w:name w:val="content1"/>
    <w:basedOn w:val="87"/>
    <w:uiPriority w:val="0"/>
    <w:rPr>
      <w:sz w:val="21"/>
      <w:szCs w:val="21"/>
    </w:rPr>
  </w:style>
  <w:style w:type="character" w:customStyle="1" w:styleId="1146">
    <w:name w:val="unnamed11"/>
    <w:basedOn w:val="87"/>
    <w:qFormat/>
    <w:uiPriority w:val="0"/>
    <w:rPr>
      <w:sz w:val="18"/>
      <w:szCs w:val="18"/>
    </w:rPr>
  </w:style>
  <w:style w:type="character" w:customStyle="1" w:styleId="1147">
    <w:name w:val="标题12"/>
    <w:basedOn w:val="87"/>
    <w:uiPriority w:val="0"/>
  </w:style>
  <w:style w:type="character" w:customStyle="1" w:styleId="1148">
    <w:name w:val="册除格式 Char Char Char"/>
    <w:basedOn w:val="87"/>
    <w:uiPriority w:val="0"/>
    <w:rPr>
      <w:rFonts w:ascii="黑体" w:hAnsi="Arial" w:eastAsia="宋体" w:cs="Arial"/>
      <w:snapToGrid w:val="0"/>
      <w:spacing w:val="4"/>
      <w:kern w:val="18"/>
      <w:sz w:val="24"/>
      <w:szCs w:val="28"/>
      <w:lang w:val="en-US" w:eastAsia="zh-CN" w:bidi="ar-SA"/>
    </w:rPr>
  </w:style>
  <w:style w:type="character" w:customStyle="1" w:styleId="1149">
    <w:name w:val="11p"/>
    <w:basedOn w:val="87"/>
    <w:uiPriority w:val="0"/>
  </w:style>
  <w:style w:type="paragraph" w:customStyle="1" w:styleId="1150">
    <w:name w:val="Char Char Char Char Char Char Char Char Char Char Char Char Char Char Char Char2"/>
    <w:basedOn w:val="1"/>
    <w:uiPriority w:val="0"/>
    <w:pPr>
      <w:spacing w:line="360" w:lineRule="auto"/>
      <w:ind w:firstLine="200" w:firstLineChars="200"/>
    </w:pPr>
    <w:rPr>
      <w:rFonts w:ascii="宋体" w:hAnsi="宋体" w:cs="宋体"/>
      <w:sz w:val="24"/>
    </w:rPr>
  </w:style>
  <w:style w:type="character" w:customStyle="1" w:styleId="1151">
    <w:name w:val="Char Char Char11"/>
    <w:basedOn w:val="87"/>
    <w:uiPriority w:val="0"/>
    <w:rPr>
      <w:rFonts w:ascii="黑体" w:hAnsi="Times New Roman" w:eastAsia="黑体" w:cs="Times New Roman"/>
      <w:color w:val="000000"/>
      <w:sz w:val="36"/>
      <w:szCs w:val="36"/>
    </w:rPr>
  </w:style>
  <w:style w:type="character" w:customStyle="1" w:styleId="1152">
    <w:name w:val="style221"/>
    <w:basedOn w:val="87"/>
    <w:uiPriority w:val="0"/>
    <w:rPr>
      <w:sz w:val="24"/>
      <w:szCs w:val="24"/>
    </w:rPr>
  </w:style>
  <w:style w:type="paragraph" w:customStyle="1" w:styleId="1153">
    <w:name w:val="样式 标题 1Char CharChar Char Char Char Char Char Char Char + 小二"/>
    <w:basedOn w:val="2"/>
    <w:uiPriority w:val="0"/>
    <w:pPr>
      <w:numPr>
        <w:numId w:val="0"/>
      </w:numPr>
      <w:tabs>
        <w:tab w:val="clear" w:pos="294"/>
        <w:tab w:val="clear" w:pos="720"/>
        <w:tab w:val="clear" w:pos="1080"/>
        <w:tab w:val="clear" w:pos="1440"/>
      </w:tabs>
      <w:adjustRightInd/>
      <w:spacing w:before="260" w:beforeLines="50" w:after="260" w:afterLines="50" w:line="440" w:lineRule="exact"/>
      <w:ind w:left="-34" w:firstLine="32" w:firstLineChars="9"/>
    </w:pPr>
    <w:rPr>
      <w:rFonts w:ascii="黑体" w:hAnsi="Times New Roman" w:eastAsia="黑体"/>
      <w:b w:val="0"/>
      <w:bCs/>
      <w:color w:val="000000"/>
      <w:kern w:val="2"/>
      <w:sz w:val="44"/>
    </w:rPr>
  </w:style>
  <w:style w:type="paragraph" w:customStyle="1" w:styleId="1154">
    <w:name w:val="样式 标题 2标题 2 Char Char标题 2 Char Char Char Char节 Char标题 2 Char..."/>
    <w:basedOn w:val="3"/>
    <w:uiPriority w:val="0"/>
    <w:pPr>
      <w:numPr>
        <w:ilvl w:val="0"/>
        <w:numId w:val="0"/>
      </w:numPr>
      <w:tabs>
        <w:tab w:val="clear" w:pos="425"/>
        <w:tab w:val="clear" w:pos="780"/>
        <w:tab w:val="clear" w:pos="840"/>
        <w:tab w:val="clear" w:pos="1140"/>
        <w:tab w:val="clear" w:pos="1200"/>
        <w:tab w:val="clear" w:pos="1620"/>
        <w:tab w:val="clear" w:pos="2040"/>
        <w:tab w:val="clear" w:pos="6231"/>
      </w:tabs>
      <w:adjustRightInd/>
      <w:spacing w:before="120" w:beforeLines="0" w:after="120" w:afterLines="0" w:line="480" w:lineRule="exact"/>
      <w:outlineLvl w:val="0"/>
    </w:pPr>
    <w:rPr>
      <w:rFonts w:ascii="黑体" w:hAnsi="Times New Roman" w:eastAsia="黑体" w:cs="宋体"/>
      <w:bCs/>
      <w:color w:val="000000"/>
      <w:sz w:val="32"/>
      <w:szCs w:val="20"/>
    </w:rPr>
  </w:style>
  <w:style w:type="paragraph" w:customStyle="1" w:styleId="1155">
    <w:name w:val="样式 标题 3标题 3 Char Char Char标题 3 Char Char Char Char Char标题 3 C..."/>
    <w:basedOn w:val="5"/>
    <w:uiPriority w:val="0"/>
    <w:pPr>
      <w:numPr>
        <w:ilvl w:val="0"/>
        <w:numId w:val="0"/>
      </w:numPr>
      <w:tabs>
        <w:tab w:val="clear" w:pos="425"/>
        <w:tab w:val="clear" w:pos="780"/>
        <w:tab w:val="clear" w:pos="840"/>
        <w:tab w:val="clear" w:pos="1140"/>
        <w:tab w:val="clear" w:pos="1200"/>
        <w:tab w:val="clear" w:pos="1620"/>
        <w:tab w:val="clear" w:pos="2040"/>
        <w:tab w:val="clear" w:pos="6231"/>
      </w:tabs>
      <w:spacing w:before="260" w:after="260" w:afterLines="0" w:line="416" w:lineRule="auto"/>
    </w:pPr>
    <w:rPr>
      <w:b/>
      <w:bCs/>
      <w:color w:val="008000"/>
      <w:sz w:val="32"/>
      <w:szCs w:val="28"/>
    </w:rPr>
  </w:style>
  <w:style w:type="character" w:customStyle="1" w:styleId="1156">
    <w:name w:val="样式 标题 3标题 3 Char Char Char标题 3 Char Char Char Char Char标题 3 C... Char"/>
    <w:basedOn w:val="87"/>
    <w:uiPriority w:val="0"/>
    <w:rPr>
      <w:rFonts w:ascii="Times New Roman" w:hAnsi="Times New Roman" w:eastAsia="黑体" w:cs="Times New Roman"/>
      <w:b/>
      <w:bCs/>
      <w:kern w:val="2"/>
      <w:sz w:val="32"/>
      <w:szCs w:val="32"/>
      <w:lang w:val="en-US" w:eastAsia="zh-CN" w:bidi="ar-SA"/>
    </w:rPr>
  </w:style>
  <w:style w:type="character" w:customStyle="1" w:styleId="1157">
    <w:name w:val="style251"/>
    <w:basedOn w:val="87"/>
    <w:uiPriority w:val="0"/>
    <w:rPr>
      <w:sz w:val="17"/>
      <w:szCs w:val="17"/>
    </w:rPr>
  </w:style>
  <w:style w:type="character" w:customStyle="1" w:styleId="1158">
    <w:name w:val="font141"/>
    <w:basedOn w:val="87"/>
    <w:uiPriority w:val="0"/>
    <w:rPr>
      <w:color w:val="000000"/>
      <w:spacing w:val="360"/>
      <w:sz w:val="21"/>
      <w:szCs w:val="21"/>
      <w:u w:val="none"/>
    </w:rPr>
  </w:style>
  <w:style w:type="character" w:customStyle="1" w:styleId="1159">
    <w:name w:val="textindent1"/>
    <w:basedOn w:val="87"/>
    <w:uiPriority w:val="0"/>
  </w:style>
  <w:style w:type="paragraph" w:customStyle="1" w:styleId="1160">
    <w:name w:val="样式 样式 标题 1 + 加粗 + 首行缩进:  0 字符"/>
    <w:basedOn w:val="1"/>
    <w:uiPriority w:val="0"/>
    <w:pPr>
      <w:keepNext/>
      <w:keepLines/>
      <w:snapToGrid w:val="0"/>
      <w:spacing w:before="340" w:after="330" w:line="440" w:lineRule="exact"/>
      <w:outlineLvl w:val="0"/>
    </w:pPr>
    <w:rPr>
      <w:rFonts w:ascii="仿宋_GB2312" w:eastAsia="仿宋_GB2312" w:cs="宋体"/>
      <w:b/>
      <w:kern w:val="44"/>
      <w:sz w:val="36"/>
      <w:szCs w:val="20"/>
    </w:rPr>
  </w:style>
  <w:style w:type="paragraph" w:customStyle="1" w:styleId="1161">
    <w:name w:val="样式 标题 1 + 加粗"/>
    <w:basedOn w:val="2"/>
    <w:uiPriority w:val="0"/>
    <w:pPr>
      <w:numPr>
        <w:numId w:val="0"/>
      </w:numPr>
      <w:tabs>
        <w:tab w:val="clear" w:pos="294"/>
        <w:tab w:val="clear" w:pos="720"/>
        <w:tab w:val="clear" w:pos="1080"/>
        <w:tab w:val="clear" w:pos="1440"/>
      </w:tabs>
      <w:adjustRightInd/>
      <w:spacing w:before="260" w:beforeLines="0" w:after="260" w:afterLines="0" w:line="440" w:lineRule="exact"/>
      <w:ind w:left="-34" w:firstLine="312" w:firstLineChars="97"/>
    </w:pPr>
    <w:rPr>
      <w:rFonts w:ascii="仿宋_GB2312" w:hAnsi="Times New Roman" w:eastAsia="仿宋_GB2312"/>
      <w:b w:val="0"/>
      <w:bCs/>
      <w:color w:val="000000"/>
      <w:sz w:val="32"/>
    </w:rPr>
  </w:style>
  <w:style w:type="character" w:customStyle="1" w:styleId="1162">
    <w:name w:val="style31"/>
    <w:basedOn w:val="87"/>
    <w:uiPriority w:val="0"/>
    <w:rPr>
      <w:rFonts w:hint="eastAsia" w:ascii="宋体" w:hAnsi="宋体" w:eastAsia="宋体"/>
      <w:b/>
      <w:bCs/>
      <w:color w:val="0066FF"/>
      <w:sz w:val="33"/>
      <w:szCs w:val="33"/>
      <w:u w:val="none"/>
    </w:rPr>
  </w:style>
  <w:style w:type="paragraph" w:customStyle="1" w:styleId="1163">
    <w:name w:val="Char9"/>
    <w:basedOn w:val="1"/>
    <w:uiPriority w:val="0"/>
    <w:pPr>
      <w:widowControl/>
      <w:spacing w:after="160" w:line="240" w:lineRule="exact"/>
      <w:jc w:val="left"/>
    </w:pPr>
    <w:rPr>
      <w:rFonts w:ascii="Verdana" w:hAnsi="Verdana"/>
      <w:kern w:val="0"/>
      <w:sz w:val="20"/>
      <w:szCs w:val="20"/>
      <w:lang w:eastAsia="en-US"/>
    </w:rPr>
  </w:style>
  <w:style w:type="paragraph" w:customStyle="1" w:styleId="1164">
    <w:name w:val="Char Char Char Char Char Char Char5"/>
    <w:basedOn w:val="1"/>
    <w:uiPriority w:val="0"/>
  </w:style>
  <w:style w:type="paragraph" w:customStyle="1" w:styleId="1165">
    <w:name w:val="标题3 Char Char Char Char Char Char"/>
    <w:basedOn w:val="1"/>
    <w:uiPriority w:val="0"/>
    <w:pPr>
      <w:spacing w:before="156" w:beforeLines="50" w:line="520" w:lineRule="exact"/>
      <w:ind w:right="1224" w:rightChars="583"/>
    </w:pPr>
    <w:rPr>
      <w:rFonts w:ascii="黑体" w:eastAsia="黑体"/>
      <w:sz w:val="28"/>
      <w:szCs w:val="28"/>
    </w:rPr>
  </w:style>
  <w:style w:type="paragraph" w:customStyle="1" w:styleId="1166">
    <w:name w:val="条题"/>
    <w:basedOn w:val="1"/>
    <w:uiPriority w:val="0"/>
    <w:pPr>
      <w:tabs>
        <w:tab w:val="left" w:pos="284"/>
        <w:tab w:val="left" w:pos="3960"/>
      </w:tabs>
      <w:spacing w:line="480" w:lineRule="exact"/>
      <w:ind w:right="420" w:rightChars="200" w:firstLine="284"/>
    </w:pPr>
    <w:rPr>
      <w:kern w:val="0"/>
      <w:sz w:val="24"/>
    </w:rPr>
  </w:style>
  <w:style w:type="paragraph" w:customStyle="1" w:styleId="1167">
    <w:name w:val="居中表内文"/>
    <w:basedOn w:val="1"/>
    <w:uiPriority w:val="0"/>
    <w:pPr>
      <w:jc w:val="center"/>
    </w:pPr>
    <w:rPr>
      <w:rFonts w:cs="宋体"/>
      <w:sz w:val="24"/>
      <w:szCs w:val="21"/>
    </w:rPr>
  </w:style>
  <w:style w:type="paragraph" w:customStyle="1" w:styleId="1168">
    <w:name w:val="样式1 + (西文) Times New Roman (中文) 新宋体"/>
    <w:basedOn w:val="78"/>
    <w:link w:val="1169"/>
    <w:uiPriority w:val="0"/>
    <w:pPr>
      <w:spacing w:line="360" w:lineRule="auto"/>
    </w:pPr>
    <w:rPr>
      <w:rFonts w:ascii="Times New Roman" w:hAnsi="Times New Roman" w:eastAsia="新宋体" w:cs="Tahoma"/>
      <w:color w:val="000000"/>
      <w:kern w:val="0"/>
      <w:szCs w:val="21"/>
    </w:rPr>
  </w:style>
  <w:style w:type="character" w:customStyle="1" w:styleId="1169">
    <w:name w:val="样式1 + (西文) Times New Roman (中文) 新宋体 Char"/>
    <w:basedOn w:val="165"/>
    <w:link w:val="1168"/>
    <w:uiPriority w:val="0"/>
    <w:rPr>
      <w:rFonts w:ascii="Times New Roman" w:hAnsi="Times New Roman" w:eastAsia="新宋体" w:cs="Tahoma"/>
      <w:color w:val="000000"/>
      <w:kern w:val="0"/>
      <w:sz w:val="24"/>
      <w:szCs w:val="21"/>
    </w:rPr>
  </w:style>
  <w:style w:type="paragraph" w:customStyle="1" w:styleId="1170">
    <w:name w:val="正文缩"/>
    <w:basedOn w:val="1"/>
    <w:next w:val="1"/>
    <w:uiPriority w:val="0"/>
    <w:pPr>
      <w:adjustRightInd w:val="0"/>
      <w:snapToGrid w:val="0"/>
      <w:spacing w:line="480" w:lineRule="atLeast"/>
      <w:ind w:firstLine="567"/>
      <w:jc w:val="left"/>
      <w:textAlignment w:val="baseline"/>
    </w:pPr>
    <w:rPr>
      <w:rFonts w:ascii="宋体"/>
      <w:spacing w:val="6"/>
      <w:kern w:val="0"/>
      <w:sz w:val="28"/>
      <w:szCs w:val="20"/>
    </w:rPr>
  </w:style>
  <w:style w:type="paragraph" w:customStyle="1" w:styleId="1171">
    <w:name w:val="样式12"/>
    <w:basedOn w:val="1"/>
    <w:uiPriority w:val="0"/>
    <w:pPr>
      <w:adjustRightInd w:val="0"/>
      <w:snapToGrid w:val="0"/>
      <w:spacing w:line="500" w:lineRule="exact"/>
      <w:jc w:val="center"/>
    </w:pPr>
    <w:rPr>
      <w:rFonts w:ascii="宋体" w:hAnsi="宋体"/>
      <w:color w:val="000000"/>
      <w:sz w:val="24"/>
    </w:rPr>
  </w:style>
  <w:style w:type="paragraph" w:customStyle="1" w:styleId="1172">
    <w:name w:val="表格小五（1）"/>
    <w:basedOn w:val="1"/>
    <w:uiPriority w:val="0"/>
    <w:pPr>
      <w:adjustRightInd w:val="0"/>
      <w:snapToGrid w:val="0"/>
      <w:spacing w:line="200" w:lineRule="exact"/>
      <w:jc w:val="center"/>
    </w:pPr>
    <w:rPr>
      <w:rFonts w:ascii="宋体" w:hAnsi="宋体"/>
      <w:sz w:val="18"/>
    </w:rPr>
  </w:style>
  <w:style w:type="paragraph" w:customStyle="1" w:styleId="1173">
    <w:name w:val="表格小五（窄）"/>
    <w:basedOn w:val="78"/>
    <w:uiPriority w:val="0"/>
    <w:pPr>
      <w:spacing w:line="300" w:lineRule="exact"/>
      <w:ind w:firstLine="0" w:firstLineChars="0"/>
      <w:jc w:val="center"/>
    </w:pPr>
    <w:rPr>
      <w:rFonts w:ascii="Times New Roman" w:hAnsi="Times New Roman" w:cs="Times New Roman"/>
      <w:color w:val="0000FF"/>
      <w:sz w:val="18"/>
    </w:rPr>
  </w:style>
  <w:style w:type="paragraph" w:customStyle="1" w:styleId="1174">
    <w:name w:val="首缩"/>
    <w:basedOn w:val="1"/>
    <w:uiPriority w:val="0"/>
    <w:pPr>
      <w:adjustRightInd w:val="0"/>
      <w:snapToGrid w:val="0"/>
      <w:spacing w:line="500" w:lineRule="exact"/>
      <w:ind w:firstLine="200" w:firstLineChars="200"/>
    </w:pPr>
    <w:rPr>
      <w:rFonts w:eastAsia="仿宋_GB2312"/>
      <w:snapToGrid w:val="0"/>
      <w:kern w:val="0"/>
      <w:sz w:val="28"/>
      <w:szCs w:val="20"/>
    </w:rPr>
  </w:style>
  <w:style w:type="paragraph" w:customStyle="1" w:styleId="1175">
    <w:name w:val="表项"/>
    <w:basedOn w:val="1"/>
    <w:uiPriority w:val="0"/>
    <w:pPr>
      <w:adjustRightInd w:val="0"/>
      <w:spacing w:before="60" w:after="60" w:line="288" w:lineRule="auto"/>
      <w:jc w:val="center"/>
      <w:textAlignment w:val="baseline"/>
    </w:pPr>
    <w:rPr>
      <w:rFonts w:eastAsia="楷体"/>
      <w:kern w:val="44"/>
      <w:sz w:val="18"/>
      <w:szCs w:val="20"/>
      <w:lang w:val="en-GB"/>
    </w:rPr>
  </w:style>
  <w:style w:type="paragraph" w:customStyle="1" w:styleId="1176">
    <w:name w:val="表蕊"/>
    <w:basedOn w:val="1"/>
    <w:uiPriority w:val="0"/>
    <w:pPr>
      <w:adjustRightInd w:val="0"/>
      <w:spacing w:line="320" w:lineRule="atLeast"/>
      <w:jc w:val="left"/>
      <w:textAlignment w:val="baseline"/>
    </w:pPr>
    <w:rPr>
      <w:rFonts w:eastAsia="楷体_GB2312"/>
      <w:spacing w:val="-10"/>
      <w:kern w:val="0"/>
      <w:szCs w:val="20"/>
    </w:rPr>
  </w:style>
  <w:style w:type="paragraph" w:customStyle="1" w:styleId="1177">
    <w:name w:val="表前文"/>
    <w:basedOn w:val="1"/>
    <w:uiPriority w:val="0"/>
    <w:pPr>
      <w:adjustRightInd w:val="0"/>
      <w:spacing w:after="120" w:line="400" w:lineRule="exact"/>
      <w:ind w:firstLine="601"/>
      <w:textAlignment w:val="baseline"/>
    </w:pPr>
    <w:rPr>
      <w:rFonts w:eastAsia="楷体_GB2312"/>
      <w:spacing w:val="8"/>
      <w:kern w:val="0"/>
      <w:sz w:val="28"/>
      <w:szCs w:val="20"/>
    </w:rPr>
  </w:style>
  <w:style w:type="paragraph" w:customStyle="1" w:styleId="1178">
    <w:name w:val="Char51"/>
    <w:basedOn w:val="1"/>
    <w:uiPriority w:val="0"/>
    <w:pPr>
      <w:widowControl/>
      <w:spacing w:after="160" w:line="240" w:lineRule="exact"/>
      <w:jc w:val="left"/>
    </w:pPr>
    <w:rPr>
      <w:rFonts w:ascii="Arial" w:hAnsi="Arial" w:eastAsia="Times New Roman" w:cs="Verdana"/>
      <w:b/>
      <w:kern w:val="0"/>
      <w:sz w:val="24"/>
      <w:lang w:eastAsia="en-US"/>
    </w:rPr>
  </w:style>
  <w:style w:type="paragraph" w:customStyle="1" w:styleId="1179">
    <w:name w:val="blue12"/>
    <w:basedOn w:val="1"/>
    <w:uiPriority w:val="0"/>
    <w:pPr>
      <w:widowControl/>
      <w:spacing w:before="100" w:beforeAutospacing="1" w:after="100" w:afterAutospacing="1"/>
      <w:jc w:val="left"/>
    </w:pPr>
    <w:rPr>
      <w:rFonts w:ascii="Arial Unicode MS" w:hAnsi="Arial Unicode MS" w:eastAsia="Arial Unicode MS" w:cs="Arial Unicode MS"/>
      <w:kern w:val="0"/>
      <w:sz w:val="24"/>
    </w:rPr>
  </w:style>
  <w:style w:type="paragraph" w:customStyle="1" w:styleId="1180">
    <w:name w:val="green12"/>
    <w:basedOn w:val="1"/>
    <w:uiPriority w:val="0"/>
    <w:pPr>
      <w:widowControl/>
      <w:spacing w:before="100" w:beforeAutospacing="1" w:after="100" w:afterAutospacing="1"/>
      <w:jc w:val="left"/>
    </w:pPr>
    <w:rPr>
      <w:rFonts w:ascii="Arial Unicode MS" w:hAnsi="Arial Unicode MS" w:eastAsia="Arial Unicode MS" w:cs="Arial Unicode MS"/>
      <w:kern w:val="0"/>
      <w:sz w:val="24"/>
    </w:rPr>
  </w:style>
  <w:style w:type="paragraph" w:customStyle="1" w:styleId="1181">
    <w:name w:val="red12"/>
    <w:basedOn w:val="1"/>
    <w:uiPriority w:val="0"/>
    <w:pPr>
      <w:widowControl/>
      <w:spacing w:before="100" w:beforeAutospacing="1" w:after="100" w:afterAutospacing="1"/>
      <w:jc w:val="left"/>
    </w:pPr>
    <w:rPr>
      <w:rFonts w:ascii="Arial Unicode MS" w:hAnsi="Arial Unicode MS" w:eastAsia="Arial Unicode MS" w:cs="Arial Unicode MS"/>
      <w:kern w:val="0"/>
      <w:sz w:val="24"/>
    </w:rPr>
  </w:style>
  <w:style w:type="paragraph" w:customStyle="1" w:styleId="1182">
    <w:name w:val="0"/>
    <w:basedOn w:val="1"/>
    <w:uiPriority w:val="0"/>
    <w:pPr>
      <w:widowControl/>
      <w:snapToGrid w:val="0"/>
    </w:pPr>
    <w:rPr>
      <w:kern w:val="0"/>
      <w:sz w:val="20"/>
      <w:szCs w:val="20"/>
    </w:rPr>
  </w:style>
  <w:style w:type="paragraph" w:customStyle="1" w:styleId="1183">
    <w:name w:val="Char Char Char Char Char Char Char Char Char Char4"/>
    <w:basedOn w:val="1"/>
    <w:uiPriority w:val="0"/>
    <w:pPr>
      <w:spacing w:line="360" w:lineRule="auto"/>
      <w:ind w:firstLine="200" w:firstLineChars="200"/>
    </w:pPr>
    <w:rPr>
      <w:rFonts w:ascii="宋体" w:hAnsi="宋体" w:cs="宋体"/>
      <w:sz w:val="24"/>
    </w:rPr>
  </w:style>
  <w:style w:type="paragraph" w:customStyle="1" w:styleId="1184">
    <w:name w:val="Char Char2 Char Char Char Char Char Char Char"/>
    <w:basedOn w:val="29"/>
    <w:uiPriority w:val="0"/>
    <w:pPr>
      <w:spacing w:line="436" w:lineRule="exact"/>
    </w:pPr>
    <w:rPr>
      <w:rFonts w:ascii="Tahoma" w:hAnsi="Tahoma"/>
      <w:b/>
      <w:sz w:val="24"/>
    </w:rPr>
  </w:style>
  <w:style w:type="paragraph" w:customStyle="1" w:styleId="1185">
    <w:name w:val="样式23"/>
    <w:basedOn w:val="1"/>
    <w:uiPriority w:val="0"/>
    <w:pPr>
      <w:adjustRightInd w:val="0"/>
      <w:spacing w:before="120" w:after="120" w:line="240" w:lineRule="atLeast"/>
      <w:jc w:val="center"/>
    </w:pPr>
    <w:rPr>
      <w:rFonts w:eastAsia="楷体_GB2312"/>
      <w:kern w:val="28"/>
      <w:szCs w:val="20"/>
    </w:rPr>
  </w:style>
  <w:style w:type="paragraph" w:customStyle="1" w:styleId="1186">
    <w:name w:val="正文中对齐"/>
    <w:basedOn w:val="1"/>
    <w:uiPriority w:val="0"/>
    <w:pPr>
      <w:snapToGrid w:val="0"/>
      <w:spacing w:before="60" w:after="60" w:line="60" w:lineRule="atLeast"/>
      <w:jc w:val="center"/>
    </w:pPr>
    <w:rPr>
      <w:sz w:val="24"/>
      <w:szCs w:val="20"/>
    </w:rPr>
  </w:style>
  <w:style w:type="paragraph" w:customStyle="1" w:styleId="1187">
    <w:name w:val="日期4"/>
    <w:basedOn w:val="1"/>
    <w:next w:val="1"/>
    <w:uiPriority w:val="0"/>
    <w:pPr>
      <w:autoSpaceDE w:val="0"/>
      <w:autoSpaceDN w:val="0"/>
      <w:adjustRightInd w:val="0"/>
      <w:spacing w:line="360" w:lineRule="atLeast"/>
      <w:jc w:val="left"/>
      <w:textAlignment w:val="baseline"/>
    </w:pPr>
    <w:rPr>
      <w:rFonts w:eastAsia="楷体_GB2312"/>
      <w:kern w:val="0"/>
      <w:sz w:val="24"/>
      <w:szCs w:val="20"/>
    </w:rPr>
  </w:style>
  <w:style w:type="paragraph" w:customStyle="1" w:styleId="1188">
    <w:name w:val="123"/>
    <w:basedOn w:val="1"/>
    <w:uiPriority w:val="0"/>
    <w:pPr>
      <w:spacing w:line="360" w:lineRule="auto"/>
      <w:ind w:firstLine="454"/>
    </w:pPr>
    <w:rPr>
      <w:sz w:val="24"/>
      <w:szCs w:val="20"/>
    </w:rPr>
  </w:style>
  <w:style w:type="paragraph" w:customStyle="1" w:styleId="1189">
    <w:name w:val="内部地址"/>
    <w:basedOn w:val="1"/>
    <w:uiPriority w:val="0"/>
    <w:rPr>
      <w:rFonts w:ascii="Roman PS" w:hAnsi="Roman PS"/>
      <w:szCs w:val="20"/>
    </w:rPr>
  </w:style>
  <w:style w:type="paragraph" w:customStyle="1" w:styleId="1190">
    <w:name w:val="参考文献行"/>
    <w:basedOn w:val="17"/>
    <w:uiPriority w:val="0"/>
    <w:pPr>
      <w:spacing w:line="240" w:lineRule="auto"/>
      <w:ind w:firstLine="0" w:firstLineChars="0"/>
      <w:jc w:val="center"/>
    </w:pPr>
    <w:rPr>
      <w:rFonts w:ascii="仿宋_GB2312" w:hAnsi="Times New Roman" w:eastAsia="仿宋_GB2312" w:cs="Times New Roman"/>
      <w:sz w:val="21"/>
      <w:szCs w:val="20"/>
    </w:rPr>
  </w:style>
  <w:style w:type="paragraph" w:customStyle="1" w:styleId="1191">
    <w:name w:val="PP 行"/>
    <w:basedOn w:val="59"/>
    <w:uiPriority w:val="0"/>
    <w:rPr>
      <w:rFonts w:ascii="Roman PS" w:hAnsi="Roman PS"/>
      <w:szCs w:val="20"/>
    </w:rPr>
  </w:style>
  <w:style w:type="paragraph" w:customStyle="1" w:styleId="1192">
    <w:name w:val="内部地址姓名"/>
    <w:basedOn w:val="1"/>
    <w:uiPriority w:val="0"/>
    <w:rPr>
      <w:rFonts w:ascii="Roman PS" w:hAnsi="Roman PS"/>
      <w:szCs w:val="20"/>
    </w:rPr>
  </w:style>
  <w:style w:type="paragraph" w:customStyle="1" w:styleId="1193">
    <w:name w:val="Char24"/>
    <w:basedOn w:val="5"/>
    <w:uiPriority w:val="0"/>
    <w:pPr>
      <w:numPr>
        <w:ilvl w:val="0"/>
        <w:numId w:val="0"/>
      </w:numPr>
      <w:tabs>
        <w:tab w:val="left" w:pos="360"/>
        <w:tab w:val="left" w:pos="900"/>
        <w:tab w:val="clear" w:pos="425"/>
        <w:tab w:val="clear" w:pos="780"/>
        <w:tab w:val="clear" w:pos="840"/>
        <w:tab w:val="clear" w:pos="1140"/>
        <w:tab w:val="clear" w:pos="1200"/>
        <w:tab w:val="clear" w:pos="1620"/>
        <w:tab w:val="clear" w:pos="2040"/>
        <w:tab w:val="clear" w:pos="6231"/>
      </w:tabs>
      <w:snapToGrid w:val="0"/>
      <w:spacing w:before="120" w:beforeLines="0" w:after="0" w:afterLines="0" w:line="360" w:lineRule="auto"/>
      <w:ind w:left="542" w:leftChars="-12" w:firstLine="200" w:firstLineChars="200"/>
      <w:jc w:val="left"/>
    </w:pPr>
    <w:rPr>
      <w:snapToGrid w:val="0"/>
    </w:rPr>
  </w:style>
  <w:style w:type="paragraph" w:customStyle="1" w:styleId="1194">
    <w:name w:val="表格任务栏文字"/>
    <w:basedOn w:val="1"/>
    <w:uiPriority w:val="0"/>
    <w:pPr>
      <w:widowControl/>
      <w:ind w:left="-50" w:leftChars="-50" w:right="-50" w:rightChars="-50"/>
      <w:jc w:val="center"/>
    </w:pPr>
    <w:rPr>
      <w:rFonts w:eastAsia="黑体"/>
      <w:szCs w:val="28"/>
    </w:rPr>
  </w:style>
  <w:style w:type="character" w:customStyle="1" w:styleId="1195">
    <w:name w:val="表格文字 Char1"/>
    <w:basedOn w:val="87"/>
    <w:uiPriority w:val="0"/>
    <w:rPr>
      <w:rFonts w:ascii="宋体" w:hAnsi="宋体" w:eastAsia="华文仿宋"/>
      <w:kern w:val="2"/>
      <w:sz w:val="24"/>
      <w:szCs w:val="21"/>
      <w:lang w:val="en-US" w:eastAsia="zh-CN" w:bidi="ar-SA"/>
    </w:rPr>
  </w:style>
  <w:style w:type="paragraph" w:customStyle="1" w:styleId="1196">
    <w:name w:val="font-title25"/>
    <w:basedOn w:val="1"/>
    <w:uiPriority w:val="0"/>
    <w:pPr>
      <w:widowControl/>
      <w:spacing w:before="100" w:beforeAutospacing="1" w:after="100" w:afterAutospacing="1" w:line="336" w:lineRule="auto"/>
      <w:jc w:val="left"/>
    </w:pPr>
    <w:rPr>
      <w:rFonts w:ascii="Arial" w:hAnsi="Arial" w:cs="Arial"/>
      <w:b/>
      <w:bCs/>
      <w:color w:val="000066"/>
      <w:kern w:val="0"/>
      <w:sz w:val="16"/>
      <w:szCs w:val="16"/>
    </w:rPr>
  </w:style>
  <w:style w:type="paragraph" w:customStyle="1" w:styleId="1197">
    <w:name w:val="居中表内文 Char Char Char Char3 Char Char"/>
    <w:basedOn w:val="1"/>
    <w:uiPriority w:val="0"/>
    <w:pPr>
      <w:spacing w:line="240" w:lineRule="exact"/>
      <w:jc w:val="center"/>
    </w:pPr>
    <w:rPr>
      <w:rFonts w:cs="宋体"/>
      <w:sz w:val="18"/>
    </w:rPr>
  </w:style>
  <w:style w:type="paragraph" w:customStyle="1" w:styleId="1198">
    <w:name w:val="强制性条文"/>
    <w:basedOn w:val="650"/>
    <w:link w:val="1199"/>
    <w:uiPriority w:val="0"/>
    <w:pPr>
      <w:spacing w:line="360" w:lineRule="auto"/>
      <w:ind w:firstLine="482" w:firstLineChars="200"/>
    </w:pPr>
    <w:rPr>
      <w:rFonts w:ascii="黑体" w:hAnsi="黑体" w:eastAsia="黑体" w:cs="宋体"/>
      <w:b/>
      <w:sz w:val="24"/>
    </w:rPr>
  </w:style>
  <w:style w:type="character" w:customStyle="1" w:styleId="1199">
    <w:name w:val="强制性条文 Char Char"/>
    <w:basedOn w:val="651"/>
    <w:link w:val="1198"/>
    <w:uiPriority w:val="0"/>
    <w:rPr>
      <w:rFonts w:ascii="黑体" w:hAnsi="黑体" w:eastAsia="黑体" w:cs="宋体"/>
      <w:b/>
      <w:sz w:val="24"/>
      <w:szCs w:val="20"/>
      <w:lang w:val="zh-CN" w:eastAsia="zh-CN"/>
    </w:rPr>
  </w:style>
  <w:style w:type="paragraph" w:customStyle="1" w:styleId="1200">
    <w:name w:val="文本条"/>
    <w:basedOn w:val="1"/>
    <w:link w:val="1201"/>
    <w:uiPriority w:val="0"/>
    <w:pPr>
      <w:keepLines/>
      <w:numPr>
        <w:ilvl w:val="0"/>
        <w:numId w:val="14"/>
      </w:numPr>
      <w:tabs>
        <w:tab w:val="left" w:pos="1796"/>
      </w:tabs>
      <w:spacing w:before="140" w:line="300" w:lineRule="auto"/>
      <w:ind w:left="540"/>
      <w:outlineLvl w:val="2"/>
    </w:pPr>
    <w:rPr>
      <w:rFonts w:cs="宋体"/>
      <w:b/>
      <w:bCs/>
      <w:sz w:val="28"/>
    </w:rPr>
  </w:style>
  <w:style w:type="character" w:customStyle="1" w:styleId="1201">
    <w:name w:val="文本条 Char"/>
    <w:basedOn w:val="87"/>
    <w:link w:val="1200"/>
    <w:uiPriority w:val="0"/>
    <w:rPr>
      <w:rFonts w:ascii="Times New Roman" w:hAnsi="Times New Roman" w:eastAsia="宋体" w:cs="宋体"/>
      <w:b/>
      <w:bCs/>
      <w:sz w:val="28"/>
      <w:szCs w:val="24"/>
    </w:rPr>
  </w:style>
  <w:style w:type="paragraph" w:customStyle="1" w:styleId="1202">
    <w:name w:val="小表格"/>
    <w:basedOn w:val="1"/>
    <w:uiPriority w:val="0"/>
    <w:pPr>
      <w:spacing w:line="520" w:lineRule="exact"/>
      <w:ind w:firstLine="360" w:firstLineChars="200"/>
    </w:pPr>
    <w:rPr>
      <w:rFonts w:eastAsia="华文仿宋"/>
      <w:sz w:val="18"/>
      <w:szCs w:val="18"/>
    </w:rPr>
  </w:style>
  <w:style w:type="paragraph" w:customStyle="1" w:styleId="1203">
    <w:name w:val="Char17"/>
    <w:basedOn w:val="1"/>
    <w:uiPriority w:val="0"/>
    <w:pPr>
      <w:widowControl/>
      <w:spacing w:after="160" w:line="240" w:lineRule="exact"/>
      <w:jc w:val="left"/>
    </w:pPr>
    <w:rPr>
      <w:rFonts w:ascii="Tahoma" w:hAnsi="Tahoma"/>
      <w:kern w:val="0"/>
      <w:sz w:val="24"/>
      <w:lang w:eastAsia="en-US"/>
    </w:rPr>
  </w:style>
  <w:style w:type="paragraph" w:customStyle="1" w:styleId="1204">
    <w:name w:val="2级标题 Char Char Char Char"/>
    <w:basedOn w:val="1"/>
    <w:uiPriority w:val="0"/>
    <w:rPr>
      <w:rFonts w:eastAsia="黑体" w:cs="宋体"/>
      <w:b/>
      <w:bCs/>
      <w:color w:val="000000"/>
      <w:sz w:val="32"/>
      <w:szCs w:val="32"/>
    </w:rPr>
  </w:style>
  <w:style w:type="paragraph" w:customStyle="1" w:styleId="1205">
    <w:name w:val="正"/>
    <w:basedOn w:val="1"/>
    <w:link w:val="1206"/>
    <w:uiPriority w:val="0"/>
    <w:pPr>
      <w:widowControl/>
      <w:ind w:firstLine="200" w:firstLineChars="200"/>
      <w:jc w:val="left"/>
    </w:pPr>
    <w:rPr>
      <w:bCs/>
      <w:color w:val="000000"/>
      <w:sz w:val="24"/>
      <w:szCs w:val="32"/>
    </w:rPr>
  </w:style>
  <w:style w:type="character" w:customStyle="1" w:styleId="1206">
    <w:name w:val="正 Char"/>
    <w:link w:val="1205"/>
    <w:uiPriority w:val="0"/>
    <w:rPr>
      <w:rFonts w:ascii="Times New Roman" w:hAnsi="Times New Roman" w:eastAsia="宋体" w:cs="Times New Roman"/>
      <w:bCs/>
      <w:color w:val="000000"/>
      <w:sz w:val="24"/>
      <w:szCs w:val="32"/>
    </w:rPr>
  </w:style>
  <w:style w:type="paragraph" w:customStyle="1" w:styleId="1207">
    <w:name w:val="Char Char Char Char Char Char Char Char1 Char Char Char Char3"/>
    <w:basedOn w:val="1"/>
    <w:uiPriority w:val="0"/>
  </w:style>
  <w:style w:type="paragraph" w:customStyle="1" w:styleId="1208">
    <w:name w:val="_Style 1207"/>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209">
    <w:name w:val="Char Char19"/>
    <w:uiPriority w:val="0"/>
    <w:rPr>
      <w:rFonts w:ascii="宋体" w:hAnsi="Courier New" w:eastAsia="宋体"/>
      <w:snapToGrid w:val="0"/>
      <w:sz w:val="28"/>
      <w:lang w:val="en-US" w:eastAsia="zh-CN" w:bidi="ar-SA"/>
    </w:rPr>
  </w:style>
  <w:style w:type="paragraph" w:customStyle="1" w:styleId="1210">
    <w:name w:val="Char Char Char Char Char Char Char Char Char Char5"/>
    <w:basedOn w:val="1"/>
    <w:uiPriority w:val="0"/>
    <w:pPr>
      <w:spacing w:line="360" w:lineRule="auto"/>
      <w:ind w:firstLine="200" w:firstLineChars="200"/>
    </w:pPr>
    <w:rPr>
      <w:rFonts w:ascii="宋体" w:hAnsi="宋体" w:cs="宋体"/>
      <w:sz w:val="24"/>
    </w:rPr>
  </w:style>
  <w:style w:type="character" w:customStyle="1" w:styleId="1211">
    <w:name w:val="Char Char93"/>
    <w:uiPriority w:val="0"/>
    <w:rPr>
      <w:rFonts w:eastAsia="宋体"/>
      <w:kern w:val="2"/>
      <w:sz w:val="24"/>
      <w:lang w:val="en-US" w:eastAsia="zh-CN" w:bidi="ar-SA"/>
    </w:rPr>
  </w:style>
  <w:style w:type="character" w:customStyle="1" w:styleId="1212">
    <w:name w:val="Char Char114"/>
    <w:uiPriority w:val="0"/>
    <w:rPr>
      <w:rFonts w:eastAsia="宋体"/>
      <w:kern w:val="2"/>
      <w:sz w:val="21"/>
      <w:szCs w:val="24"/>
      <w:lang w:val="en-US" w:eastAsia="zh-CN" w:bidi="ar-SA"/>
    </w:rPr>
  </w:style>
  <w:style w:type="paragraph" w:customStyle="1" w:styleId="1213">
    <w:name w:val="Char Char Char1 Char3"/>
    <w:basedOn w:val="1"/>
    <w:uiPriority w:val="0"/>
    <w:rPr>
      <w:sz w:val="24"/>
    </w:rPr>
  </w:style>
  <w:style w:type="paragraph" w:customStyle="1" w:styleId="1214">
    <w:name w:val="Char10"/>
    <w:basedOn w:val="1"/>
    <w:uiPriority w:val="0"/>
    <w:rPr>
      <w:szCs w:val="20"/>
    </w:rPr>
  </w:style>
  <w:style w:type="paragraph" w:customStyle="1" w:styleId="1215">
    <w:name w:val="Char25"/>
    <w:basedOn w:val="1"/>
    <w:uiPriority w:val="0"/>
  </w:style>
  <w:style w:type="paragraph" w:customStyle="1" w:styleId="1216">
    <w:name w:val="Char Char Char Char5"/>
    <w:basedOn w:val="1"/>
    <w:uiPriority w:val="0"/>
  </w:style>
  <w:style w:type="paragraph" w:customStyle="1" w:styleId="1217">
    <w:name w:val="Char Char Char1 Char Char Char Char3"/>
    <w:basedOn w:val="1"/>
    <w:next w:val="1"/>
    <w:semiHidden/>
    <w:uiPriority w:val="0"/>
    <w:pPr>
      <w:spacing w:line="360" w:lineRule="auto"/>
      <w:ind w:firstLine="200" w:firstLineChars="200"/>
    </w:pPr>
    <w:rPr>
      <w:rFonts w:ascii="宋体" w:hAnsi="宋体" w:eastAsia="汉鼎简书宋" w:cs="宋体"/>
      <w:sz w:val="24"/>
    </w:rPr>
  </w:style>
  <w:style w:type="paragraph" w:customStyle="1" w:styleId="1218">
    <w:name w:val="Char Char Char Char Char Char1 Char4"/>
    <w:basedOn w:val="1"/>
    <w:uiPriority w:val="0"/>
  </w:style>
  <w:style w:type="paragraph" w:customStyle="1" w:styleId="1219">
    <w:name w:val="日期5"/>
    <w:basedOn w:val="1"/>
    <w:next w:val="1"/>
    <w:semiHidden/>
    <w:uiPriority w:val="0"/>
    <w:pPr>
      <w:adjustRightInd w:val="0"/>
      <w:jc w:val="left"/>
      <w:textAlignment w:val="baseline"/>
    </w:pPr>
    <w:rPr>
      <w:rFonts w:ascii="宋体"/>
      <w:spacing w:val="24"/>
      <w:kern w:val="24"/>
      <w:sz w:val="24"/>
      <w:szCs w:val="20"/>
    </w:rPr>
  </w:style>
  <w:style w:type="paragraph" w:customStyle="1" w:styleId="1220">
    <w:name w:val="正文7"/>
    <w:uiPriority w:val="0"/>
    <w:pPr>
      <w:widowControl w:val="0"/>
      <w:adjustRightInd w:val="0"/>
      <w:spacing w:line="312" w:lineRule="atLeast"/>
      <w:jc w:val="both"/>
      <w:textAlignment w:val="baseline"/>
    </w:pPr>
    <w:rPr>
      <w:rFonts w:ascii="宋体" w:hAnsi="Times New Roman" w:eastAsia="宋体" w:cs="Times New Roman"/>
      <w:kern w:val="0"/>
      <w:sz w:val="34"/>
      <w:szCs w:val="20"/>
      <w:lang w:val="en-US" w:eastAsia="zh-CN" w:bidi="ar-SA"/>
    </w:rPr>
  </w:style>
  <w:style w:type="character" w:customStyle="1" w:styleId="1221">
    <w:name w:val="标题13"/>
    <w:semiHidden/>
    <w:uiPriority w:val="0"/>
    <w:rPr>
      <w:rFonts w:ascii="宋体" w:hAnsi="宋体" w:eastAsia="黑体" w:cs="宋体"/>
      <w:kern w:val="2"/>
      <w:sz w:val="28"/>
      <w:szCs w:val="24"/>
      <w:lang w:val="en-US" w:eastAsia="zh-CN" w:bidi="ar-SA"/>
    </w:rPr>
  </w:style>
  <w:style w:type="paragraph" w:customStyle="1" w:styleId="1222">
    <w:name w:val="Char Char Char Char Char Char Char Char Char4"/>
    <w:basedOn w:val="1"/>
    <w:semiHidden/>
    <w:uiPriority w:val="0"/>
  </w:style>
  <w:style w:type="paragraph" w:customStyle="1" w:styleId="1223">
    <w:name w:val="Char Char Char Char Char Char Char Char Char Char Char Char Char Char Char Char Char Char Char Char Char Char Char Char Char Char Char Char Char Char Char Char Char Char Char Char Char Char Char Char Char Char3"/>
    <w:basedOn w:val="1"/>
    <w:semiHidden/>
    <w:uiPriority w:val="0"/>
  </w:style>
  <w:style w:type="paragraph" w:customStyle="1" w:styleId="1224">
    <w:name w:val="Char Char Char8"/>
    <w:basedOn w:val="1"/>
    <w:uiPriority w:val="0"/>
    <w:pPr>
      <w:spacing w:after="156" w:afterLines="50" w:line="560" w:lineRule="exact"/>
    </w:pPr>
    <w:rPr>
      <w:rFonts w:eastAsia="黑体"/>
      <w:sz w:val="30"/>
      <w:szCs w:val="30"/>
    </w:rPr>
  </w:style>
  <w:style w:type="paragraph" w:customStyle="1" w:styleId="1225">
    <w:name w:val="Char Char Char Char Char Char Char6"/>
    <w:basedOn w:val="1"/>
    <w:uiPriority w:val="0"/>
    <w:pPr>
      <w:spacing w:line="360" w:lineRule="auto"/>
      <w:ind w:firstLine="200" w:firstLineChars="200"/>
    </w:pPr>
    <w:rPr>
      <w:rFonts w:ascii="宋体" w:hAnsi="宋体" w:cs="宋体"/>
      <w:sz w:val="24"/>
    </w:rPr>
  </w:style>
  <w:style w:type="paragraph" w:customStyle="1" w:styleId="1226">
    <w:name w:val="列出段落5"/>
    <w:basedOn w:val="1"/>
    <w:uiPriority w:val="0"/>
    <w:pPr>
      <w:ind w:firstLine="420" w:firstLineChars="200"/>
    </w:pPr>
    <w:rPr>
      <w:rFonts w:ascii="Calibri" w:hAnsi="Calibri"/>
      <w:szCs w:val="22"/>
    </w:rPr>
  </w:style>
  <w:style w:type="paragraph" w:customStyle="1" w:styleId="1227">
    <w:name w:val="引用4"/>
    <w:basedOn w:val="1"/>
    <w:next w:val="1"/>
    <w:uiPriority w:val="0"/>
    <w:pPr>
      <w:autoSpaceDE w:val="0"/>
      <w:autoSpaceDN w:val="0"/>
      <w:adjustRightInd w:val="0"/>
      <w:spacing w:beforeLines="50" w:after="156" w:line="300" w:lineRule="auto"/>
      <w:ind w:firstLine="480" w:firstLineChars="200"/>
      <w:jc w:val="left"/>
    </w:pPr>
    <w:rPr>
      <w:bCs/>
      <w:i/>
      <w:iCs/>
      <w:color w:val="000000"/>
      <w:sz w:val="24"/>
    </w:rPr>
  </w:style>
  <w:style w:type="character" w:customStyle="1" w:styleId="1228">
    <w:name w:val="Char Char53"/>
    <w:uiPriority w:val="0"/>
    <w:rPr>
      <w:rFonts w:ascii="Times New Roman" w:hAnsi="Times New Roman"/>
      <w:b/>
      <w:bCs/>
      <w:kern w:val="44"/>
      <w:sz w:val="44"/>
      <w:szCs w:val="44"/>
    </w:rPr>
  </w:style>
  <w:style w:type="character" w:customStyle="1" w:styleId="1229">
    <w:name w:val="Char Char33"/>
    <w:uiPriority w:val="0"/>
    <w:rPr>
      <w:rFonts w:ascii="Times New Roman" w:hAnsi="Times New Roman" w:eastAsia="宋体" w:cs="Times New Roman"/>
      <w:sz w:val="18"/>
      <w:szCs w:val="18"/>
    </w:rPr>
  </w:style>
  <w:style w:type="character" w:customStyle="1" w:styleId="1230">
    <w:name w:val="Char Char46"/>
    <w:uiPriority w:val="0"/>
    <w:rPr>
      <w:rFonts w:ascii="Times New Roman" w:hAnsi="Times New Roman"/>
      <w:b/>
      <w:bCs/>
      <w:kern w:val="2"/>
      <w:sz w:val="28"/>
      <w:szCs w:val="28"/>
    </w:rPr>
  </w:style>
  <w:style w:type="character" w:customStyle="1" w:styleId="1231">
    <w:name w:val="Char Char143"/>
    <w:uiPriority w:val="0"/>
    <w:rPr>
      <w:rFonts w:ascii="Calibri" w:hAnsi="Calibri" w:eastAsia="宋体" w:cs="Times New Roman"/>
      <w:b/>
      <w:bCs/>
      <w:kern w:val="44"/>
      <w:sz w:val="44"/>
      <w:szCs w:val="44"/>
    </w:rPr>
  </w:style>
  <w:style w:type="character" w:customStyle="1" w:styleId="1232">
    <w:name w:val="Char Char133"/>
    <w:uiPriority w:val="0"/>
    <w:rPr>
      <w:rFonts w:ascii="Cambria" w:hAnsi="Cambria" w:eastAsia="宋体" w:cs="Times New Roman"/>
      <w:b/>
      <w:bCs/>
      <w:kern w:val="2"/>
      <w:sz w:val="32"/>
      <w:szCs w:val="32"/>
    </w:rPr>
  </w:style>
  <w:style w:type="character" w:customStyle="1" w:styleId="1233">
    <w:name w:val="Char Char123"/>
    <w:uiPriority w:val="0"/>
    <w:rPr>
      <w:rFonts w:ascii="Calibri" w:hAnsi="Calibri" w:eastAsia="宋体" w:cs="Times New Roman"/>
      <w:b/>
      <w:bCs/>
      <w:kern w:val="2"/>
      <w:sz w:val="32"/>
      <w:szCs w:val="32"/>
    </w:rPr>
  </w:style>
  <w:style w:type="character" w:customStyle="1" w:styleId="1234">
    <w:name w:val="Char Char103"/>
    <w:uiPriority w:val="0"/>
    <w:rPr>
      <w:rFonts w:ascii="Calibri" w:hAnsi="Calibri"/>
      <w:b/>
      <w:bCs/>
      <w:kern w:val="2"/>
      <w:sz w:val="28"/>
      <w:szCs w:val="28"/>
    </w:rPr>
  </w:style>
  <w:style w:type="character" w:customStyle="1" w:styleId="1235">
    <w:name w:val="Char Char73"/>
    <w:uiPriority w:val="0"/>
    <w:rPr>
      <w:b/>
      <w:bCs/>
      <w:sz w:val="32"/>
      <w:szCs w:val="32"/>
    </w:rPr>
  </w:style>
  <w:style w:type="character" w:customStyle="1" w:styleId="1236">
    <w:name w:val="Char Char83"/>
    <w:uiPriority w:val="0"/>
    <w:rPr>
      <w:rFonts w:ascii="Cambria" w:hAnsi="Cambria" w:eastAsia="宋体" w:cs="Times New Roman"/>
      <w:b/>
      <w:bCs/>
      <w:sz w:val="32"/>
      <w:szCs w:val="32"/>
    </w:rPr>
  </w:style>
  <w:style w:type="paragraph" w:customStyle="1" w:styleId="1237">
    <w:name w:val="Char18"/>
    <w:basedOn w:val="1"/>
    <w:uiPriority w:val="0"/>
    <w:pPr>
      <w:widowControl/>
      <w:spacing w:after="160" w:line="240" w:lineRule="exact"/>
      <w:jc w:val="left"/>
    </w:pPr>
    <w:rPr>
      <w:rFonts w:ascii="Tahoma" w:hAnsi="Tahoma"/>
      <w:kern w:val="0"/>
      <w:sz w:val="24"/>
      <w:lang w:eastAsia="en-US"/>
    </w:rPr>
  </w:style>
  <w:style w:type="character" w:customStyle="1" w:styleId="1238">
    <w:name w:val="普通(网站) Char"/>
    <w:link w:val="83"/>
    <w:locked/>
    <w:uiPriority w:val="0"/>
    <w:rPr>
      <w:rFonts w:ascii="宋体" w:hAnsi="宋体" w:eastAsia="宋体" w:cs="Times New Roman"/>
      <w:kern w:val="0"/>
      <w:sz w:val="24"/>
      <w:szCs w:val="24"/>
    </w:rPr>
  </w:style>
  <w:style w:type="paragraph" w:customStyle="1" w:styleId="1239">
    <w:name w:val="表内字体"/>
    <w:basedOn w:val="1"/>
    <w:uiPriority w:val="99"/>
    <w:rPr>
      <w:szCs w:val="22"/>
    </w:rPr>
  </w:style>
  <w:style w:type="paragraph" w:customStyle="1" w:styleId="1240">
    <w:name w:val="表格文本 小五 居中"/>
    <w:basedOn w:val="1"/>
    <w:uiPriority w:val="0"/>
    <w:pPr>
      <w:spacing w:line="264" w:lineRule="auto"/>
      <w:jc w:val="center"/>
    </w:pPr>
    <w:rPr>
      <w:rFonts w:cs="宋体"/>
      <w:szCs w:val="18"/>
    </w:rPr>
  </w:style>
  <w:style w:type="paragraph" w:customStyle="1" w:styleId="1241">
    <w:name w:val="_Style 41"/>
    <w:basedOn w:val="1"/>
    <w:uiPriority w:val="0"/>
    <w:pPr>
      <w:spacing w:line="360" w:lineRule="auto"/>
      <w:ind w:firstLine="200" w:firstLineChars="200"/>
    </w:pPr>
    <w:rPr>
      <w:szCs w:val="21"/>
    </w:rPr>
  </w:style>
  <w:style w:type="paragraph" w:customStyle="1" w:styleId="1242">
    <w:name w:val="Char19"/>
    <w:basedOn w:val="1"/>
    <w:uiPriority w:val="0"/>
    <w:pPr>
      <w:widowControl/>
      <w:spacing w:after="160" w:line="240" w:lineRule="exact"/>
      <w:jc w:val="left"/>
    </w:pPr>
    <w:rPr>
      <w:rFonts w:ascii="Tahoma" w:hAnsi="Tahoma"/>
      <w:kern w:val="0"/>
      <w:sz w:val="24"/>
      <w:lang w:eastAsia="en-US"/>
    </w:rPr>
  </w:style>
  <w:style w:type="paragraph" w:customStyle="1" w:styleId="1243">
    <w:name w:val="Char Char Char Char Char Char Char7"/>
    <w:basedOn w:val="1"/>
    <w:uiPriority w:val="0"/>
    <w:pPr>
      <w:spacing w:line="360" w:lineRule="auto"/>
      <w:ind w:firstLine="200" w:firstLineChars="200"/>
    </w:pPr>
    <w:rPr>
      <w:rFonts w:ascii="宋体" w:hAnsi="宋体" w:cs="宋体"/>
      <w:sz w:val="24"/>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18.bin"/><Relationship Id="rId98" Type="http://schemas.openxmlformats.org/officeDocument/2006/relationships/image" Target="media/image61.wmf"/><Relationship Id="rId97" Type="http://schemas.openxmlformats.org/officeDocument/2006/relationships/oleObject" Target="embeddings/oleObject17.bin"/><Relationship Id="rId96" Type="http://schemas.openxmlformats.org/officeDocument/2006/relationships/image" Target="media/image60.wmf"/><Relationship Id="rId95" Type="http://schemas.openxmlformats.org/officeDocument/2006/relationships/oleObject" Target="embeddings/oleObject16.bin"/><Relationship Id="rId94" Type="http://schemas.openxmlformats.org/officeDocument/2006/relationships/image" Target="media/image59.wmf"/><Relationship Id="rId93" Type="http://schemas.openxmlformats.org/officeDocument/2006/relationships/oleObject" Target="embeddings/oleObject15.bin"/><Relationship Id="rId92" Type="http://schemas.openxmlformats.org/officeDocument/2006/relationships/image" Target="media/image58.wmf"/><Relationship Id="rId91" Type="http://schemas.openxmlformats.org/officeDocument/2006/relationships/oleObject" Target="embeddings/oleObject14.bin"/><Relationship Id="rId90" Type="http://schemas.openxmlformats.org/officeDocument/2006/relationships/image" Target="media/image57.wmf"/><Relationship Id="rId9" Type="http://schemas.openxmlformats.org/officeDocument/2006/relationships/header" Target="header4.xml"/><Relationship Id="rId89" Type="http://schemas.openxmlformats.org/officeDocument/2006/relationships/oleObject" Target="embeddings/oleObject13.bin"/><Relationship Id="rId88" Type="http://schemas.openxmlformats.org/officeDocument/2006/relationships/image" Target="media/image56.wmf"/><Relationship Id="rId87" Type="http://schemas.openxmlformats.org/officeDocument/2006/relationships/oleObject" Target="embeddings/oleObject12.bin"/><Relationship Id="rId86" Type="http://schemas.openxmlformats.org/officeDocument/2006/relationships/image" Target="media/image55.wmf"/><Relationship Id="rId85" Type="http://schemas.openxmlformats.org/officeDocument/2006/relationships/oleObject" Target="embeddings/oleObject11.bin"/><Relationship Id="rId84" Type="http://schemas.openxmlformats.org/officeDocument/2006/relationships/image" Target="media/image54.wmf"/><Relationship Id="rId83" Type="http://schemas.openxmlformats.org/officeDocument/2006/relationships/oleObject" Target="embeddings/oleObject10.bin"/><Relationship Id="rId82" Type="http://schemas.openxmlformats.org/officeDocument/2006/relationships/image" Target="media/image53.wmf"/><Relationship Id="rId81" Type="http://schemas.openxmlformats.org/officeDocument/2006/relationships/oleObject" Target="embeddings/oleObject9.bin"/><Relationship Id="rId80" Type="http://schemas.openxmlformats.org/officeDocument/2006/relationships/image" Target="media/image52.wmf"/><Relationship Id="rId8" Type="http://schemas.openxmlformats.org/officeDocument/2006/relationships/header" Target="header3.xml"/><Relationship Id="rId79" Type="http://schemas.openxmlformats.org/officeDocument/2006/relationships/oleObject" Target="embeddings/oleObject8.bin"/><Relationship Id="rId78" Type="http://schemas.openxmlformats.org/officeDocument/2006/relationships/image" Target="media/image51.wmf"/><Relationship Id="rId77" Type="http://schemas.openxmlformats.org/officeDocument/2006/relationships/oleObject" Target="embeddings/oleObject7.bin"/><Relationship Id="rId76" Type="http://schemas.openxmlformats.org/officeDocument/2006/relationships/image" Target="media/image50.wmf"/><Relationship Id="rId75" Type="http://schemas.openxmlformats.org/officeDocument/2006/relationships/oleObject" Target="embeddings/oleObject6.bin"/><Relationship Id="rId74" Type="http://schemas.openxmlformats.org/officeDocument/2006/relationships/image" Target="media/image49.wmf"/><Relationship Id="rId73" Type="http://schemas.openxmlformats.org/officeDocument/2006/relationships/oleObject" Target="embeddings/oleObject5.bin"/><Relationship Id="rId72" Type="http://schemas.openxmlformats.org/officeDocument/2006/relationships/image" Target="media/image48.wmf"/><Relationship Id="rId71" Type="http://schemas.openxmlformats.org/officeDocument/2006/relationships/oleObject" Target="embeddings/oleObject4.bin"/><Relationship Id="rId70" Type="http://schemas.openxmlformats.org/officeDocument/2006/relationships/image" Target="media/image47.jpeg"/><Relationship Id="rId7" Type="http://schemas.openxmlformats.org/officeDocument/2006/relationships/footer" Target="footer2.xml"/><Relationship Id="rId69" Type="http://schemas.openxmlformats.org/officeDocument/2006/relationships/image" Target="media/image46.emf"/><Relationship Id="rId68" Type="http://schemas.openxmlformats.org/officeDocument/2006/relationships/oleObject" Target="embeddings/oleObject3.bin"/><Relationship Id="rId67" Type="http://schemas.openxmlformats.org/officeDocument/2006/relationships/image" Target="media/image45.wmf"/><Relationship Id="rId66" Type="http://schemas.openxmlformats.org/officeDocument/2006/relationships/oleObject" Target="embeddings/oleObject2.bin"/><Relationship Id="rId65" Type="http://schemas.openxmlformats.org/officeDocument/2006/relationships/image" Target="media/image44.wmf"/><Relationship Id="rId64" Type="http://schemas.openxmlformats.org/officeDocument/2006/relationships/image" Target="media/image43.wmf"/><Relationship Id="rId63" Type="http://schemas.openxmlformats.org/officeDocument/2006/relationships/image" Target="media/image42.wmf"/><Relationship Id="rId62" Type="http://schemas.openxmlformats.org/officeDocument/2006/relationships/image" Target="media/image41.wmf"/><Relationship Id="rId61" Type="http://schemas.openxmlformats.org/officeDocument/2006/relationships/image" Target="media/image40.wmf"/><Relationship Id="rId60" Type="http://schemas.openxmlformats.org/officeDocument/2006/relationships/image" Target="media/image39.wmf"/><Relationship Id="rId6" Type="http://schemas.openxmlformats.org/officeDocument/2006/relationships/header" Target="header2.xml"/><Relationship Id="rId59" Type="http://schemas.openxmlformats.org/officeDocument/2006/relationships/image" Target="media/image38.wmf"/><Relationship Id="rId58" Type="http://schemas.openxmlformats.org/officeDocument/2006/relationships/image" Target="media/image37.wmf"/><Relationship Id="rId57" Type="http://schemas.openxmlformats.org/officeDocument/2006/relationships/image" Target="media/image36.wmf"/><Relationship Id="rId56" Type="http://schemas.openxmlformats.org/officeDocument/2006/relationships/image" Target="media/image35.wmf"/><Relationship Id="rId55" Type="http://schemas.openxmlformats.org/officeDocument/2006/relationships/image" Target="media/image34.wmf"/><Relationship Id="rId54" Type="http://schemas.openxmlformats.org/officeDocument/2006/relationships/image" Target="media/image33.wmf"/><Relationship Id="rId53" Type="http://schemas.openxmlformats.org/officeDocument/2006/relationships/image" Target="media/image32.wmf"/><Relationship Id="rId52" Type="http://schemas.openxmlformats.org/officeDocument/2006/relationships/image" Target="media/image31.wmf"/><Relationship Id="rId51" Type="http://schemas.openxmlformats.org/officeDocument/2006/relationships/image" Target="media/image30.wmf"/><Relationship Id="rId50" Type="http://schemas.openxmlformats.org/officeDocument/2006/relationships/image" Target="media/image29.wmf"/><Relationship Id="rId5" Type="http://schemas.openxmlformats.org/officeDocument/2006/relationships/footer" Target="footer1.xml"/><Relationship Id="rId49" Type="http://schemas.openxmlformats.org/officeDocument/2006/relationships/image" Target="media/image28.wmf"/><Relationship Id="rId48" Type="http://schemas.openxmlformats.org/officeDocument/2006/relationships/image" Target="media/image27.wmf"/><Relationship Id="rId47" Type="http://schemas.openxmlformats.org/officeDocument/2006/relationships/image" Target="media/image26.wmf"/><Relationship Id="rId46" Type="http://schemas.openxmlformats.org/officeDocument/2006/relationships/image" Target="media/image25.wmf"/><Relationship Id="rId45" Type="http://schemas.openxmlformats.org/officeDocument/2006/relationships/image" Target="media/image24.wmf"/><Relationship Id="rId44" Type="http://schemas.openxmlformats.org/officeDocument/2006/relationships/image" Target="media/image23.wmf"/><Relationship Id="rId43" Type="http://schemas.openxmlformats.org/officeDocument/2006/relationships/image" Target="media/image22.wmf"/><Relationship Id="rId42" Type="http://schemas.openxmlformats.org/officeDocument/2006/relationships/image" Target="media/image21.wmf"/><Relationship Id="rId41" Type="http://schemas.openxmlformats.org/officeDocument/2006/relationships/oleObject" Target="embeddings/oleObject1.bin"/><Relationship Id="rId40" Type="http://schemas.openxmlformats.org/officeDocument/2006/relationships/image" Target="media/image20.wmf"/><Relationship Id="rId4" Type="http://schemas.openxmlformats.org/officeDocument/2006/relationships/header" Target="header1.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jpeg"/><Relationship Id="rId34" Type="http://schemas.openxmlformats.org/officeDocument/2006/relationships/image" Target="media/image14.jpeg"/><Relationship Id="rId33" Type="http://schemas.openxmlformats.org/officeDocument/2006/relationships/image" Target="media/image13.jpeg"/><Relationship Id="rId32" Type="http://schemas.openxmlformats.org/officeDocument/2006/relationships/image" Target="media/image12.jpeg"/><Relationship Id="rId31" Type="http://schemas.openxmlformats.org/officeDocument/2006/relationships/image" Target="media/image11.jpeg"/><Relationship Id="rId30" Type="http://schemas.openxmlformats.org/officeDocument/2006/relationships/image" Target="media/image10.png"/><Relationship Id="rId3" Type="http://schemas.openxmlformats.org/officeDocument/2006/relationships/comments" Target="comments.xml"/><Relationship Id="rId29" Type="http://schemas.openxmlformats.org/officeDocument/2006/relationships/image" Target="media/image9.png"/><Relationship Id="rId28" Type="http://schemas.openxmlformats.org/officeDocument/2006/relationships/image" Target="media/image8.jpeg"/><Relationship Id="rId27" Type="http://schemas.openxmlformats.org/officeDocument/2006/relationships/image" Target="media/image7.png"/><Relationship Id="rId26" Type="http://schemas.openxmlformats.org/officeDocument/2006/relationships/image" Target="media/image6.jpeg"/><Relationship Id="rId25" Type="http://schemas.openxmlformats.org/officeDocument/2006/relationships/image" Target="media/image5.jpeg"/><Relationship Id="rId24" Type="http://schemas.openxmlformats.org/officeDocument/2006/relationships/image" Target="media/image4.jpeg"/><Relationship Id="rId23" Type="http://schemas.openxmlformats.org/officeDocument/2006/relationships/image" Target="media/image3.jpeg"/><Relationship Id="rId22" Type="http://schemas.openxmlformats.org/officeDocument/2006/relationships/image" Target="media/image2.jpeg"/><Relationship Id="rId21" Type="http://schemas.openxmlformats.org/officeDocument/2006/relationships/image" Target="media/image1.jpe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header" Target="header13.xml"/><Relationship Id="rId18" Type="http://schemas.openxmlformats.org/officeDocument/2006/relationships/header" Target="header12.xml"/><Relationship Id="rId17" Type="http://schemas.openxmlformats.org/officeDocument/2006/relationships/header" Target="header11.xml"/><Relationship Id="rId16" Type="http://schemas.openxmlformats.org/officeDocument/2006/relationships/header" Target="header10.xml"/><Relationship Id="rId156" Type="http://schemas.openxmlformats.org/officeDocument/2006/relationships/fontTable" Target="fontTable.xml"/><Relationship Id="rId155" Type="http://schemas.openxmlformats.org/officeDocument/2006/relationships/customXml" Target="../customXml/item2.xml"/><Relationship Id="rId154" Type="http://schemas.openxmlformats.org/officeDocument/2006/relationships/numbering" Target="numbering.xml"/><Relationship Id="rId153" Type="http://schemas.openxmlformats.org/officeDocument/2006/relationships/customXml" Target="../customXml/item1.xml"/><Relationship Id="rId152" Type="http://schemas.openxmlformats.org/officeDocument/2006/relationships/image" Target="media/image94.emf"/><Relationship Id="rId151" Type="http://schemas.openxmlformats.org/officeDocument/2006/relationships/image" Target="media/image93.jpeg"/><Relationship Id="rId150" Type="http://schemas.openxmlformats.org/officeDocument/2006/relationships/image" Target="media/image92.jpeg"/><Relationship Id="rId15" Type="http://schemas.openxmlformats.org/officeDocument/2006/relationships/header" Target="header9.xml"/><Relationship Id="rId149" Type="http://schemas.openxmlformats.org/officeDocument/2006/relationships/image" Target="media/image91.emf"/><Relationship Id="rId148" Type="http://schemas.openxmlformats.org/officeDocument/2006/relationships/image" Target="media/image90.emf"/><Relationship Id="rId147" Type="http://schemas.openxmlformats.org/officeDocument/2006/relationships/oleObject" Target="embeddings/oleObject38.bin"/><Relationship Id="rId146" Type="http://schemas.openxmlformats.org/officeDocument/2006/relationships/image" Target="media/image89.emf"/><Relationship Id="rId145" Type="http://schemas.openxmlformats.org/officeDocument/2006/relationships/image" Target="media/image88.png"/><Relationship Id="rId144" Type="http://schemas.openxmlformats.org/officeDocument/2006/relationships/image" Target="media/image87.png"/><Relationship Id="rId143" Type="http://schemas.openxmlformats.org/officeDocument/2006/relationships/image" Target="media/image86.png"/><Relationship Id="rId142" Type="http://schemas.openxmlformats.org/officeDocument/2006/relationships/image" Target="media/image85.png"/><Relationship Id="rId141" Type="http://schemas.openxmlformats.org/officeDocument/2006/relationships/image" Target="media/image84.png"/><Relationship Id="rId140" Type="http://schemas.openxmlformats.org/officeDocument/2006/relationships/image" Target="media/image83.png"/><Relationship Id="rId14" Type="http://schemas.openxmlformats.org/officeDocument/2006/relationships/header" Target="header8.xml"/><Relationship Id="rId139" Type="http://schemas.openxmlformats.org/officeDocument/2006/relationships/image" Target="media/image82.png"/><Relationship Id="rId138" Type="http://schemas.openxmlformats.org/officeDocument/2006/relationships/image" Target="media/image81.png"/><Relationship Id="rId137" Type="http://schemas.openxmlformats.org/officeDocument/2006/relationships/image" Target="media/image80.emf"/><Relationship Id="rId136" Type="http://schemas.openxmlformats.org/officeDocument/2006/relationships/image" Target="media/image79.png"/><Relationship Id="rId135" Type="http://schemas.openxmlformats.org/officeDocument/2006/relationships/image" Target="media/image78.wmf"/><Relationship Id="rId134" Type="http://schemas.openxmlformats.org/officeDocument/2006/relationships/oleObject" Target="embeddings/oleObject37.bin"/><Relationship Id="rId133" Type="http://schemas.openxmlformats.org/officeDocument/2006/relationships/image" Target="media/image77.wmf"/><Relationship Id="rId132" Type="http://schemas.openxmlformats.org/officeDocument/2006/relationships/oleObject" Target="embeddings/oleObject36.bin"/><Relationship Id="rId131" Type="http://schemas.openxmlformats.org/officeDocument/2006/relationships/image" Target="media/image76.wmf"/><Relationship Id="rId130" Type="http://schemas.openxmlformats.org/officeDocument/2006/relationships/oleObject" Target="embeddings/oleObject35.bin"/><Relationship Id="rId13" Type="http://schemas.openxmlformats.org/officeDocument/2006/relationships/header" Target="header7.xml"/><Relationship Id="rId129" Type="http://schemas.openxmlformats.org/officeDocument/2006/relationships/image" Target="media/image75.wmf"/><Relationship Id="rId128" Type="http://schemas.openxmlformats.org/officeDocument/2006/relationships/oleObject" Target="embeddings/oleObject34.bin"/><Relationship Id="rId127" Type="http://schemas.openxmlformats.org/officeDocument/2006/relationships/image" Target="media/image74.wmf"/><Relationship Id="rId126" Type="http://schemas.openxmlformats.org/officeDocument/2006/relationships/oleObject" Target="embeddings/oleObject33.bin"/><Relationship Id="rId125" Type="http://schemas.openxmlformats.org/officeDocument/2006/relationships/image" Target="media/image73.wmf"/><Relationship Id="rId124" Type="http://schemas.openxmlformats.org/officeDocument/2006/relationships/oleObject" Target="embeddings/oleObject32.bin"/><Relationship Id="rId123" Type="http://schemas.openxmlformats.org/officeDocument/2006/relationships/image" Target="media/image72.wmf"/><Relationship Id="rId122" Type="http://schemas.openxmlformats.org/officeDocument/2006/relationships/oleObject" Target="embeddings/oleObject31.bin"/><Relationship Id="rId121" Type="http://schemas.openxmlformats.org/officeDocument/2006/relationships/image" Target="media/image71.wmf"/><Relationship Id="rId120" Type="http://schemas.openxmlformats.org/officeDocument/2006/relationships/oleObject" Target="embeddings/oleObject30.bin"/><Relationship Id="rId12" Type="http://schemas.openxmlformats.org/officeDocument/2006/relationships/header" Target="header6.xml"/><Relationship Id="rId119" Type="http://schemas.openxmlformats.org/officeDocument/2006/relationships/image" Target="media/image70.wmf"/><Relationship Id="rId118" Type="http://schemas.openxmlformats.org/officeDocument/2006/relationships/oleObject" Target="embeddings/oleObject29.bin"/><Relationship Id="rId117" Type="http://schemas.openxmlformats.org/officeDocument/2006/relationships/image" Target="media/image69.wmf"/><Relationship Id="rId116" Type="http://schemas.openxmlformats.org/officeDocument/2006/relationships/oleObject" Target="embeddings/oleObject28.bin"/><Relationship Id="rId115" Type="http://schemas.openxmlformats.org/officeDocument/2006/relationships/image" Target="media/image68.wmf"/><Relationship Id="rId114" Type="http://schemas.openxmlformats.org/officeDocument/2006/relationships/oleObject" Target="embeddings/oleObject27.bin"/><Relationship Id="rId113" Type="http://schemas.openxmlformats.org/officeDocument/2006/relationships/image" Target="media/image67.wmf"/><Relationship Id="rId112" Type="http://schemas.openxmlformats.org/officeDocument/2006/relationships/oleObject" Target="embeddings/oleObject26.bin"/><Relationship Id="rId111" Type="http://schemas.openxmlformats.org/officeDocument/2006/relationships/image" Target="media/image66.wmf"/><Relationship Id="rId110" Type="http://schemas.openxmlformats.org/officeDocument/2006/relationships/oleObject" Target="embeddings/oleObject25.bin"/><Relationship Id="rId11" Type="http://schemas.openxmlformats.org/officeDocument/2006/relationships/footer" Target="footer3.xml"/><Relationship Id="rId109" Type="http://schemas.openxmlformats.org/officeDocument/2006/relationships/image" Target="media/image65.wmf"/><Relationship Id="rId108" Type="http://schemas.openxmlformats.org/officeDocument/2006/relationships/oleObject" Target="embeddings/oleObject24.bin"/><Relationship Id="rId107" Type="http://schemas.openxmlformats.org/officeDocument/2006/relationships/image" Target="media/image64.wmf"/><Relationship Id="rId106" Type="http://schemas.openxmlformats.org/officeDocument/2006/relationships/oleObject" Target="embeddings/oleObject23.bin"/><Relationship Id="rId105" Type="http://schemas.openxmlformats.org/officeDocument/2006/relationships/oleObject" Target="embeddings/oleObject22.bin"/><Relationship Id="rId104" Type="http://schemas.openxmlformats.org/officeDocument/2006/relationships/oleObject" Target="embeddings/oleObject21.bin"/><Relationship Id="rId103" Type="http://schemas.openxmlformats.org/officeDocument/2006/relationships/oleObject" Target="embeddings/oleObject20.bin"/><Relationship Id="rId102" Type="http://schemas.openxmlformats.org/officeDocument/2006/relationships/image" Target="media/image63.wmf"/><Relationship Id="rId101" Type="http://schemas.openxmlformats.org/officeDocument/2006/relationships/oleObject" Target="embeddings/oleObject19.bin"/><Relationship Id="rId100" Type="http://schemas.openxmlformats.org/officeDocument/2006/relationships/image" Target="media/image62.wmf"/><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177"/>
    <customShpInfo spid="_x0000_s1026" textRotate="1"/>
    <customShpInfo spid="_x0000_s117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B4C44F-BA98-4AED-9251-2FB36FDE060D}">
  <ds:schemaRefs/>
</ds:datastoreItem>
</file>

<file path=docProps/app.xml><?xml version="1.0" encoding="utf-8"?>
<Properties xmlns="http://schemas.openxmlformats.org/officeDocument/2006/extended-properties" xmlns:vt="http://schemas.openxmlformats.org/officeDocument/2006/docPropsVTypes">
  <Template>Normal</Template>
  <Pages>1</Pages>
  <Words>17733</Words>
  <Characters>101080</Characters>
  <Lines>842</Lines>
  <Paragraphs>237</Paragraphs>
  <ScaleCrop>false</ScaleCrop>
  <LinksUpToDate>false</LinksUpToDate>
  <CharactersWithSpaces>118576</CharactersWithSpaces>
  <Application>WPS Office_10.1.0.5458_F1E327BC-269C-435d-A152-05C5408002CA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2016-01-11T02:43:00Z</dcterms:created>
  <dc:creator>kouxueyong</dc:creator>
  <cp:lastModifiedBy>Administrator</cp:lastModifiedBy>
  <cp:lastPrinted>2016-02-03T02:16:00Z</cp:lastPrinted>
  <dcterms:modified xsi:type="dcterms:W3CDTF">2016-02-04T06:45:32Z</dcterms:modified>
  <cp:revision>219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2052-10.1.0.5458</vt:lpwstr>
  </property>
</Properties>
</file>